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96597"/>
      <w:bookmarkStart w:id="1" w:name="_Toc15377193"/>
      <w:bookmarkStart w:id="2" w:name="_Toc15378441"/>
      <w:bookmarkStart w:id="3" w:name="_Toc15377425"/>
      <w:bookmarkStart w:id="4" w:name="_Toc15396475"/>
      <w:bookmarkStart w:id="5"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2022年度</w:t>
      </w:r>
      <w:bookmarkEnd w:id="0"/>
      <w:bookmarkEnd w:id="1"/>
      <w:bookmarkEnd w:id="2"/>
      <w:bookmarkEnd w:id="3"/>
      <w:bookmarkEnd w:id="4"/>
    </w:p>
    <w:bookmarkEnd w:id="5"/>
    <w:p>
      <w:pPr>
        <w:adjustRightInd w:val="0"/>
        <w:snapToGrid w:val="0"/>
        <w:spacing w:line="360" w:lineRule="auto"/>
        <w:jc w:val="center"/>
        <w:outlineLvl w:val="0"/>
        <w:rPr>
          <w:rFonts w:hint="eastAsia" w:ascii="方正小标宋简体" w:hAnsi="方正小标宋简体" w:eastAsia="方正小标宋简体" w:cs="方正小标宋简体"/>
          <w:sz w:val="52"/>
          <w:szCs w:val="52"/>
          <w:lang w:val="en-US" w:eastAsia="zh-CN"/>
        </w:rPr>
      </w:pPr>
      <w:bookmarkStart w:id="6" w:name="_Toc15378442"/>
      <w:bookmarkStart w:id="7" w:name="_Toc15377194"/>
      <w:bookmarkStart w:id="8" w:name="_Toc15306268"/>
      <w:bookmarkStart w:id="9" w:name="_Toc15377426"/>
      <w:bookmarkStart w:id="10" w:name="_Toc15396598"/>
      <w:bookmarkStart w:id="11" w:name="_Toc15396476"/>
      <w:r>
        <w:rPr>
          <w:rFonts w:hint="eastAsia" w:ascii="方正小标宋简体" w:hAnsi="方正小标宋简体" w:eastAsia="方正小标宋简体" w:cs="方正小标宋简体"/>
          <w:sz w:val="52"/>
          <w:szCs w:val="52"/>
          <w:lang w:val="en-US" w:eastAsia="zh-CN"/>
        </w:rPr>
        <w:t>乐至县公安局交通警察大队</w:t>
      </w:r>
    </w:p>
    <w:p>
      <w:pPr>
        <w:adjustRightInd w:val="0"/>
        <w:snapToGrid w:val="0"/>
        <w:spacing w:line="360" w:lineRule="auto"/>
        <w:jc w:val="center"/>
        <w:outlineLvl w:val="0"/>
        <w:rPr>
          <w:rFonts w:hint="default"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rPr>
        <w:t>决算</w:t>
      </w:r>
      <w:bookmarkEnd w:id="6"/>
      <w:bookmarkEnd w:id="7"/>
      <w:bookmarkEnd w:id="8"/>
      <w:bookmarkEnd w:id="9"/>
      <w:bookmarkEnd w:id="10"/>
      <w:bookmarkEnd w:id="11"/>
      <w:r>
        <w:rPr>
          <w:rFonts w:hint="eastAsia" w:ascii="方正小标宋简体" w:hAnsi="方正小标宋简体" w:eastAsia="方正小标宋简体" w:cs="方正小标宋简体"/>
          <w:sz w:val="52"/>
          <w:szCs w:val="52"/>
          <w:lang w:val="en-US" w:eastAsia="zh-CN"/>
        </w:rPr>
        <w:t>公开说明</w:t>
      </w:r>
    </w:p>
    <w:p>
      <w:pPr>
        <w:widowControl/>
        <w:jc w:val="center"/>
        <w:rPr>
          <w:rFonts w:ascii="黑体" w:hAnsi="黑体" w:eastAsia="黑体"/>
          <w:sz w:val="48"/>
          <w:szCs w:val="48"/>
        </w:rPr>
      </w:pP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3"/>
      </w:pPr>
      <w:r>
        <w:rPr>
          <w:rFonts w:hint="eastAsia"/>
        </w:rPr>
        <w:t>公开时间：2023年</w:t>
      </w:r>
      <w:r>
        <w:rPr>
          <w:rFonts w:hint="eastAsia"/>
          <w:lang w:val="en-US" w:eastAsia="zh-CN"/>
        </w:rPr>
        <w:t>10</w:t>
      </w:r>
      <w:r>
        <w:rPr>
          <w:rFonts w:hint="eastAsia"/>
        </w:rPr>
        <w:t>月</w:t>
      </w:r>
      <w:r>
        <w:rPr>
          <w:rFonts w:hint="eastAsia"/>
          <w:lang w:val="en-US" w:eastAsia="zh-CN"/>
        </w:rPr>
        <w:t>19</w:t>
      </w:r>
      <w:r>
        <w:rPr>
          <w:rFonts w:hint="eastAsia"/>
        </w:rPr>
        <w:t>日</w:t>
      </w:r>
    </w:p>
    <w:p/>
    <w:p>
      <w:pPr>
        <w:pStyle w:val="13"/>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p>
    <w:p>
      <w:pPr>
        <w:pStyle w:val="14"/>
        <w:adjustRightInd w:val="0"/>
        <w:snapToGrid w:val="0"/>
        <w:spacing w:line="440" w:lineRule="exact"/>
        <w:jc w:val="left"/>
        <w:rPr>
          <w:rFonts w:ascii="仿宋" w:hAnsi="仿宋" w:eastAsia="仿宋"/>
          <w:sz w:val="24"/>
        </w:rPr>
      </w:pPr>
      <w:r>
        <w:rPr>
          <w:rFonts w:hint="eastAsia"/>
          <w:sz w:val="24"/>
        </w:rPr>
        <w:t>一、部门职责</w:t>
      </w:r>
    </w:p>
    <w:p>
      <w:pPr>
        <w:pStyle w:val="14"/>
        <w:adjustRightInd w:val="0"/>
        <w:snapToGrid w:val="0"/>
        <w:spacing w:line="440" w:lineRule="exact"/>
        <w:jc w:val="left"/>
        <w:rPr>
          <w:rFonts w:ascii="仿宋" w:hAnsi="仿宋" w:eastAsia="仿宋" w:cstheme="minorBidi"/>
          <w:sz w:val="24"/>
        </w:rPr>
      </w:pPr>
      <w:r>
        <w:rPr>
          <w:rFonts w:hint="eastAsia"/>
          <w:sz w:val="24"/>
        </w:rPr>
        <w:t>二、机构设置</w:t>
      </w:r>
    </w:p>
    <w:p>
      <w:pPr>
        <w:pStyle w:val="13"/>
        <w:adjustRightInd w:val="0"/>
        <w:snapToGrid w:val="0"/>
        <w:spacing w:before="0" w:line="440" w:lineRule="exact"/>
        <w:jc w:val="left"/>
        <w:rPr>
          <w:sz w:val="24"/>
          <w:szCs w:val="24"/>
        </w:rPr>
      </w:pPr>
      <w:r>
        <w:rPr>
          <w:rFonts w:hint="eastAsia"/>
          <w:sz w:val="24"/>
        </w:rPr>
        <w:t>第二部分 2022年度部门决算情况说明</w:t>
      </w:r>
    </w:p>
    <w:p>
      <w:pPr>
        <w:pStyle w:val="14"/>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pPr>
        <w:pStyle w:val="14"/>
        <w:adjustRightInd w:val="0"/>
        <w:snapToGrid w:val="0"/>
        <w:spacing w:line="440" w:lineRule="exact"/>
        <w:jc w:val="left"/>
        <w:rPr>
          <w:rFonts w:ascii="仿宋" w:hAnsi="仿宋" w:eastAsia="仿宋" w:cstheme="minorBidi"/>
          <w:sz w:val="24"/>
        </w:rPr>
      </w:pPr>
      <w:r>
        <w:rPr>
          <w:rFonts w:hint="eastAsia"/>
          <w:sz w:val="24"/>
        </w:rPr>
        <w:t>二、收入决算情况说明</w:t>
      </w:r>
    </w:p>
    <w:p>
      <w:pPr>
        <w:pStyle w:val="14"/>
        <w:adjustRightInd w:val="0"/>
        <w:snapToGrid w:val="0"/>
        <w:spacing w:line="440" w:lineRule="exact"/>
        <w:jc w:val="left"/>
        <w:rPr>
          <w:rFonts w:ascii="仿宋" w:hAnsi="仿宋" w:eastAsia="仿宋" w:cstheme="minorBidi"/>
          <w:sz w:val="24"/>
        </w:rPr>
      </w:pPr>
      <w:r>
        <w:rPr>
          <w:rFonts w:hint="eastAsia"/>
          <w:sz w:val="24"/>
        </w:rPr>
        <w:t>三、支出决算情况说明</w:t>
      </w:r>
    </w:p>
    <w:p>
      <w:pPr>
        <w:pStyle w:val="14"/>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pPr>
        <w:pStyle w:val="14"/>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pPr>
        <w:pStyle w:val="14"/>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pPr>
        <w:pStyle w:val="14"/>
        <w:adjustRightInd w:val="0"/>
        <w:snapToGrid w:val="0"/>
        <w:spacing w:line="440" w:lineRule="exact"/>
        <w:jc w:val="left"/>
        <w:rPr>
          <w:rFonts w:ascii="仿宋" w:hAnsi="仿宋" w:eastAsia="仿宋" w:cstheme="minorBidi"/>
          <w:sz w:val="24"/>
        </w:rPr>
      </w:pPr>
      <w:r>
        <w:rPr>
          <w:rFonts w:hint="eastAsia"/>
          <w:sz w:val="24"/>
        </w:rPr>
        <w:t>七、财政拨款“三公”经费支出决算情况说明</w:t>
      </w:r>
    </w:p>
    <w:p>
      <w:pPr>
        <w:pStyle w:val="14"/>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pPr>
        <w:pStyle w:val="14"/>
        <w:adjustRightInd w:val="0"/>
        <w:snapToGrid w:val="0"/>
        <w:spacing w:line="440" w:lineRule="exact"/>
        <w:ind w:leftChars="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九、国有资本经营预算支出决算情况说明</w:t>
      </w:r>
    </w:p>
    <w:p>
      <w:pPr>
        <w:adjustRightInd w:val="0"/>
        <w:snapToGrid w:val="0"/>
        <w:spacing w:line="440" w:lineRule="exact"/>
        <w:ind w:firstLine="420" w:firstLineChars="175"/>
        <w:jc w:val="left"/>
        <w:rPr>
          <w:rFonts w:asciiTheme="minorEastAsia" w:hAnsiTheme="minorEastAsia" w:eastAsiaTheme="minorEastAsia" w:cstheme="minorEastAsia"/>
          <w:sz w:val="24"/>
        </w:rPr>
      </w:pPr>
      <w:r>
        <w:rPr>
          <w:rStyle w:val="19"/>
          <w:rFonts w:hint="eastAsia" w:asciiTheme="minorEastAsia" w:hAnsiTheme="minorEastAsia" w:eastAsiaTheme="minorEastAsia" w:cstheme="minorEastAsia"/>
          <w:color w:val="auto"/>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rPr>
        <w:tab/>
      </w:r>
    </w:p>
    <w:p>
      <w:pPr>
        <w:pStyle w:val="13"/>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pPr>
        <w:pStyle w:val="13"/>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pPr>
        <w:pStyle w:val="13"/>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pPr>
        <w:pStyle w:val="14"/>
        <w:adjustRightInd w:val="0"/>
        <w:snapToGrid w:val="0"/>
        <w:spacing w:line="440" w:lineRule="exact"/>
        <w:jc w:val="left"/>
        <w:rPr>
          <w:sz w:val="24"/>
        </w:rPr>
      </w:pPr>
      <w:r>
        <w:rPr>
          <w:rFonts w:hint="eastAsia"/>
          <w:sz w:val="24"/>
        </w:rPr>
        <w:t>一、收入支出决算总表</w:t>
      </w:r>
    </w:p>
    <w:p>
      <w:pPr>
        <w:pStyle w:val="14"/>
        <w:adjustRightInd w:val="0"/>
        <w:snapToGrid w:val="0"/>
        <w:spacing w:line="440" w:lineRule="exact"/>
        <w:jc w:val="left"/>
        <w:rPr>
          <w:sz w:val="24"/>
        </w:rPr>
      </w:pPr>
      <w:r>
        <w:rPr>
          <w:rFonts w:hint="eastAsia"/>
          <w:sz w:val="24"/>
        </w:rPr>
        <w:t>二、收入决算表</w:t>
      </w:r>
    </w:p>
    <w:p>
      <w:pPr>
        <w:pStyle w:val="14"/>
        <w:adjustRightInd w:val="0"/>
        <w:snapToGrid w:val="0"/>
        <w:spacing w:line="440" w:lineRule="exact"/>
        <w:jc w:val="left"/>
        <w:rPr>
          <w:sz w:val="24"/>
        </w:rPr>
      </w:pPr>
      <w:r>
        <w:rPr>
          <w:rFonts w:hint="eastAsia"/>
          <w:sz w:val="24"/>
        </w:rPr>
        <w:t>三、支出决算表</w:t>
      </w:r>
    </w:p>
    <w:p>
      <w:pPr>
        <w:pStyle w:val="14"/>
        <w:adjustRightInd w:val="0"/>
        <w:snapToGrid w:val="0"/>
        <w:spacing w:line="440" w:lineRule="exact"/>
        <w:jc w:val="left"/>
        <w:rPr>
          <w:sz w:val="24"/>
        </w:rPr>
      </w:pPr>
      <w:r>
        <w:rPr>
          <w:rFonts w:hint="eastAsia"/>
          <w:sz w:val="24"/>
        </w:rPr>
        <w:t>四、财政拨款收入支出决算总表</w:t>
      </w:r>
    </w:p>
    <w:p>
      <w:pPr>
        <w:pStyle w:val="14"/>
        <w:adjustRightInd w:val="0"/>
        <w:snapToGrid w:val="0"/>
        <w:spacing w:line="440" w:lineRule="exact"/>
        <w:jc w:val="left"/>
        <w:rPr>
          <w:sz w:val="24"/>
        </w:rPr>
      </w:pPr>
      <w:r>
        <w:rPr>
          <w:rFonts w:hint="eastAsia"/>
          <w:sz w:val="24"/>
        </w:rPr>
        <w:t>五、财政拨款支出决算明细表</w:t>
      </w:r>
    </w:p>
    <w:p>
      <w:pPr>
        <w:pStyle w:val="14"/>
        <w:adjustRightInd w:val="0"/>
        <w:snapToGrid w:val="0"/>
        <w:spacing w:line="440" w:lineRule="exact"/>
        <w:jc w:val="left"/>
        <w:rPr>
          <w:sz w:val="24"/>
        </w:rPr>
      </w:pPr>
      <w:r>
        <w:rPr>
          <w:rFonts w:hint="eastAsia"/>
          <w:sz w:val="24"/>
        </w:rPr>
        <w:t>六、一般公共预算财政拨款支出决算表</w:t>
      </w:r>
    </w:p>
    <w:p>
      <w:pPr>
        <w:pStyle w:val="14"/>
        <w:adjustRightInd w:val="0"/>
        <w:snapToGrid w:val="0"/>
        <w:spacing w:line="440" w:lineRule="exact"/>
        <w:jc w:val="left"/>
        <w:rPr>
          <w:sz w:val="24"/>
        </w:rPr>
      </w:pPr>
      <w:r>
        <w:rPr>
          <w:rFonts w:hint="eastAsia"/>
          <w:sz w:val="24"/>
        </w:rPr>
        <w:t>七、一般公共预算财政拨款支出决算明细表</w:t>
      </w:r>
    </w:p>
    <w:p>
      <w:pPr>
        <w:pStyle w:val="14"/>
        <w:adjustRightInd w:val="0"/>
        <w:snapToGrid w:val="0"/>
        <w:spacing w:line="440" w:lineRule="exact"/>
        <w:jc w:val="left"/>
        <w:rPr>
          <w:sz w:val="24"/>
        </w:rPr>
      </w:pPr>
      <w:r>
        <w:rPr>
          <w:rFonts w:hint="eastAsia"/>
          <w:sz w:val="24"/>
        </w:rPr>
        <w:t>八、一般公共预算财政拨款基本支出决算明细表</w:t>
      </w:r>
    </w:p>
    <w:p>
      <w:pPr>
        <w:pStyle w:val="14"/>
        <w:adjustRightInd w:val="0"/>
        <w:snapToGrid w:val="0"/>
        <w:spacing w:line="440" w:lineRule="exact"/>
        <w:jc w:val="left"/>
        <w:rPr>
          <w:sz w:val="24"/>
        </w:rPr>
      </w:pPr>
      <w:r>
        <w:rPr>
          <w:rFonts w:hint="eastAsia"/>
          <w:sz w:val="24"/>
        </w:rPr>
        <w:t>九、一般公共预算财政拨款项目支出决算表</w:t>
      </w:r>
    </w:p>
    <w:p>
      <w:pPr>
        <w:pStyle w:val="14"/>
        <w:adjustRightInd w:val="0"/>
        <w:snapToGrid w:val="0"/>
        <w:spacing w:line="440" w:lineRule="exact"/>
        <w:jc w:val="left"/>
        <w:rPr>
          <w:sz w:val="24"/>
        </w:rPr>
      </w:pPr>
      <w:r>
        <w:rPr>
          <w:rFonts w:hint="eastAsia"/>
          <w:sz w:val="24"/>
        </w:rPr>
        <w:t>十、政府性基金预算财政拨款收入支出决算表</w:t>
      </w:r>
    </w:p>
    <w:p>
      <w:pPr>
        <w:pStyle w:val="14"/>
        <w:adjustRightInd w:val="0"/>
        <w:snapToGrid w:val="0"/>
        <w:spacing w:line="440" w:lineRule="exact"/>
        <w:jc w:val="left"/>
        <w:rPr>
          <w:sz w:val="24"/>
        </w:rPr>
      </w:pPr>
      <w:r>
        <w:rPr>
          <w:rFonts w:hint="eastAsia"/>
          <w:sz w:val="24"/>
        </w:rPr>
        <w:t>十一、国有资本经营预算财政拨款收入支出决算表</w:t>
      </w:r>
    </w:p>
    <w:p>
      <w:pPr>
        <w:pStyle w:val="14"/>
        <w:adjustRightInd w:val="0"/>
        <w:snapToGrid w:val="0"/>
        <w:spacing w:line="440" w:lineRule="exact"/>
        <w:jc w:val="left"/>
        <w:rPr>
          <w:sz w:val="24"/>
        </w:rPr>
      </w:pPr>
      <w:r>
        <w:rPr>
          <w:rFonts w:hint="eastAsia"/>
          <w:sz w:val="24"/>
        </w:rPr>
        <w:t>十二、国有资本经营预算财政拨款支出决算表</w:t>
      </w:r>
    </w:p>
    <w:p>
      <w:pPr>
        <w:pStyle w:val="14"/>
        <w:adjustRightInd w:val="0"/>
        <w:snapToGrid w:val="0"/>
        <w:spacing w:line="440" w:lineRule="exact"/>
        <w:jc w:val="left"/>
        <w:rPr>
          <w:rFonts w:asciiTheme="minorEastAsia" w:hAnsiTheme="minorEastAsia" w:eastAsiaTheme="minorEastAsia" w:cstheme="minorEastAsia"/>
          <w:sz w:val="24"/>
        </w:rPr>
      </w:pPr>
      <w:r>
        <w:rPr>
          <w:rFonts w:hint="eastAsia"/>
          <w:sz w:val="24"/>
        </w:rPr>
        <w:t>十三、财政拨款“三公”经费支出决算表</w:t>
      </w:r>
    </w:p>
    <w:p>
      <w:pPr>
        <w:widowControl/>
        <w:spacing w:line="440" w:lineRule="exact"/>
        <w:jc w:val="left"/>
        <w:rPr>
          <w:rFonts w:ascii="仿宋" w:hAnsi="仿宋" w:eastAsia="仿宋"/>
          <w:bCs/>
          <w:kern w:val="44"/>
          <w:sz w:val="24"/>
        </w:rPr>
      </w:pPr>
      <w:bookmarkStart w:id="12" w:name="_Toc15396599"/>
      <w:bookmarkStart w:id="13" w:name="_Toc15377196"/>
      <w:r>
        <w:rPr>
          <w:rFonts w:ascii="仿宋" w:hAnsi="仿宋" w:eastAsia="仿宋"/>
          <w:b/>
          <w:sz w:val="24"/>
        </w:rPr>
        <w:br w:type="page"/>
      </w:r>
    </w:p>
    <w:p>
      <w:pPr>
        <w:pStyle w:val="3"/>
        <w:jc w:val="center"/>
        <w:rPr>
          <w:rStyle w:val="29"/>
          <w:rFonts w:ascii="黑体" w:hAnsi="黑体" w:eastAsia="黑体"/>
          <w:b/>
          <w:bCs w:val="0"/>
        </w:rPr>
      </w:pPr>
      <w:r>
        <w:rPr>
          <w:rFonts w:hint="eastAsia" w:ascii="黑体" w:hAnsi="黑体" w:eastAsia="黑体"/>
          <w:b w:val="0"/>
        </w:rPr>
        <w:t xml:space="preserve">第一部分 </w:t>
      </w:r>
      <w:r>
        <w:rPr>
          <w:rStyle w:val="29"/>
          <w:rFonts w:hint="eastAsia" w:ascii="黑体" w:hAnsi="黑体" w:eastAsia="黑体"/>
          <w:b w:val="0"/>
          <w:bCs w:val="0"/>
        </w:rPr>
        <w:t>部门概况</w:t>
      </w:r>
      <w:bookmarkEnd w:id="12"/>
      <w:bookmarkEnd w:id="13"/>
    </w:p>
    <w:p>
      <w:pPr>
        <w:widowControl/>
        <w:jc w:val="left"/>
        <w:rPr>
          <w:rFonts w:ascii="黑体" w:eastAsia="黑体"/>
          <w:sz w:val="32"/>
          <w:szCs w:val="32"/>
        </w:rPr>
      </w:pPr>
    </w:p>
    <w:p>
      <w:pPr>
        <w:pStyle w:val="4"/>
        <w:numPr>
          <w:ilvl w:val="0"/>
          <w:numId w:val="1"/>
        </w:numPr>
        <w:rPr>
          <w:rFonts w:hint="eastAsia" w:ascii="黑体" w:hAnsi="黑体" w:eastAsia="黑体"/>
          <w:b w:val="0"/>
        </w:rPr>
      </w:pPr>
      <w:r>
        <w:rPr>
          <w:rFonts w:hint="eastAsia" w:ascii="黑体" w:hAnsi="黑体" w:eastAsia="黑体"/>
          <w:b w:val="0"/>
        </w:rPr>
        <w:t>部门职责</w:t>
      </w:r>
      <w:bookmarkStart w:id="14" w:name="_Toc15396601"/>
      <w:bookmarkStart w:id="15" w:name="_Toc15377200"/>
    </w:p>
    <w:p>
      <w:pPr>
        <w:ind w:firstLine="640" w:firstLineChars="200"/>
        <w:rPr>
          <w:rFonts w:hint="eastAsia"/>
        </w:rPr>
      </w:pPr>
      <w:r>
        <w:rPr>
          <w:rFonts w:hint="eastAsia" w:ascii="仿宋" w:hAnsi="仿宋" w:eastAsia="仿宋" w:cs="仿宋"/>
          <w:sz w:val="32"/>
          <w:szCs w:val="32"/>
          <w:lang w:val="en-US" w:eastAsia="zh-CN"/>
        </w:rPr>
        <w:t>乐至县公安局交通警察大队</w:t>
      </w:r>
      <w:r>
        <w:rPr>
          <w:rFonts w:hint="eastAsia" w:ascii="仿宋" w:hAnsi="仿宋" w:eastAsia="仿宋" w:cs="仿宋"/>
          <w:sz w:val="32"/>
          <w:szCs w:val="32"/>
          <w:lang w:eastAsia="zh-CN"/>
        </w:rPr>
        <w:t>负责全县城乡道路交通安全管理、交通秩序维护和交通事故处理预防工作；组织开展交通安全宣传教育活动；负责对驾驶培训单位和停车场、点进行业务知道和审批监督；负责机动车、驾驶员的检验、审核、登记发牌、考核审验发证和日常管理工作；负责对各交通安全联组的业务指导，充分发挥其管理交通的职能作用；处置交通治安、交通刑事案件，打击车费路霸；参与处置突发事件、平息暴乱、抢险救灾；承担上级下达的交通警卫任务；负责指导派出所巡逻防控工作。</w:t>
      </w:r>
    </w:p>
    <w:p>
      <w:pPr>
        <w:pStyle w:val="4"/>
        <w:numPr>
          <w:ilvl w:val="0"/>
          <w:numId w:val="0"/>
        </w:numPr>
        <w:rPr>
          <w:rStyle w:val="30"/>
          <w:b w:val="0"/>
          <w:bCs w:val="0"/>
        </w:rPr>
      </w:pPr>
      <w:r>
        <w:rPr>
          <w:rFonts w:hint="eastAsia" w:ascii="黑体" w:eastAsia="黑体"/>
          <w:b w:val="0"/>
        </w:rPr>
        <w:t>二、</w:t>
      </w:r>
      <w:r>
        <w:rPr>
          <w:rFonts w:hint="eastAsia" w:ascii="黑体" w:hAnsi="黑体" w:eastAsia="黑体"/>
          <w:b w:val="0"/>
        </w:rPr>
        <w:t>机</w:t>
      </w:r>
      <w:r>
        <w:rPr>
          <w:rStyle w:val="30"/>
          <w:rFonts w:hint="eastAsia" w:ascii="黑体" w:hAnsi="黑体" w:eastAsia="黑体"/>
          <w:b w:val="0"/>
          <w:bCs w:val="0"/>
        </w:rPr>
        <w:t>构设置</w:t>
      </w:r>
      <w:bookmarkEnd w:id="14"/>
      <w:bookmarkEnd w:id="15"/>
    </w:p>
    <w:p>
      <w:pPr>
        <w:ind w:firstLine="640" w:firstLineChars="200"/>
        <w:rPr>
          <w:rFonts w:eastAsia="仿宋"/>
          <w:sz w:val="32"/>
          <w:szCs w:val="32"/>
          <w:highlight w:val="none"/>
        </w:rPr>
      </w:pPr>
      <w:r>
        <w:rPr>
          <w:rFonts w:hint="eastAsia" w:ascii="仿宋" w:hAnsi="仿宋" w:eastAsia="仿宋" w:cs="仿宋"/>
          <w:sz w:val="32"/>
          <w:szCs w:val="32"/>
        </w:rPr>
        <w:t>乐至县公安</w:t>
      </w:r>
      <w:r>
        <w:rPr>
          <w:rFonts w:hint="eastAsia" w:ascii="仿宋" w:hAnsi="仿宋" w:eastAsia="仿宋" w:cs="仿宋"/>
          <w:sz w:val="32"/>
          <w:szCs w:val="32"/>
          <w:lang w:val="en-US" w:eastAsia="zh-CN"/>
        </w:rPr>
        <w:t>局交通警察</w:t>
      </w:r>
      <w:r>
        <w:rPr>
          <w:rFonts w:hint="eastAsia" w:ascii="仿宋" w:hAnsi="仿宋" w:eastAsia="仿宋" w:cs="仿宋"/>
          <w:sz w:val="32"/>
          <w:szCs w:val="32"/>
        </w:rPr>
        <w:t>大队隶属乐至县公安局，单位预算级次属一级预算行政单位</w:t>
      </w:r>
      <w:r>
        <w:rPr>
          <w:rFonts w:hint="eastAsia" w:ascii="仿宋" w:hAnsi="仿宋" w:eastAsia="仿宋" w:cs="仿宋"/>
          <w:sz w:val="32"/>
          <w:szCs w:val="32"/>
          <w:lang w:eastAsia="zh-CN"/>
        </w:rPr>
        <w:t>。</w:t>
      </w:r>
      <w:r>
        <w:rPr>
          <w:rFonts w:hint="eastAsia" w:ascii="仿宋" w:hAnsi="仿宋" w:eastAsia="仿宋"/>
          <w:sz w:val="32"/>
          <w:szCs w:val="32"/>
          <w:lang w:val="en-US" w:eastAsia="zh-CN"/>
        </w:rPr>
        <w:t>乐至县公安局交通警察大队</w:t>
      </w:r>
      <w:r>
        <w:rPr>
          <w:rFonts w:hint="eastAsia" w:ascii="仿宋" w:hAnsi="仿宋" w:eastAsia="仿宋"/>
          <w:sz w:val="32"/>
          <w:szCs w:val="32"/>
        </w:rPr>
        <w:t>下属二级预算单位</w:t>
      </w:r>
      <w:r>
        <w:rPr>
          <w:rFonts w:hint="eastAsia" w:ascii="仿宋" w:hAnsi="仿宋" w:eastAsia="仿宋"/>
          <w:sz w:val="32"/>
          <w:szCs w:val="32"/>
          <w:lang w:val="en-US" w:eastAsia="zh-CN"/>
        </w:rPr>
        <w:t>0</w:t>
      </w:r>
      <w:r>
        <w:rPr>
          <w:rFonts w:hint="eastAsia" w:ascii="仿宋" w:hAnsi="仿宋" w:eastAsia="仿宋"/>
          <w:sz w:val="32"/>
          <w:szCs w:val="32"/>
        </w:rPr>
        <w:t>个，其中行政单位</w:t>
      </w:r>
      <w:r>
        <w:rPr>
          <w:rFonts w:hint="eastAsia" w:ascii="仿宋" w:hAnsi="仿宋" w:eastAsia="仿宋"/>
          <w:sz w:val="32"/>
          <w:szCs w:val="32"/>
          <w:lang w:val="en-US" w:eastAsia="zh-CN"/>
        </w:rPr>
        <w:t>0</w:t>
      </w:r>
      <w:r>
        <w:rPr>
          <w:rFonts w:hint="eastAsia" w:ascii="仿宋" w:hAnsi="仿宋" w:eastAsia="仿宋"/>
          <w:sz w:val="32"/>
          <w:szCs w:val="32"/>
        </w:rPr>
        <w:t>个，参照公务员法管理的事业单位</w:t>
      </w:r>
      <w:r>
        <w:rPr>
          <w:rFonts w:hint="eastAsia" w:ascii="仿宋" w:hAnsi="仿宋" w:eastAsia="仿宋"/>
          <w:bCs/>
          <w:sz w:val="32"/>
          <w:szCs w:val="32"/>
          <w:lang w:val="en-US" w:eastAsia="zh-CN"/>
        </w:rPr>
        <w:t>0</w:t>
      </w:r>
      <w:r>
        <w:rPr>
          <w:rFonts w:hint="eastAsia" w:ascii="仿宋" w:hAnsi="仿宋" w:eastAsia="仿宋"/>
          <w:sz w:val="32"/>
          <w:szCs w:val="32"/>
        </w:rPr>
        <w:t>个，其他事业单位</w:t>
      </w:r>
      <w:r>
        <w:rPr>
          <w:rFonts w:hint="eastAsia" w:ascii="仿宋" w:hAnsi="仿宋" w:eastAsia="仿宋"/>
          <w:sz w:val="32"/>
          <w:szCs w:val="32"/>
          <w:lang w:val="en-US" w:eastAsia="zh-CN"/>
        </w:rPr>
        <w:t>0</w:t>
      </w:r>
      <w:r>
        <w:rPr>
          <w:rFonts w:hint="eastAsia" w:ascii="仿宋" w:hAnsi="仿宋" w:eastAsia="仿宋"/>
          <w:sz w:val="32"/>
          <w:szCs w:val="32"/>
        </w:rPr>
        <w:t>个。</w:t>
      </w:r>
    </w:p>
    <w:p>
      <w:pPr>
        <w:pStyle w:val="7"/>
        <w:adjustRightInd w:val="0"/>
        <w:snapToGrid w:val="0"/>
        <w:spacing w:before="93"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无</w:t>
      </w:r>
      <w:r>
        <w:rPr>
          <w:rFonts w:hint="eastAsia" w:ascii="仿宋" w:hAnsi="仿宋" w:eastAsia="仿宋"/>
          <w:sz w:val="32"/>
          <w:szCs w:val="32"/>
        </w:rPr>
        <w:t>纳入</w:t>
      </w:r>
      <w:r>
        <w:rPr>
          <w:rFonts w:hint="eastAsia" w:ascii="仿宋" w:hAnsi="仿宋" w:eastAsia="仿宋" w:cs="仿宋"/>
          <w:sz w:val="32"/>
          <w:szCs w:val="32"/>
        </w:rPr>
        <w:t>乐至县公安</w:t>
      </w:r>
      <w:r>
        <w:rPr>
          <w:rFonts w:hint="eastAsia" w:ascii="仿宋" w:hAnsi="仿宋" w:eastAsia="仿宋" w:cs="仿宋"/>
          <w:sz w:val="32"/>
          <w:szCs w:val="32"/>
          <w:lang w:val="en-US" w:eastAsia="zh-CN"/>
        </w:rPr>
        <w:t>局交通警察</w:t>
      </w:r>
      <w:r>
        <w:rPr>
          <w:rFonts w:hint="eastAsia" w:ascii="仿宋" w:hAnsi="仿宋" w:eastAsia="仿宋" w:cs="仿宋"/>
          <w:sz w:val="32"/>
          <w:szCs w:val="32"/>
        </w:rPr>
        <w:t>大队</w:t>
      </w:r>
      <w:r>
        <w:rPr>
          <w:rFonts w:hint="eastAsia" w:ascii="仿宋" w:hAnsi="仿宋" w:eastAsia="仿宋"/>
          <w:sz w:val="32"/>
          <w:szCs w:val="32"/>
        </w:rPr>
        <w:t>2022年度部门决算编制范围的二级预算单位</w:t>
      </w:r>
      <w:r>
        <w:rPr>
          <w:rFonts w:hint="eastAsia" w:ascii="仿宋" w:hAnsi="仿宋" w:eastAsia="仿宋"/>
          <w:sz w:val="32"/>
          <w:szCs w:val="32"/>
          <w:lang w:eastAsia="zh-CN"/>
        </w:rPr>
        <w:t>。</w:t>
      </w:r>
    </w:p>
    <w:p>
      <w:pPr>
        <w:pStyle w:val="3"/>
        <w:ind w:right="440"/>
        <w:jc w:val="center"/>
        <w:rPr>
          <w:rStyle w:val="29"/>
          <w:rFonts w:ascii="黑体" w:hAnsi="黑体" w:eastAsia="黑体"/>
          <w:b w:val="0"/>
          <w:bCs/>
        </w:rPr>
      </w:pPr>
      <w:bookmarkStart w:id="16" w:name="_Toc15377204"/>
      <w:bookmarkStart w:id="17" w:name="_Toc15396602"/>
      <w:r>
        <w:rPr>
          <w:rFonts w:hint="eastAsia" w:ascii="黑体" w:hAnsi="黑体" w:eastAsia="黑体"/>
          <w:b w:val="0"/>
        </w:rPr>
        <w:t>第二部分 2022年度</w:t>
      </w:r>
      <w:r>
        <w:rPr>
          <w:rStyle w:val="29"/>
          <w:rFonts w:hint="eastAsia" w:ascii="黑体" w:hAnsi="黑体" w:eastAsia="黑体"/>
          <w:b w:val="0"/>
          <w:bCs/>
        </w:rPr>
        <w:t>部门决算情况说明</w:t>
      </w:r>
      <w:bookmarkEnd w:id="16"/>
      <w:bookmarkEnd w:id="17"/>
    </w:p>
    <w:p/>
    <w:p>
      <w:pPr>
        <w:pStyle w:val="28"/>
        <w:numPr>
          <w:ilvl w:val="0"/>
          <w:numId w:val="2"/>
        </w:numPr>
        <w:spacing w:line="600" w:lineRule="exact"/>
        <w:ind w:firstLineChars="0"/>
        <w:outlineLvl w:val="1"/>
        <w:rPr>
          <w:rStyle w:val="30"/>
          <w:rFonts w:ascii="黑体" w:hAnsi="黑体" w:eastAsia="黑体"/>
          <w:b w:val="0"/>
        </w:rPr>
      </w:pPr>
      <w:bookmarkStart w:id="18" w:name="_Toc15377205"/>
      <w:bookmarkStart w:id="19" w:name="_Toc15396603"/>
      <w:r>
        <w:rPr>
          <w:rFonts w:hint="eastAsia" w:ascii="黑体" w:hAnsi="黑体" w:eastAsia="黑体"/>
          <w:sz w:val="32"/>
          <w:szCs w:val="32"/>
        </w:rPr>
        <w:t>收</w:t>
      </w:r>
      <w:r>
        <w:rPr>
          <w:rStyle w:val="30"/>
          <w:rFonts w:hint="eastAsia" w:ascii="黑体" w:hAnsi="黑体" w:eastAsia="黑体"/>
          <w:b w:val="0"/>
        </w:rPr>
        <w:t>入支出决算总体情况说明</w:t>
      </w:r>
      <w:bookmarkEnd w:id="18"/>
      <w:bookmarkEnd w:id="19"/>
    </w:p>
    <w:p>
      <w:pPr>
        <w:keepNext w:val="0"/>
        <w:keepLines w:val="0"/>
        <w:pageBreakBefore w:val="0"/>
        <w:kinsoku/>
        <w:wordWrap/>
        <w:overflowPunct/>
        <w:topLinePunct w:val="0"/>
        <w:autoSpaceDE/>
        <w:autoSpaceDN/>
        <w:bidi w:val="0"/>
        <w:adjustRightInd/>
        <w:snapToGrid w:val="0"/>
        <w:spacing w:line="64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sz w:val="32"/>
          <w:szCs w:val="32"/>
        </w:rPr>
        <w:t>2022年度收、支总计</w:t>
      </w:r>
      <w:r>
        <w:rPr>
          <w:rFonts w:hint="eastAsia" w:ascii="仿宋" w:hAnsi="仿宋" w:eastAsia="仿宋"/>
          <w:sz w:val="32"/>
          <w:szCs w:val="32"/>
          <w:lang w:val="en-US" w:eastAsia="zh-CN"/>
        </w:rPr>
        <w:t>1919.12</w:t>
      </w:r>
      <w:r>
        <w:rPr>
          <w:rFonts w:hint="eastAsia" w:ascii="仿宋" w:hAnsi="仿宋" w:eastAsia="仿宋"/>
          <w:sz w:val="32"/>
          <w:szCs w:val="32"/>
        </w:rPr>
        <w:t>万元。与2021年</w:t>
      </w:r>
      <w:r>
        <w:rPr>
          <w:rFonts w:hint="eastAsia" w:ascii="仿宋" w:hAnsi="仿宋" w:eastAsia="仿宋"/>
          <w:sz w:val="32"/>
          <w:szCs w:val="32"/>
          <w:lang w:eastAsia="zh-CN"/>
        </w:rPr>
        <w:t>（</w:t>
      </w:r>
      <w:r>
        <w:rPr>
          <w:rFonts w:hint="eastAsia" w:ascii="仿宋" w:hAnsi="仿宋" w:eastAsia="仿宋"/>
          <w:sz w:val="32"/>
          <w:szCs w:val="32"/>
          <w:lang w:val="en-US" w:eastAsia="zh-CN"/>
        </w:rPr>
        <w:t>1692.93万元</w:t>
      </w:r>
      <w:r>
        <w:rPr>
          <w:rFonts w:hint="eastAsia" w:ascii="仿宋" w:hAnsi="仿宋" w:eastAsia="仿宋"/>
          <w:sz w:val="32"/>
          <w:szCs w:val="32"/>
          <w:lang w:eastAsia="zh-CN"/>
        </w:rPr>
        <w:t>）</w:t>
      </w:r>
      <w:r>
        <w:rPr>
          <w:rFonts w:hint="eastAsia" w:ascii="仿宋" w:hAnsi="仿宋" w:eastAsia="仿宋"/>
          <w:sz w:val="32"/>
          <w:szCs w:val="32"/>
        </w:rPr>
        <w:t>相比，收、支总计各增加</w:t>
      </w:r>
      <w:r>
        <w:rPr>
          <w:rFonts w:hint="eastAsia" w:ascii="仿宋" w:hAnsi="仿宋" w:eastAsia="仿宋"/>
          <w:sz w:val="32"/>
          <w:szCs w:val="32"/>
          <w:lang w:val="en-US" w:eastAsia="zh-CN"/>
        </w:rPr>
        <w:t>226.49</w:t>
      </w:r>
      <w:r>
        <w:rPr>
          <w:rFonts w:hint="eastAsia" w:ascii="仿宋" w:hAnsi="仿宋" w:eastAsia="仿宋"/>
          <w:sz w:val="32"/>
          <w:szCs w:val="32"/>
        </w:rPr>
        <w:t>万元，增长</w:t>
      </w:r>
      <w:r>
        <w:rPr>
          <w:rFonts w:hint="eastAsia" w:ascii="仿宋" w:hAnsi="仿宋" w:eastAsia="仿宋"/>
          <w:sz w:val="32"/>
          <w:szCs w:val="32"/>
          <w:lang w:val="en-US" w:eastAsia="zh-CN"/>
        </w:rPr>
        <w:t>13.38</w:t>
      </w:r>
      <w:r>
        <w:rPr>
          <w:rFonts w:ascii="仿宋" w:hAnsi="仿宋" w:eastAsia="仿宋"/>
          <w:sz w:val="32"/>
          <w:szCs w:val="32"/>
        </w:rPr>
        <w:t>%</w:t>
      </w:r>
      <w:r>
        <w:rPr>
          <w:rFonts w:hint="eastAsia" w:ascii="仿宋" w:hAnsi="仿宋" w:eastAsia="仿宋"/>
          <w:sz w:val="32"/>
          <w:szCs w:val="32"/>
        </w:rPr>
        <w:t>。主要变动原因</w:t>
      </w:r>
      <w:r>
        <w:rPr>
          <w:rFonts w:hint="eastAsia" w:ascii="仿宋" w:hAnsi="仿宋" w:eastAsia="仿宋"/>
          <w:sz w:val="32"/>
          <w:szCs w:val="32"/>
          <w:lang w:eastAsia="zh-CN"/>
        </w:rPr>
        <w:t>：</w:t>
      </w:r>
      <w:r>
        <w:rPr>
          <w:rFonts w:hint="eastAsia" w:ascii="仿宋" w:hAnsi="仿宋" w:eastAsia="仿宋" w:cs="仿宋"/>
          <w:sz w:val="32"/>
          <w:szCs w:val="32"/>
          <w:lang w:val="en-US" w:eastAsia="zh-CN"/>
        </w:rPr>
        <w:t>一是增加了车管所建设项目工作经费；</w:t>
      </w:r>
      <w:r>
        <w:rPr>
          <w:rFonts w:hint="eastAsia" w:ascii="仿宋" w:hAnsi="仿宋" w:eastAsia="仿宋" w:cs="仿宋"/>
          <w:color w:val="000000"/>
          <w:sz w:val="32"/>
          <w:szCs w:val="32"/>
          <w:lang w:val="en-US" w:eastAsia="zh-CN"/>
        </w:rPr>
        <w:t>二是给付了电子警察工程款和隔离护栏工程款；三是人员调资增资导致人员经费也相应增加。</w:t>
      </w:r>
    </w:p>
    <w:p>
      <w:pPr>
        <w:pStyle w:val="2"/>
        <w:rPr>
          <w:rFonts w:hint="eastAsia" w:ascii="仿宋" w:hAnsi="仿宋" w:eastAsia="仿宋" w:cs="仿宋"/>
          <w:color w:val="000000"/>
          <w:sz w:val="32"/>
          <w:szCs w:val="32"/>
          <w:lang w:val="en-US" w:eastAsia="zh-CN"/>
        </w:rPr>
      </w:pPr>
    </w:p>
    <w:p>
      <w:pPr>
        <w:rPr>
          <w:rFonts w:hint="eastAsia" w:eastAsia="宋体"/>
          <w:lang w:eastAsia="zh-CN"/>
        </w:rPr>
      </w:pPr>
      <w:r>
        <w:rPr>
          <w:rFonts w:hint="eastAsia" w:eastAsia="宋体"/>
          <w:lang w:eastAsia="zh-CN"/>
        </w:rPr>
        <w:drawing>
          <wp:inline distT="0" distB="0" distL="114300" distR="114300">
            <wp:extent cx="5080000" cy="3810000"/>
            <wp:effectExtent l="4445" t="4445" r="8255" b="825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eastAsia="仿宋"/>
          <w:i/>
          <w:color w:val="000000"/>
          <w:sz w:val="32"/>
          <w:szCs w:val="32"/>
          <w:highlight w:val="none"/>
        </w:rPr>
      </w:pPr>
      <w:r>
        <w:rPr>
          <w:rFonts w:eastAsia="仿宋"/>
          <w:i/>
          <w:color w:val="000000"/>
          <w:sz w:val="32"/>
          <w:szCs w:val="32"/>
          <w:highlight w:val="none"/>
        </w:rPr>
        <w:t>（图1：收、支决算总计变动情况图）（柱状图）</w:t>
      </w:r>
    </w:p>
    <w:p>
      <w:pPr>
        <w:pStyle w:val="28"/>
        <w:numPr>
          <w:ilvl w:val="0"/>
          <w:numId w:val="2"/>
        </w:numPr>
        <w:spacing w:line="600" w:lineRule="exact"/>
        <w:ind w:firstLineChars="0"/>
        <w:outlineLvl w:val="1"/>
        <w:rPr>
          <w:rStyle w:val="30"/>
          <w:rFonts w:ascii="黑体" w:hAnsi="黑体" w:eastAsia="黑体"/>
          <w:b w:val="0"/>
        </w:rPr>
      </w:pPr>
      <w:bookmarkStart w:id="20" w:name="_Toc15396604"/>
      <w:bookmarkStart w:id="21" w:name="_Toc15377206"/>
      <w:r>
        <w:rPr>
          <w:rFonts w:hint="eastAsia" w:ascii="黑体" w:hAnsi="黑体" w:eastAsia="黑体"/>
          <w:sz w:val="32"/>
          <w:szCs w:val="32"/>
        </w:rPr>
        <w:t>收</w:t>
      </w:r>
      <w:r>
        <w:rPr>
          <w:rStyle w:val="30"/>
          <w:rFonts w:hint="eastAsia" w:ascii="黑体" w:hAnsi="黑体" w:eastAsia="黑体"/>
          <w:b w:val="0"/>
        </w:rPr>
        <w:t>入决算情况说明</w:t>
      </w:r>
      <w:bookmarkEnd w:id="20"/>
      <w:bookmarkEnd w:id="21"/>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22年本年收入合计</w:t>
      </w:r>
      <w:r>
        <w:rPr>
          <w:rFonts w:hint="eastAsia" w:ascii="仿宋" w:hAnsi="仿宋" w:eastAsia="仿宋"/>
          <w:sz w:val="32"/>
          <w:szCs w:val="32"/>
          <w:lang w:val="en-US" w:eastAsia="zh-CN"/>
        </w:rPr>
        <w:t>1919.12</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1919.12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rPr>
          <w:rFonts w:eastAsia="仿宋"/>
          <w:i/>
          <w:color w:val="000000"/>
          <w:sz w:val="32"/>
          <w:szCs w:val="32"/>
          <w:highlight w:val="none"/>
        </w:rPr>
      </w:pPr>
      <w:r>
        <w:rPr>
          <w:rFonts w:eastAsia="仿宋"/>
          <w:i/>
          <w:color w:val="000000"/>
          <w:sz w:val="32"/>
          <w:szCs w:val="32"/>
          <w:highlight w:val="none"/>
        </w:rPr>
        <w:t>（图2：收入决算结构图）（饼状图）</w:t>
      </w:r>
    </w:p>
    <w:p>
      <w:pPr>
        <w:pStyle w:val="2"/>
        <w:rPr>
          <w:rFonts w:hint="eastAsia" w:eastAsia="仿宋"/>
          <w:i/>
          <w:color w:val="000000"/>
          <w:sz w:val="32"/>
          <w:szCs w:val="32"/>
          <w:highlight w:val="yellow"/>
          <w:lang w:eastAsia="zh-CN"/>
        </w:rPr>
      </w:pPr>
      <w:r>
        <w:rPr>
          <w:rFonts w:hint="eastAsia" w:eastAsia="仿宋"/>
          <w:i/>
          <w:color w:val="000000"/>
          <w:sz w:val="32"/>
          <w:szCs w:val="32"/>
          <w:highlight w:val="yellow"/>
          <w:lang w:eastAsia="zh-CN"/>
        </w:rPr>
        <w:drawing>
          <wp:inline distT="0" distB="0" distL="114300" distR="114300">
            <wp:extent cx="5080000" cy="3810000"/>
            <wp:effectExtent l="4445" t="4445" r="8255" b="825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
      </w:pPr>
    </w:p>
    <w:p>
      <w:pPr>
        <w:pStyle w:val="28"/>
        <w:numPr>
          <w:ilvl w:val="0"/>
          <w:numId w:val="2"/>
        </w:numPr>
        <w:spacing w:line="600" w:lineRule="exact"/>
        <w:ind w:firstLineChars="0"/>
        <w:outlineLvl w:val="1"/>
        <w:rPr>
          <w:rStyle w:val="30"/>
          <w:rFonts w:ascii="黑体" w:hAnsi="黑体" w:eastAsia="黑体"/>
          <w:b w:val="0"/>
        </w:rPr>
      </w:pPr>
      <w:bookmarkStart w:id="22" w:name="_Toc15396605"/>
      <w:bookmarkStart w:id="23" w:name="_Toc15377207"/>
      <w:r>
        <w:rPr>
          <w:rFonts w:hint="eastAsia" w:ascii="黑体" w:hAnsi="黑体" w:eastAsia="黑体"/>
          <w:sz w:val="32"/>
          <w:szCs w:val="32"/>
        </w:rPr>
        <w:t>支</w:t>
      </w:r>
      <w:r>
        <w:rPr>
          <w:rStyle w:val="30"/>
          <w:rFonts w:hint="eastAsia" w:ascii="黑体" w:hAnsi="黑体" w:eastAsia="黑体"/>
          <w:b w:val="0"/>
        </w:rPr>
        <w:t>出决算情况说明</w:t>
      </w:r>
      <w:bookmarkEnd w:id="22"/>
      <w:bookmarkEnd w:id="23"/>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22年本年支出合计</w:t>
      </w:r>
      <w:r>
        <w:rPr>
          <w:rFonts w:hint="eastAsia" w:ascii="仿宋" w:hAnsi="仿宋" w:eastAsia="仿宋"/>
          <w:sz w:val="32"/>
          <w:szCs w:val="32"/>
          <w:lang w:val="en-US" w:eastAsia="zh-CN"/>
        </w:rPr>
        <w:t>1919.12</w:t>
      </w:r>
      <w:r>
        <w:rPr>
          <w:rFonts w:hint="eastAsia" w:ascii="仿宋" w:hAnsi="仿宋" w:eastAsia="仿宋"/>
          <w:sz w:val="32"/>
          <w:szCs w:val="32"/>
        </w:rPr>
        <w:t>万元，其中：基本支出</w:t>
      </w:r>
      <w:r>
        <w:rPr>
          <w:rFonts w:hint="eastAsia" w:ascii="仿宋" w:hAnsi="仿宋" w:eastAsia="仿宋"/>
          <w:sz w:val="32"/>
          <w:szCs w:val="32"/>
          <w:lang w:val="en-US" w:eastAsia="zh-CN"/>
        </w:rPr>
        <w:t>916.52</w:t>
      </w:r>
      <w:r>
        <w:rPr>
          <w:rFonts w:hint="eastAsia" w:ascii="仿宋" w:hAnsi="仿宋" w:eastAsia="仿宋"/>
          <w:sz w:val="32"/>
          <w:szCs w:val="32"/>
        </w:rPr>
        <w:t>万元，占</w:t>
      </w:r>
      <w:r>
        <w:rPr>
          <w:rFonts w:hint="eastAsia" w:ascii="仿宋" w:hAnsi="仿宋" w:eastAsia="仿宋"/>
          <w:sz w:val="32"/>
          <w:szCs w:val="32"/>
          <w:lang w:val="en-US" w:eastAsia="zh-CN"/>
        </w:rPr>
        <w:t>47.76</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1002.6</w:t>
      </w:r>
      <w:r>
        <w:rPr>
          <w:rFonts w:hint="eastAsia" w:ascii="仿宋" w:hAnsi="仿宋" w:eastAsia="仿宋"/>
          <w:sz w:val="32"/>
          <w:szCs w:val="32"/>
        </w:rPr>
        <w:t>万元，占</w:t>
      </w:r>
      <w:r>
        <w:rPr>
          <w:rFonts w:hint="eastAsia" w:ascii="仿宋" w:hAnsi="仿宋" w:eastAsia="仿宋"/>
          <w:sz w:val="32"/>
          <w:szCs w:val="32"/>
          <w:lang w:val="en-US" w:eastAsia="zh-CN"/>
        </w:rPr>
        <w:t>52.24</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rPr>
          <w:rFonts w:eastAsia="仿宋"/>
          <w:i/>
          <w:color w:val="000000"/>
          <w:sz w:val="32"/>
          <w:szCs w:val="32"/>
          <w:highlight w:val="none"/>
        </w:rPr>
      </w:pPr>
      <w:r>
        <w:rPr>
          <w:rFonts w:eastAsia="仿宋"/>
          <w:i/>
          <w:color w:val="000000"/>
          <w:sz w:val="32"/>
          <w:szCs w:val="32"/>
          <w:highlight w:val="none"/>
        </w:rPr>
        <w:t>（图3：支出决算结构图）（饼状图）</w:t>
      </w:r>
    </w:p>
    <w:p>
      <w:pPr>
        <w:pStyle w:val="2"/>
        <w:rPr>
          <w:rFonts w:hint="eastAsia" w:eastAsia="仿宋"/>
          <w:i/>
          <w:color w:val="000000"/>
          <w:sz w:val="32"/>
          <w:szCs w:val="32"/>
          <w:highlight w:val="yellow"/>
          <w:lang w:eastAsia="zh-CN"/>
        </w:rPr>
      </w:pPr>
      <w:r>
        <w:rPr>
          <w:rFonts w:hint="eastAsia" w:eastAsia="仿宋"/>
          <w:i/>
          <w:color w:val="000000"/>
          <w:sz w:val="32"/>
          <w:szCs w:val="32"/>
          <w:highlight w:val="yellow"/>
          <w:lang w:eastAsia="zh-CN"/>
        </w:rPr>
        <w:drawing>
          <wp:inline distT="0" distB="0" distL="114300" distR="114300">
            <wp:extent cx="5080000" cy="3810000"/>
            <wp:effectExtent l="4445" t="4445" r="8255" b="825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
      <w:pPr>
        <w:spacing w:line="600" w:lineRule="exact"/>
        <w:ind w:firstLine="640" w:firstLineChars="200"/>
        <w:outlineLvl w:val="1"/>
        <w:rPr>
          <w:rStyle w:val="30"/>
          <w:rFonts w:ascii="黑体" w:hAnsi="黑体" w:eastAsia="黑体"/>
          <w:b w:val="0"/>
        </w:rPr>
      </w:pPr>
      <w:bookmarkStart w:id="24" w:name="_Toc15377208"/>
      <w:bookmarkStart w:id="25" w:name="_Toc15396606"/>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24"/>
      <w:bookmarkEnd w:id="25"/>
    </w:p>
    <w:p>
      <w:pPr>
        <w:spacing w:line="600" w:lineRule="exact"/>
        <w:ind w:firstLine="640"/>
        <w:rPr>
          <w:rFonts w:hint="default" w:ascii="仿宋" w:hAnsi="仿宋" w:eastAsia="仿宋"/>
          <w:sz w:val="32"/>
          <w:szCs w:val="32"/>
          <w:lang w:val="en-US" w:eastAsia="zh-CN"/>
        </w:rPr>
      </w:pPr>
      <w:r>
        <w:rPr>
          <w:rFonts w:ascii="仿宋" w:hAnsi="仿宋" w:eastAsia="仿宋"/>
          <w:sz w:val="32"/>
          <w:szCs w:val="32"/>
        </w:rPr>
        <w:t>20</w:t>
      </w:r>
      <w:r>
        <w:rPr>
          <w:rFonts w:hint="eastAsia" w:ascii="仿宋" w:hAnsi="仿宋" w:eastAsia="仿宋"/>
          <w:sz w:val="32"/>
          <w:szCs w:val="32"/>
        </w:rPr>
        <w:t>22年财政拨款收、支总计</w:t>
      </w:r>
      <w:r>
        <w:rPr>
          <w:rFonts w:hint="eastAsia" w:ascii="仿宋" w:hAnsi="仿宋" w:eastAsia="仿宋"/>
          <w:sz w:val="32"/>
          <w:szCs w:val="32"/>
          <w:lang w:val="en-US" w:eastAsia="zh-CN"/>
        </w:rPr>
        <w:t>1919.12</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21年</w:t>
      </w:r>
      <w:r>
        <w:rPr>
          <w:rFonts w:hint="eastAsia" w:ascii="仿宋" w:hAnsi="仿宋" w:eastAsia="仿宋"/>
          <w:sz w:val="32"/>
          <w:szCs w:val="32"/>
          <w:lang w:eastAsia="zh-CN"/>
        </w:rPr>
        <w:t>（</w:t>
      </w:r>
      <w:r>
        <w:rPr>
          <w:rFonts w:hint="eastAsia" w:ascii="仿宋" w:hAnsi="仿宋" w:eastAsia="仿宋"/>
          <w:sz w:val="32"/>
          <w:szCs w:val="32"/>
          <w:lang w:val="en-US" w:eastAsia="zh-CN"/>
        </w:rPr>
        <w:t>1692.93万元</w:t>
      </w:r>
      <w:r>
        <w:rPr>
          <w:rFonts w:hint="eastAsia" w:ascii="仿宋" w:hAnsi="仿宋" w:eastAsia="仿宋"/>
          <w:sz w:val="32"/>
          <w:szCs w:val="32"/>
          <w:lang w:eastAsia="zh-CN"/>
        </w:rPr>
        <w:t>）</w:t>
      </w:r>
      <w:r>
        <w:rPr>
          <w:rFonts w:hint="eastAsia" w:ascii="仿宋" w:hAnsi="仿宋" w:eastAsia="仿宋"/>
          <w:sz w:val="32"/>
          <w:szCs w:val="32"/>
        </w:rPr>
        <w:t>相比，财政拨款收、支总计各增加</w:t>
      </w:r>
      <w:r>
        <w:rPr>
          <w:rFonts w:hint="eastAsia" w:ascii="仿宋" w:hAnsi="仿宋" w:eastAsia="仿宋"/>
          <w:sz w:val="32"/>
          <w:szCs w:val="32"/>
          <w:lang w:val="en-US" w:eastAsia="zh-CN"/>
        </w:rPr>
        <w:t>226.49</w:t>
      </w:r>
      <w:r>
        <w:rPr>
          <w:rFonts w:hint="eastAsia" w:ascii="仿宋" w:hAnsi="仿宋" w:eastAsia="仿宋"/>
          <w:sz w:val="32"/>
          <w:szCs w:val="32"/>
        </w:rPr>
        <w:t>万元，增长</w:t>
      </w:r>
      <w:r>
        <w:rPr>
          <w:rFonts w:hint="eastAsia" w:ascii="仿宋" w:hAnsi="仿宋" w:eastAsia="仿宋"/>
          <w:sz w:val="32"/>
          <w:szCs w:val="32"/>
          <w:lang w:val="en-US" w:eastAsia="zh-CN"/>
        </w:rPr>
        <w:t>13.38</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项目支出增加，工资调标导致人员经费增加。</w:t>
      </w: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pStyle w:val="2"/>
        <w:rPr>
          <w:rFonts w:eastAsia="仿宋"/>
          <w:i/>
          <w:color w:val="000000"/>
          <w:sz w:val="32"/>
          <w:szCs w:val="32"/>
          <w:highlight w:val="yellow"/>
        </w:rPr>
      </w:pPr>
    </w:p>
    <w:p>
      <w:pPr>
        <w:rPr>
          <w:rFonts w:hint="eastAsia" w:eastAsia="仿宋"/>
          <w:lang w:eastAsia="zh-CN"/>
        </w:rPr>
      </w:pPr>
      <w:r>
        <w:rPr>
          <w:rFonts w:hint="eastAsia" w:eastAsia="仿宋"/>
          <w:lang w:eastAsia="zh-CN"/>
        </w:rPr>
        <w:drawing>
          <wp:inline distT="0" distB="0" distL="114300" distR="114300">
            <wp:extent cx="5080000" cy="3810000"/>
            <wp:effectExtent l="4445" t="4445" r="8255" b="825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 w:hAnsi="仿宋" w:eastAsia="仿宋"/>
          <w:b/>
          <w:sz w:val="32"/>
          <w:szCs w:val="32"/>
          <w:highlight w:val="none"/>
        </w:rPr>
      </w:pPr>
      <w:r>
        <w:rPr>
          <w:rFonts w:eastAsia="仿宋"/>
          <w:i/>
          <w:color w:val="000000"/>
          <w:sz w:val="32"/>
          <w:szCs w:val="32"/>
          <w:highlight w:val="none"/>
        </w:rPr>
        <w:t>（图4：财政拨款收、支决算总计变动情况）（柱状图）</w:t>
      </w:r>
    </w:p>
    <w:p>
      <w:pPr>
        <w:spacing w:line="600" w:lineRule="exact"/>
        <w:ind w:firstLine="640" w:firstLineChars="200"/>
        <w:outlineLvl w:val="1"/>
        <w:rPr>
          <w:rStyle w:val="30"/>
          <w:rFonts w:ascii="黑体" w:hAnsi="黑体" w:eastAsia="黑体"/>
          <w:b w:val="0"/>
        </w:rPr>
      </w:pPr>
      <w:bookmarkStart w:id="26" w:name="_Toc15377209"/>
      <w:bookmarkStart w:id="27" w:name="_Toc15396607"/>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26"/>
      <w:bookmarkEnd w:id="27"/>
    </w:p>
    <w:p>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pPr>
        <w:spacing w:line="600" w:lineRule="exact"/>
        <w:ind w:firstLine="640"/>
        <w:rPr>
          <w:rFonts w:hint="default" w:ascii="仿宋" w:hAnsi="仿宋" w:eastAsia="仿宋"/>
          <w:sz w:val="32"/>
          <w:szCs w:val="32"/>
          <w:lang w:val="en-US" w:eastAsia="zh-CN"/>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1919.12</w:t>
      </w:r>
      <w:r>
        <w:rPr>
          <w:rFonts w:hint="eastAsia" w:ascii="仿宋" w:hAnsi="仿宋" w:eastAsia="仿宋"/>
          <w:sz w:val="32"/>
          <w:szCs w:val="32"/>
        </w:rPr>
        <w:t>万元，占本年支出合计的</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21年</w:t>
      </w:r>
      <w:r>
        <w:rPr>
          <w:rFonts w:hint="eastAsia" w:ascii="仿宋" w:hAnsi="仿宋" w:eastAsia="仿宋"/>
          <w:sz w:val="32"/>
          <w:szCs w:val="32"/>
          <w:lang w:eastAsia="zh-CN"/>
        </w:rPr>
        <w:t>（</w:t>
      </w:r>
      <w:r>
        <w:rPr>
          <w:rFonts w:hint="eastAsia" w:ascii="仿宋" w:hAnsi="仿宋" w:eastAsia="仿宋"/>
          <w:sz w:val="32"/>
          <w:szCs w:val="32"/>
          <w:lang w:val="en-US" w:eastAsia="zh-CN"/>
        </w:rPr>
        <w:t>1692.93万元</w:t>
      </w:r>
      <w:r>
        <w:rPr>
          <w:rFonts w:hint="eastAsia" w:ascii="仿宋" w:hAnsi="仿宋" w:eastAsia="仿宋"/>
          <w:sz w:val="32"/>
          <w:szCs w:val="32"/>
          <w:lang w:eastAsia="zh-CN"/>
        </w:rPr>
        <w:t>）</w:t>
      </w:r>
      <w:r>
        <w:rPr>
          <w:rFonts w:hint="eastAsia" w:ascii="仿宋" w:hAnsi="仿宋" w:eastAsia="仿宋"/>
          <w:sz w:val="32"/>
          <w:szCs w:val="32"/>
        </w:rPr>
        <w:t>相比，一般公共预算财政拨款支出增加</w:t>
      </w:r>
      <w:r>
        <w:rPr>
          <w:rFonts w:hint="eastAsia" w:ascii="仿宋" w:hAnsi="仿宋" w:eastAsia="仿宋"/>
          <w:sz w:val="32"/>
          <w:szCs w:val="32"/>
          <w:lang w:val="en-US" w:eastAsia="zh-CN"/>
        </w:rPr>
        <w:t>226.49</w:t>
      </w:r>
      <w:r>
        <w:rPr>
          <w:rFonts w:hint="eastAsia" w:ascii="仿宋" w:hAnsi="仿宋" w:eastAsia="仿宋"/>
          <w:sz w:val="32"/>
          <w:szCs w:val="32"/>
        </w:rPr>
        <w:t>万元，增长</w:t>
      </w:r>
      <w:r>
        <w:rPr>
          <w:rFonts w:hint="eastAsia" w:ascii="仿宋" w:hAnsi="仿宋" w:eastAsia="仿宋"/>
          <w:sz w:val="32"/>
          <w:szCs w:val="32"/>
          <w:lang w:val="en-US" w:eastAsia="zh-CN"/>
        </w:rPr>
        <w:t>13.38</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项目支出增加，工资调标导致人员经费增加。</w:t>
      </w: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pStyle w:val="2"/>
        <w:rPr>
          <w:rFonts w:eastAsia="仿宋"/>
          <w:i/>
          <w:color w:val="000000"/>
          <w:sz w:val="32"/>
          <w:szCs w:val="32"/>
          <w:highlight w:val="yellow"/>
        </w:rPr>
      </w:pPr>
    </w:p>
    <w:p>
      <w:pPr>
        <w:rPr>
          <w:rFonts w:hint="eastAsia" w:eastAsia="仿宋"/>
          <w:highlight w:val="none"/>
          <w:lang w:eastAsia="zh-CN"/>
        </w:rPr>
      </w:pPr>
      <w:r>
        <w:rPr>
          <w:rFonts w:hint="eastAsia" w:eastAsia="仿宋"/>
          <w:highlight w:val="none"/>
          <w:lang w:eastAsia="zh-CN"/>
        </w:rPr>
        <w:drawing>
          <wp:inline distT="0" distB="0" distL="114300" distR="114300">
            <wp:extent cx="5080000" cy="3810000"/>
            <wp:effectExtent l="4445" t="4445" r="8255" b="825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eastAsia="仿宋"/>
          <w:i/>
          <w:color w:val="000000"/>
          <w:sz w:val="32"/>
          <w:szCs w:val="32"/>
          <w:highlight w:val="none"/>
        </w:rPr>
      </w:pPr>
      <w:r>
        <w:rPr>
          <w:rFonts w:eastAsia="仿宋"/>
          <w:i/>
          <w:color w:val="000000"/>
          <w:sz w:val="32"/>
          <w:szCs w:val="32"/>
          <w:highlight w:val="none"/>
        </w:rPr>
        <w:t>（图5：一般公共预算财政拨款支出决算变动情况）（柱状图）</w:t>
      </w:r>
    </w:p>
    <w:p>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1919.12</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lang w:val="en-US" w:eastAsia="zh-CN"/>
        </w:rPr>
        <w:t>公共安全</w:t>
      </w:r>
      <w:r>
        <w:rPr>
          <w:rFonts w:hint="eastAsia" w:ascii="仿宋" w:hAnsi="仿宋" w:eastAsia="仿宋"/>
          <w:b/>
          <w:bCs/>
          <w:sz w:val="32"/>
          <w:szCs w:val="32"/>
        </w:rPr>
        <w:t>支出</w:t>
      </w:r>
      <w:r>
        <w:rPr>
          <w:rFonts w:hint="eastAsia" w:ascii="仿宋" w:hAnsi="仿宋" w:eastAsia="仿宋"/>
          <w:b/>
          <w:bCs/>
          <w:sz w:val="32"/>
          <w:szCs w:val="32"/>
          <w:lang w:eastAsia="zh-CN"/>
        </w:rPr>
        <w:t>（</w:t>
      </w:r>
      <w:r>
        <w:rPr>
          <w:rFonts w:hint="eastAsia" w:ascii="仿宋" w:hAnsi="仿宋" w:eastAsia="仿宋"/>
          <w:b/>
          <w:bCs/>
          <w:sz w:val="32"/>
          <w:szCs w:val="32"/>
          <w:lang w:val="en-US" w:eastAsia="zh-CN"/>
        </w:rPr>
        <w:t>204</w:t>
      </w:r>
      <w:r>
        <w:rPr>
          <w:rFonts w:hint="eastAsia" w:ascii="仿宋" w:hAnsi="仿宋" w:eastAsia="仿宋"/>
          <w:b/>
          <w:bCs/>
          <w:sz w:val="32"/>
          <w:szCs w:val="32"/>
          <w:lang w:eastAsia="zh-CN"/>
        </w:rPr>
        <w:t>）</w:t>
      </w:r>
      <w:r>
        <w:rPr>
          <w:rFonts w:hint="eastAsia" w:ascii="仿宋" w:hAnsi="仿宋" w:eastAsia="仿宋"/>
          <w:sz w:val="32"/>
          <w:szCs w:val="32"/>
          <w:lang w:val="en-US" w:eastAsia="zh-CN"/>
        </w:rPr>
        <w:t>1856.58</w:t>
      </w:r>
      <w:r>
        <w:rPr>
          <w:rFonts w:hint="eastAsia" w:ascii="仿宋" w:hAnsi="仿宋" w:eastAsia="仿宋"/>
          <w:sz w:val="32"/>
          <w:szCs w:val="32"/>
        </w:rPr>
        <w:t>万元，占</w:t>
      </w:r>
      <w:r>
        <w:rPr>
          <w:rFonts w:hint="eastAsia" w:ascii="仿宋" w:hAnsi="仿宋" w:eastAsia="仿宋"/>
          <w:sz w:val="32"/>
          <w:szCs w:val="32"/>
          <w:lang w:val="en-US" w:eastAsia="zh-CN"/>
        </w:rPr>
        <w:t>96.74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b/>
          <w:bCs/>
          <w:sz w:val="32"/>
          <w:szCs w:val="32"/>
          <w:lang w:eastAsia="zh-CN"/>
        </w:rPr>
        <w:t>（</w:t>
      </w:r>
      <w:r>
        <w:rPr>
          <w:rFonts w:hint="eastAsia" w:ascii="仿宋" w:hAnsi="仿宋" w:eastAsia="仿宋"/>
          <w:b/>
          <w:bCs/>
          <w:sz w:val="32"/>
          <w:szCs w:val="32"/>
          <w:lang w:val="en-US" w:eastAsia="zh-CN"/>
        </w:rPr>
        <w:t>208</w:t>
      </w:r>
      <w:r>
        <w:rPr>
          <w:rFonts w:hint="eastAsia" w:ascii="仿宋" w:hAnsi="仿宋" w:eastAsia="仿宋"/>
          <w:b/>
          <w:bCs/>
          <w:sz w:val="32"/>
          <w:szCs w:val="32"/>
          <w:lang w:eastAsia="zh-CN"/>
        </w:rPr>
        <w:t>）</w:t>
      </w:r>
      <w:r>
        <w:rPr>
          <w:rFonts w:hint="eastAsia" w:ascii="仿宋" w:hAnsi="仿宋" w:eastAsia="仿宋"/>
          <w:b/>
          <w:bCs/>
          <w:sz w:val="32"/>
          <w:szCs w:val="32"/>
          <w:lang w:val="en-US" w:eastAsia="zh-CN"/>
        </w:rPr>
        <w:t>20.23</w:t>
      </w:r>
      <w:r>
        <w:rPr>
          <w:rFonts w:hint="eastAsia" w:ascii="仿宋" w:hAnsi="仿宋" w:eastAsia="仿宋"/>
          <w:sz w:val="32"/>
          <w:szCs w:val="32"/>
        </w:rPr>
        <w:t>万元，占</w:t>
      </w:r>
      <w:r>
        <w:rPr>
          <w:rFonts w:hint="eastAsia" w:ascii="仿宋" w:hAnsi="仿宋" w:eastAsia="仿宋"/>
          <w:sz w:val="32"/>
          <w:szCs w:val="32"/>
          <w:lang w:val="en-US" w:eastAsia="zh-CN"/>
        </w:rPr>
        <w:t>1.05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b/>
          <w:bCs/>
          <w:sz w:val="32"/>
          <w:szCs w:val="32"/>
          <w:lang w:eastAsia="zh-CN"/>
        </w:rPr>
        <w:t>（</w:t>
      </w:r>
      <w:r>
        <w:rPr>
          <w:rFonts w:hint="eastAsia" w:ascii="仿宋" w:hAnsi="仿宋" w:eastAsia="仿宋"/>
          <w:b/>
          <w:bCs/>
          <w:sz w:val="32"/>
          <w:szCs w:val="32"/>
          <w:lang w:val="en-US" w:eastAsia="zh-CN"/>
        </w:rPr>
        <w:t>210</w:t>
      </w:r>
      <w:r>
        <w:rPr>
          <w:rFonts w:hint="eastAsia" w:ascii="仿宋" w:hAnsi="仿宋" w:eastAsia="仿宋"/>
          <w:b/>
          <w:bCs/>
          <w:sz w:val="32"/>
          <w:szCs w:val="32"/>
          <w:lang w:eastAsia="zh-CN"/>
        </w:rPr>
        <w:t>）</w:t>
      </w:r>
      <w:r>
        <w:rPr>
          <w:rFonts w:hint="eastAsia" w:ascii="仿宋" w:hAnsi="仿宋" w:eastAsia="仿宋"/>
          <w:sz w:val="32"/>
          <w:szCs w:val="32"/>
          <w:lang w:val="en-US" w:eastAsia="zh-CN"/>
        </w:rPr>
        <w:t>14.24</w:t>
      </w:r>
      <w:r>
        <w:rPr>
          <w:rFonts w:hint="eastAsia" w:ascii="仿宋" w:hAnsi="仿宋" w:eastAsia="仿宋"/>
          <w:sz w:val="32"/>
          <w:szCs w:val="32"/>
        </w:rPr>
        <w:t>万元，占</w:t>
      </w:r>
      <w:r>
        <w:rPr>
          <w:rFonts w:hint="eastAsia" w:ascii="仿宋" w:hAnsi="仿宋" w:eastAsia="仿宋"/>
          <w:sz w:val="32"/>
          <w:szCs w:val="32"/>
          <w:lang w:val="en-US" w:eastAsia="zh-CN"/>
        </w:rPr>
        <w:t>0.74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b/>
          <w:bCs/>
          <w:sz w:val="32"/>
          <w:szCs w:val="32"/>
          <w:lang w:eastAsia="zh-CN"/>
        </w:rPr>
        <w:t>（</w:t>
      </w:r>
      <w:r>
        <w:rPr>
          <w:rFonts w:hint="eastAsia" w:ascii="仿宋" w:hAnsi="仿宋" w:eastAsia="仿宋"/>
          <w:b/>
          <w:bCs/>
          <w:sz w:val="32"/>
          <w:szCs w:val="32"/>
          <w:lang w:val="en-US" w:eastAsia="zh-CN"/>
        </w:rPr>
        <w:t>221</w:t>
      </w:r>
      <w:r>
        <w:rPr>
          <w:rFonts w:hint="eastAsia" w:ascii="仿宋" w:hAnsi="仿宋" w:eastAsia="仿宋"/>
          <w:b/>
          <w:bCs/>
          <w:sz w:val="32"/>
          <w:szCs w:val="32"/>
          <w:lang w:eastAsia="zh-CN"/>
        </w:rPr>
        <w:t>）</w:t>
      </w:r>
      <w:r>
        <w:rPr>
          <w:rFonts w:hint="eastAsia" w:ascii="仿宋" w:hAnsi="仿宋" w:eastAsia="仿宋"/>
          <w:sz w:val="32"/>
          <w:szCs w:val="32"/>
          <w:lang w:val="en-US" w:eastAsia="zh-CN"/>
        </w:rPr>
        <w:t>28.07</w:t>
      </w:r>
      <w:r>
        <w:rPr>
          <w:rFonts w:hint="eastAsia" w:ascii="仿宋" w:hAnsi="仿宋" w:eastAsia="仿宋"/>
          <w:sz w:val="32"/>
          <w:szCs w:val="32"/>
        </w:rPr>
        <w:t>万元，占</w:t>
      </w:r>
      <w:r>
        <w:rPr>
          <w:rFonts w:hint="eastAsia" w:ascii="仿宋" w:hAnsi="仿宋" w:eastAsia="仿宋"/>
          <w:sz w:val="32"/>
          <w:szCs w:val="32"/>
          <w:lang w:val="en-US" w:eastAsia="zh-CN"/>
        </w:rPr>
        <w:t>1.46</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spacing w:line="600" w:lineRule="exact"/>
        <w:ind w:firstLine="640" w:firstLineChars="200"/>
        <w:rPr>
          <w:rFonts w:eastAsia="仿宋"/>
          <w:i/>
          <w:color w:val="000000"/>
          <w:sz w:val="32"/>
          <w:szCs w:val="32"/>
          <w:highlight w:val="yellow"/>
        </w:rPr>
      </w:pPr>
    </w:p>
    <w:p>
      <w:pPr>
        <w:pStyle w:val="2"/>
        <w:rPr>
          <w:rFonts w:eastAsia="仿宋"/>
          <w:i/>
          <w:color w:val="000000"/>
          <w:sz w:val="32"/>
          <w:szCs w:val="32"/>
          <w:highlight w:val="yellow"/>
        </w:rPr>
      </w:pPr>
    </w:p>
    <w:p>
      <w:pPr>
        <w:rPr>
          <w:rFonts w:hint="eastAsia" w:eastAsia="仿宋"/>
          <w:i/>
          <w:color w:val="000000"/>
          <w:sz w:val="32"/>
          <w:szCs w:val="32"/>
          <w:highlight w:val="yellow"/>
          <w:lang w:eastAsia="zh-CN"/>
        </w:rPr>
      </w:pPr>
      <w:r>
        <w:rPr>
          <w:rFonts w:hint="eastAsia" w:eastAsia="仿宋"/>
          <w:i/>
          <w:color w:val="000000"/>
          <w:sz w:val="32"/>
          <w:szCs w:val="32"/>
          <w:highlight w:val="yellow"/>
          <w:lang w:eastAsia="zh-CN"/>
        </w:rPr>
        <w:drawing>
          <wp:inline distT="0" distB="0" distL="114300" distR="114300">
            <wp:extent cx="5187950" cy="5714365"/>
            <wp:effectExtent l="4445" t="4445" r="14605" b="889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2"/>
        <w:rPr>
          <w:rFonts w:eastAsia="仿宋"/>
          <w:i/>
          <w:color w:val="000000"/>
          <w:sz w:val="32"/>
          <w:szCs w:val="32"/>
          <w:highlight w:val="yellow"/>
        </w:rPr>
      </w:pPr>
    </w:p>
    <w:p/>
    <w:p>
      <w:pPr>
        <w:spacing w:line="600" w:lineRule="exact"/>
        <w:ind w:firstLine="640" w:firstLineChars="200"/>
        <w:rPr>
          <w:rFonts w:eastAsia="仿宋"/>
          <w:i/>
          <w:color w:val="000000"/>
          <w:sz w:val="32"/>
          <w:szCs w:val="32"/>
          <w:highlight w:val="none"/>
        </w:rPr>
      </w:pPr>
      <w:r>
        <w:rPr>
          <w:rFonts w:eastAsia="仿宋"/>
          <w:i/>
          <w:color w:val="000000"/>
          <w:sz w:val="32"/>
          <w:szCs w:val="32"/>
          <w:highlight w:val="none"/>
        </w:rPr>
        <w:t>（图6：一般公共预算财政拨款支出决算结构）（饼状图）</w:t>
      </w:r>
    </w:p>
    <w:p>
      <w:pPr>
        <w:spacing w:line="600" w:lineRule="exact"/>
        <w:ind w:firstLine="643" w:firstLineChars="200"/>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spacing w:line="600" w:lineRule="exact"/>
        <w:ind w:firstLine="643" w:firstLineChars="200"/>
        <w:outlineLvl w:val="2"/>
        <w:rPr>
          <w:rFonts w:ascii="仿宋" w:hAnsi="仿宋" w:eastAsia="仿宋"/>
          <w:sz w:val="32"/>
          <w:szCs w:val="32"/>
        </w:rPr>
      </w:pPr>
      <w:bookmarkStart w:id="31" w:name="_Toc15377444"/>
      <w:bookmarkStart w:id="32" w:name="_Toc15377213"/>
      <w:bookmarkStart w:id="33" w:name="_Toc15378460"/>
      <w:r>
        <w:rPr>
          <w:rFonts w:hint="eastAsia" w:ascii="仿宋" w:hAnsi="仿宋" w:eastAsia="仿宋"/>
          <w:b/>
          <w:sz w:val="32"/>
          <w:szCs w:val="32"/>
        </w:rPr>
        <w:t>2022年一般公共预算支出决算数为</w:t>
      </w:r>
      <w:r>
        <w:rPr>
          <w:rFonts w:hint="eastAsia" w:ascii="仿宋" w:hAnsi="仿宋" w:eastAsia="仿宋"/>
          <w:b/>
          <w:sz w:val="32"/>
          <w:szCs w:val="32"/>
          <w:lang w:val="en-US" w:eastAsia="zh-CN"/>
        </w:rPr>
        <w:t>1919.12万元</w:t>
      </w:r>
      <w:r>
        <w:rPr>
          <w:rFonts w:hint="eastAsia" w:ascii="仿宋" w:hAnsi="仿宋" w:eastAsia="仿宋"/>
          <w:sz w:val="32"/>
          <w:szCs w:val="32"/>
        </w:rPr>
        <w:t>，</w:t>
      </w:r>
      <w:r>
        <w:rPr>
          <w:rStyle w:val="18"/>
          <w:rFonts w:hint="eastAsia" w:ascii="仿宋" w:hAnsi="仿宋" w:eastAsia="仿宋"/>
          <w:bCs/>
          <w:sz w:val="32"/>
          <w:szCs w:val="32"/>
        </w:rPr>
        <w:t>完成预算</w:t>
      </w:r>
      <w:r>
        <w:rPr>
          <w:rStyle w:val="18"/>
          <w:rFonts w:hint="eastAsia" w:ascii="仿宋" w:hAnsi="仿宋" w:eastAsia="仿宋"/>
          <w:bCs/>
          <w:sz w:val="32"/>
          <w:szCs w:val="32"/>
          <w:lang w:val="en-US" w:eastAsia="zh-CN"/>
        </w:rPr>
        <w:t>100</w:t>
      </w:r>
      <w:r>
        <w:rPr>
          <w:rStyle w:val="18"/>
          <w:rFonts w:ascii="仿宋" w:hAnsi="仿宋" w:eastAsia="仿宋"/>
          <w:bCs/>
          <w:sz w:val="32"/>
          <w:szCs w:val="32"/>
        </w:rPr>
        <w:t>%</w:t>
      </w:r>
      <w:r>
        <w:rPr>
          <w:rStyle w:val="18"/>
          <w:rFonts w:hint="eastAsia" w:ascii="仿宋" w:hAnsi="仿宋" w:eastAsia="仿宋"/>
          <w:bCs/>
          <w:sz w:val="32"/>
          <w:szCs w:val="32"/>
        </w:rPr>
        <w:t>。其中：</w:t>
      </w:r>
      <w:bookmarkEnd w:id="31"/>
      <w:bookmarkEnd w:id="32"/>
      <w:bookmarkEnd w:id="33"/>
    </w:p>
    <w:p>
      <w:pPr>
        <w:spacing w:line="600" w:lineRule="exact"/>
        <w:ind w:firstLine="643" w:firstLineChars="200"/>
        <w:rPr>
          <w:rFonts w:ascii="仿宋" w:hAnsi="仿宋" w:eastAsia="仿宋"/>
          <w:b/>
          <w:sz w:val="32"/>
          <w:szCs w:val="32"/>
        </w:rPr>
      </w:pPr>
      <w:r>
        <w:rPr>
          <w:rStyle w:val="18"/>
          <w:rFonts w:hint="eastAsia" w:ascii="仿宋" w:hAnsi="仿宋" w:eastAsia="仿宋"/>
          <w:bCs/>
          <w:sz w:val="32"/>
          <w:szCs w:val="32"/>
          <w:lang w:val="en-US" w:eastAsia="zh-CN"/>
        </w:rPr>
        <w:t>1</w:t>
      </w:r>
      <w:r>
        <w:rPr>
          <w:rStyle w:val="18"/>
          <w:rFonts w:ascii="仿宋" w:hAnsi="仿宋" w:eastAsia="仿宋"/>
          <w:bCs/>
          <w:sz w:val="32"/>
          <w:szCs w:val="32"/>
        </w:rPr>
        <w:t>.</w:t>
      </w:r>
      <w:r>
        <w:rPr>
          <w:rStyle w:val="18"/>
          <w:rFonts w:hint="eastAsia" w:ascii="仿宋" w:hAnsi="仿宋" w:eastAsia="仿宋"/>
          <w:bCs/>
          <w:sz w:val="32"/>
          <w:szCs w:val="32"/>
        </w:rPr>
        <w:t>公共</w:t>
      </w:r>
      <w:r>
        <w:rPr>
          <w:rStyle w:val="18"/>
          <w:rFonts w:hint="eastAsia" w:ascii="仿宋" w:hAnsi="仿宋" w:eastAsia="仿宋"/>
          <w:bCs/>
          <w:sz w:val="32"/>
          <w:szCs w:val="32"/>
          <w:lang w:val="en-US" w:eastAsia="zh-CN"/>
        </w:rPr>
        <w:t>安全支出-行政运行204</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02</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01</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854.98</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，决算数等于预算数</w:t>
      </w:r>
      <w:r>
        <w:rPr>
          <w:rStyle w:val="18"/>
          <w:rFonts w:hint="eastAsia" w:ascii="仿宋" w:hAnsi="仿宋" w:eastAsia="仿宋"/>
          <w:b w:val="0"/>
          <w:bCs/>
          <w:sz w:val="32"/>
          <w:szCs w:val="32"/>
          <w:lang w:eastAsia="zh-CN"/>
        </w:rPr>
        <w:t>，</w:t>
      </w:r>
      <w:r>
        <w:rPr>
          <w:rStyle w:val="18"/>
          <w:rFonts w:hint="eastAsia" w:ascii="仿宋" w:hAnsi="仿宋" w:eastAsia="仿宋"/>
          <w:b w:val="0"/>
          <w:bCs/>
          <w:sz w:val="32"/>
          <w:szCs w:val="32"/>
        </w:rPr>
        <w:t>主要原因是</w:t>
      </w:r>
      <w:r>
        <w:rPr>
          <w:rStyle w:val="18"/>
          <w:rFonts w:hint="eastAsia" w:ascii="仿宋" w:hAnsi="仿宋" w:eastAsia="仿宋"/>
          <w:b w:val="0"/>
          <w:bCs/>
          <w:sz w:val="32"/>
          <w:szCs w:val="32"/>
          <w:lang w:val="en-US" w:eastAsia="zh-CN"/>
        </w:rPr>
        <w:t>严格执行财政预算制度</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2.</w:t>
      </w:r>
      <w:r>
        <w:rPr>
          <w:rStyle w:val="18"/>
          <w:rFonts w:hint="eastAsia" w:ascii="仿宋" w:hAnsi="仿宋" w:eastAsia="仿宋"/>
          <w:bCs/>
          <w:sz w:val="32"/>
          <w:szCs w:val="32"/>
        </w:rPr>
        <w:t>公共</w:t>
      </w:r>
      <w:r>
        <w:rPr>
          <w:rStyle w:val="18"/>
          <w:rFonts w:hint="eastAsia" w:ascii="仿宋" w:hAnsi="仿宋" w:eastAsia="仿宋"/>
          <w:bCs/>
          <w:sz w:val="32"/>
          <w:szCs w:val="32"/>
          <w:lang w:val="en-US" w:eastAsia="zh-CN"/>
        </w:rPr>
        <w:t>安全支出-一般行政管理事务204</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02</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02</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589.55</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，决算数等于预算数</w:t>
      </w:r>
      <w:r>
        <w:rPr>
          <w:rStyle w:val="18"/>
          <w:rFonts w:hint="eastAsia" w:ascii="仿宋" w:hAnsi="仿宋" w:eastAsia="仿宋"/>
          <w:b w:val="0"/>
          <w:bCs/>
          <w:sz w:val="32"/>
          <w:szCs w:val="32"/>
          <w:lang w:eastAsia="zh-CN"/>
        </w:rPr>
        <w:t>，</w:t>
      </w:r>
      <w:r>
        <w:rPr>
          <w:rStyle w:val="18"/>
          <w:rFonts w:hint="eastAsia" w:ascii="仿宋" w:hAnsi="仿宋" w:eastAsia="仿宋"/>
          <w:b w:val="0"/>
          <w:bCs/>
          <w:sz w:val="32"/>
          <w:szCs w:val="32"/>
        </w:rPr>
        <w:t>主要原因是</w:t>
      </w:r>
      <w:r>
        <w:rPr>
          <w:rStyle w:val="18"/>
          <w:rFonts w:hint="eastAsia" w:ascii="仿宋" w:hAnsi="仿宋" w:eastAsia="仿宋"/>
          <w:b w:val="0"/>
          <w:bCs/>
          <w:sz w:val="32"/>
          <w:szCs w:val="32"/>
          <w:lang w:val="en-US" w:eastAsia="zh-CN"/>
        </w:rPr>
        <w:t>严格执行财政预算制度</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3.</w:t>
      </w:r>
      <w:r>
        <w:rPr>
          <w:rStyle w:val="18"/>
          <w:rFonts w:hint="eastAsia" w:ascii="仿宋" w:hAnsi="仿宋" w:eastAsia="仿宋"/>
          <w:bCs/>
          <w:sz w:val="32"/>
          <w:szCs w:val="32"/>
        </w:rPr>
        <w:t>公共</w:t>
      </w:r>
      <w:r>
        <w:rPr>
          <w:rStyle w:val="18"/>
          <w:rFonts w:hint="eastAsia" w:ascii="仿宋" w:hAnsi="仿宋" w:eastAsia="仿宋"/>
          <w:bCs/>
          <w:sz w:val="32"/>
          <w:szCs w:val="32"/>
          <w:lang w:val="en-US" w:eastAsia="zh-CN"/>
        </w:rPr>
        <w:t>安全支出-特别业务204</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02</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21</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412.05</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，决算数等于预算数</w:t>
      </w:r>
      <w:r>
        <w:rPr>
          <w:rStyle w:val="18"/>
          <w:rFonts w:hint="eastAsia" w:ascii="仿宋" w:hAnsi="仿宋" w:eastAsia="仿宋"/>
          <w:b w:val="0"/>
          <w:bCs/>
          <w:sz w:val="32"/>
          <w:szCs w:val="32"/>
          <w:lang w:eastAsia="zh-CN"/>
        </w:rPr>
        <w:t>，</w:t>
      </w:r>
      <w:r>
        <w:rPr>
          <w:rStyle w:val="18"/>
          <w:rFonts w:hint="eastAsia" w:ascii="仿宋" w:hAnsi="仿宋" w:eastAsia="仿宋"/>
          <w:b w:val="0"/>
          <w:bCs/>
          <w:sz w:val="32"/>
          <w:szCs w:val="32"/>
        </w:rPr>
        <w:t>主要原因是</w:t>
      </w:r>
      <w:r>
        <w:rPr>
          <w:rStyle w:val="18"/>
          <w:rFonts w:hint="eastAsia" w:ascii="仿宋" w:hAnsi="仿宋" w:eastAsia="仿宋"/>
          <w:b w:val="0"/>
          <w:bCs/>
          <w:sz w:val="32"/>
          <w:szCs w:val="32"/>
          <w:lang w:val="en-US" w:eastAsia="zh-CN"/>
        </w:rPr>
        <w:t>严格执行财政预算制度</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4.</w:t>
      </w:r>
      <w:r>
        <w:rPr>
          <w:rStyle w:val="18"/>
          <w:rFonts w:hint="eastAsia" w:ascii="仿宋" w:hAnsi="仿宋" w:eastAsia="仿宋"/>
          <w:bCs/>
          <w:sz w:val="32"/>
          <w:szCs w:val="32"/>
        </w:rPr>
        <w:t>社会保障和就业</w:t>
      </w:r>
      <w:r>
        <w:rPr>
          <w:rStyle w:val="18"/>
          <w:rFonts w:hint="eastAsia" w:ascii="仿宋" w:hAnsi="仿宋" w:eastAsia="仿宋"/>
          <w:bCs/>
          <w:sz w:val="32"/>
          <w:szCs w:val="32"/>
          <w:lang w:val="en-US" w:eastAsia="zh-CN"/>
        </w:rPr>
        <w:t>-机关事业单位养老保险缴费208</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05</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05</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20.23</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，决算数等于预算数</w:t>
      </w:r>
      <w:r>
        <w:rPr>
          <w:rStyle w:val="18"/>
          <w:rFonts w:hint="eastAsia" w:ascii="仿宋" w:hAnsi="仿宋" w:eastAsia="仿宋"/>
          <w:b w:val="0"/>
          <w:bCs/>
          <w:sz w:val="32"/>
          <w:szCs w:val="32"/>
          <w:lang w:eastAsia="zh-CN"/>
        </w:rPr>
        <w:t>，</w:t>
      </w:r>
      <w:r>
        <w:rPr>
          <w:rStyle w:val="18"/>
          <w:rFonts w:hint="eastAsia" w:ascii="仿宋" w:hAnsi="仿宋" w:eastAsia="仿宋"/>
          <w:b w:val="0"/>
          <w:bCs/>
          <w:sz w:val="32"/>
          <w:szCs w:val="32"/>
        </w:rPr>
        <w:t>主要原因是</w:t>
      </w:r>
      <w:r>
        <w:rPr>
          <w:rStyle w:val="18"/>
          <w:rFonts w:hint="eastAsia" w:ascii="仿宋" w:hAnsi="仿宋" w:eastAsia="仿宋"/>
          <w:b w:val="0"/>
          <w:bCs/>
          <w:sz w:val="32"/>
          <w:szCs w:val="32"/>
          <w:lang w:val="en-US" w:eastAsia="zh-CN"/>
        </w:rPr>
        <w:t>严格执行财政预算制度</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hint="eastAsia" w:ascii="仿宋" w:hAnsi="仿宋" w:eastAsia="仿宋"/>
          <w:bCs/>
          <w:sz w:val="32"/>
          <w:szCs w:val="32"/>
          <w:lang w:val="en-US" w:eastAsia="zh-CN"/>
        </w:rPr>
        <w:t>5</w:t>
      </w:r>
      <w:r>
        <w:rPr>
          <w:rStyle w:val="18"/>
          <w:rFonts w:ascii="仿宋" w:hAnsi="仿宋" w:eastAsia="仿宋"/>
          <w:bCs/>
          <w:sz w:val="32"/>
          <w:szCs w:val="32"/>
        </w:rPr>
        <w:t>.</w:t>
      </w:r>
      <w:r>
        <w:rPr>
          <w:rFonts w:hint="eastAsia" w:ascii="仿宋" w:hAnsi="仿宋" w:eastAsia="仿宋"/>
          <w:b/>
          <w:bCs/>
          <w:sz w:val="32"/>
          <w:szCs w:val="32"/>
        </w:rPr>
        <w:t>卫生健康</w:t>
      </w:r>
      <w:r>
        <w:rPr>
          <w:rFonts w:hint="eastAsia" w:ascii="仿宋" w:hAnsi="仿宋" w:eastAsia="仿宋"/>
          <w:b/>
          <w:bCs/>
          <w:sz w:val="32"/>
          <w:szCs w:val="32"/>
          <w:lang w:val="en-US" w:eastAsia="zh-CN"/>
        </w:rPr>
        <w:t>--重大公共卫生服务210</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04</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09</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，决算数等于预算数</w:t>
      </w:r>
      <w:r>
        <w:rPr>
          <w:rStyle w:val="18"/>
          <w:rFonts w:hint="eastAsia" w:ascii="仿宋" w:hAnsi="仿宋" w:eastAsia="仿宋"/>
          <w:b w:val="0"/>
          <w:bCs/>
          <w:sz w:val="32"/>
          <w:szCs w:val="32"/>
          <w:lang w:eastAsia="zh-CN"/>
        </w:rPr>
        <w:t>，</w:t>
      </w:r>
      <w:r>
        <w:rPr>
          <w:rStyle w:val="18"/>
          <w:rFonts w:hint="eastAsia" w:ascii="仿宋" w:hAnsi="仿宋" w:eastAsia="仿宋"/>
          <w:b w:val="0"/>
          <w:bCs/>
          <w:sz w:val="32"/>
          <w:szCs w:val="32"/>
        </w:rPr>
        <w:t>主要原因是</w:t>
      </w:r>
      <w:r>
        <w:rPr>
          <w:rStyle w:val="18"/>
          <w:rFonts w:hint="eastAsia" w:ascii="仿宋" w:hAnsi="仿宋" w:eastAsia="仿宋"/>
          <w:b w:val="0"/>
          <w:bCs/>
          <w:sz w:val="32"/>
          <w:szCs w:val="32"/>
          <w:lang w:val="en-US" w:eastAsia="zh-CN"/>
        </w:rPr>
        <w:t>严格执行财政预算制度</w:t>
      </w:r>
      <w:r>
        <w:rPr>
          <w:rStyle w:val="18"/>
          <w:rFonts w:hint="eastAsia" w:ascii="仿宋" w:hAnsi="仿宋" w:eastAsia="仿宋"/>
          <w:b w:val="0"/>
          <w:bCs/>
          <w:sz w:val="32"/>
          <w:szCs w:val="32"/>
        </w:rPr>
        <w:t>。</w:t>
      </w:r>
    </w:p>
    <w:p>
      <w:pPr>
        <w:spacing w:line="600" w:lineRule="exact"/>
        <w:ind w:firstLine="643" w:firstLineChars="200"/>
        <w:rPr>
          <w:rStyle w:val="18"/>
          <w:rFonts w:hint="eastAsia" w:ascii="仿宋" w:hAnsi="仿宋" w:eastAsia="仿宋"/>
          <w:b w:val="0"/>
          <w:bCs/>
          <w:sz w:val="32"/>
          <w:szCs w:val="32"/>
        </w:rPr>
      </w:pPr>
      <w:r>
        <w:rPr>
          <w:rFonts w:hint="eastAsia" w:ascii="仿宋" w:hAnsi="仿宋" w:eastAsia="仿宋"/>
          <w:b/>
          <w:sz w:val="32"/>
          <w:szCs w:val="32"/>
          <w:lang w:val="en-US" w:eastAsia="zh-CN"/>
        </w:rPr>
        <w:t>6.</w:t>
      </w:r>
      <w:r>
        <w:rPr>
          <w:rFonts w:hint="eastAsia" w:ascii="仿宋" w:hAnsi="仿宋" w:eastAsia="仿宋"/>
          <w:b/>
          <w:bCs/>
          <w:sz w:val="32"/>
          <w:szCs w:val="32"/>
        </w:rPr>
        <w:t>卫生健康</w:t>
      </w:r>
      <w:r>
        <w:rPr>
          <w:rFonts w:hint="eastAsia" w:ascii="仿宋" w:hAnsi="仿宋" w:eastAsia="仿宋"/>
          <w:b/>
          <w:bCs/>
          <w:sz w:val="32"/>
          <w:szCs w:val="32"/>
          <w:lang w:val="en-US" w:eastAsia="zh-CN"/>
        </w:rPr>
        <w:t>-行政单位医疗210</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11</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01</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11.73</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，决算数等于预算数</w:t>
      </w:r>
      <w:r>
        <w:rPr>
          <w:rStyle w:val="18"/>
          <w:rFonts w:hint="eastAsia" w:ascii="仿宋" w:hAnsi="仿宋" w:eastAsia="仿宋"/>
          <w:b w:val="0"/>
          <w:bCs/>
          <w:sz w:val="32"/>
          <w:szCs w:val="32"/>
          <w:lang w:eastAsia="zh-CN"/>
        </w:rPr>
        <w:t>，</w:t>
      </w:r>
      <w:r>
        <w:rPr>
          <w:rStyle w:val="18"/>
          <w:rFonts w:hint="eastAsia" w:ascii="仿宋" w:hAnsi="仿宋" w:eastAsia="仿宋"/>
          <w:b w:val="0"/>
          <w:bCs/>
          <w:sz w:val="32"/>
          <w:szCs w:val="32"/>
        </w:rPr>
        <w:t>主要原因是</w:t>
      </w:r>
      <w:r>
        <w:rPr>
          <w:rStyle w:val="18"/>
          <w:rFonts w:hint="eastAsia" w:ascii="仿宋" w:hAnsi="仿宋" w:eastAsia="仿宋"/>
          <w:b w:val="0"/>
          <w:bCs/>
          <w:sz w:val="32"/>
          <w:szCs w:val="32"/>
          <w:lang w:val="en-US" w:eastAsia="zh-CN"/>
        </w:rPr>
        <w:t>严格执行财政预算制度</w:t>
      </w:r>
      <w:r>
        <w:rPr>
          <w:rStyle w:val="18"/>
          <w:rFonts w:hint="eastAsia" w:ascii="仿宋" w:hAnsi="仿宋" w:eastAsia="仿宋"/>
          <w:b w:val="0"/>
          <w:bCs/>
          <w:sz w:val="32"/>
          <w:szCs w:val="32"/>
        </w:rPr>
        <w:t>。</w:t>
      </w:r>
    </w:p>
    <w:p>
      <w:pPr>
        <w:spacing w:line="600" w:lineRule="exact"/>
        <w:ind w:firstLine="643" w:firstLineChars="200"/>
        <w:rPr>
          <w:rStyle w:val="18"/>
          <w:rFonts w:hint="eastAsia" w:ascii="仿宋" w:hAnsi="仿宋" w:eastAsia="仿宋"/>
          <w:b w:val="0"/>
          <w:bCs/>
          <w:sz w:val="32"/>
          <w:szCs w:val="32"/>
        </w:rPr>
      </w:pPr>
      <w:r>
        <w:rPr>
          <w:rFonts w:hint="eastAsia" w:ascii="仿宋" w:hAnsi="仿宋" w:eastAsia="仿宋"/>
          <w:b/>
          <w:bCs/>
          <w:sz w:val="32"/>
          <w:szCs w:val="32"/>
          <w:lang w:val="en-US" w:eastAsia="zh-CN"/>
        </w:rPr>
        <w:t>7.</w:t>
      </w:r>
      <w:r>
        <w:rPr>
          <w:rFonts w:hint="eastAsia" w:ascii="仿宋" w:hAnsi="仿宋" w:eastAsia="仿宋"/>
          <w:b/>
          <w:bCs/>
          <w:sz w:val="32"/>
          <w:szCs w:val="32"/>
        </w:rPr>
        <w:t>卫生健康</w:t>
      </w:r>
      <w:r>
        <w:rPr>
          <w:rFonts w:hint="eastAsia" w:ascii="仿宋" w:hAnsi="仿宋" w:eastAsia="仿宋"/>
          <w:b/>
          <w:bCs/>
          <w:sz w:val="32"/>
          <w:szCs w:val="32"/>
          <w:lang w:val="en-US" w:eastAsia="zh-CN"/>
        </w:rPr>
        <w:t>-公务员医疗补助210</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11</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03</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1.5</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，决算数等于预算数</w:t>
      </w:r>
      <w:r>
        <w:rPr>
          <w:rStyle w:val="18"/>
          <w:rFonts w:hint="eastAsia" w:ascii="仿宋" w:hAnsi="仿宋" w:eastAsia="仿宋"/>
          <w:b w:val="0"/>
          <w:bCs/>
          <w:sz w:val="32"/>
          <w:szCs w:val="32"/>
          <w:lang w:eastAsia="zh-CN"/>
        </w:rPr>
        <w:t>，</w:t>
      </w:r>
      <w:r>
        <w:rPr>
          <w:rStyle w:val="18"/>
          <w:rFonts w:hint="eastAsia" w:ascii="仿宋" w:hAnsi="仿宋" w:eastAsia="仿宋"/>
          <w:b w:val="0"/>
          <w:bCs/>
          <w:sz w:val="32"/>
          <w:szCs w:val="32"/>
        </w:rPr>
        <w:t>主要原因是</w:t>
      </w:r>
      <w:r>
        <w:rPr>
          <w:rStyle w:val="18"/>
          <w:rFonts w:hint="eastAsia" w:ascii="仿宋" w:hAnsi="仿宋" w:eastAsia="仿宋"/>
          <w:b w:val="0"/>
          <w:bCs/>
          <w:sz w:val="32"/>
          <w:szCs w:val="32"/>
          <w:lang w:val="en-US" w:eastAsia="zh-CN"/>
        </w:rPr>
        <w:t>严格执行财政预算制度</w:t>
      </w:r>
      <w:r>
        <w:rPr>
          <w:rStyle w:val="18"/>
          <w:rFonts w:hint="eastAsia" w:ascii="仿宋" w:hAnsi="仿宋" w:eastAsia="仿宋"/>
          <w:b w:val="0"/>
          <w:bCs/>
          <w:sz w:val="32"/>
          <w:szCs w:val="32"/>
        </w:rPr>
        <w:t>。</w:t>
      </w:r>
    </w:p>
    <w:p>
      <w:pPr>
        <w:spacing w:line="600" w:lineRule="exact"/>
        <w:ind w:firstLine="640" w:firstLineChars="200"/>
        <w:rPr>
          <w:rFonts w:ascii="仿宋" w:hAnsi="仿宋" w:eastAsia="仿宋"/>
          <w:b/>
          <w:sz w:val="32"/>
          <w:szCs w:val="32"/>
        </w:rPr>
      </w:pPr>
      <w:r>
        <w:rPr>
          <w:rStyle w:val="18"/>
          <w:rFonts w:hint="eastAsia" w:ascii="仿宋" w:hAnsi="仿宋" w:eastAsia="仿宋"/>
          <w:b w:val="0"/>
          <w:bCs/>
          <w:sz w:val="32"/>
          <w:szCs w:val="32"/>
          <w:lang w:val="en-US" w:eastAsia="zh-CN"/>
        </w:rPr>
        <w:t>8.</w:t>
      </w:r>
      <w:r>
        <w:rPr>
          <w:rFonts w:hint="eastAsia" w:ascii="仿宋" w:hAnsi="仿宋" w:eastAsia="仿宋"/>
          <w:b/>
          <w:bCs/>
          <w:sz w:val="32"/>
          <w:szCs w:val="32"/>
        </w:rPr>
        <w:t>卫生健康</w:t>
      </w:r>
      <w:r>
        <w:rPr>
          <w:rFonts w:hint="eastAsia" w:ascii="仿宋" w:hAnsi="仿宋" w:eastAsia="仿宋"/>
          <w:b/>
          <w:bCs/>
          <w:sz w:val="32"/>
          <w:szCs w:val="32"/>
          <w:lang w:val="en-US" w:eastAsia="zh-CN"/>
        </w:rPr>
        <w:t>-住房公积金221</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02</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01</w:t>
      </w:r>
      <w:r>
        <w:rPr>
          <w:rStyle w:val="18"/>
          <w:rFonts w:hint="eastAsia" w:ascii="仿宋" w:hAnsi="仿宋" w:eastAsia="仿宋"/>
          <w:bCs/>
          <w:sz w:val="32"/>
          <w:szCs w:val="32"/>
        </w:rPr>
        <w:t>（项）</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28.07</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，决算数等于预算数</w:t>
      </w:r>
      <w:r>
        <w:rPr>
          <w:rStyle w:val="18"/>
          <w:rFonts w:hint="eastAsia" w:ascii="仿宋" w:hAnsi="仿宋" w:eastAsia="仿宋"/>
          <w:b w:val="0"/>
          <w:bCs/>
          <w:sz w:val="32"/>
          <w:szCs w:val="32"/>
          <w:lang w:eastAsia="zh-CN"/>
        </w:rPr>
        <w:t>，</w:t>
      </w:r>
      <w:r>
        <w:rPr>
          <w:rStyle w:val="18"/>
          <w:rFonts w:hint="eastAsia" w:ascii="仿宋" w:hAnsi="仿宋" w:eastAsia="仿宋"/>
          <w:b w:val="0"/>
          <w:bCs/>
          <w:sz w:val="32"/>
          <w:szCs w:val="32"/>
        </w:rPr>
        <w:t>主要原因是</w:t>
      </w:r>
      <w:r>
        <w:rPr>
          <w:rStyle w:val="18"/>
          <w:rFonts w:hint="eastAsia" w:ascii="仿宋" w:hAnsi="仿宋" w:eastAsia="仿宋"/>
          <w:b w:val="0"/>
          <w:bCs/>
          <w:sz w:val="32"/>
          <w:szCs w:val="32"/>
          <w:lang w:val="en-US" w:eastAsia="zh-CN"/>
        </w:rPr>
        <w:t>严格执行财政预算制度</w:t>
      </w:r>
      <w:r>
        <w:rPr>
          <w:rStyle w:val="18"/>
          <w:rFonts w:hint="eastAsia" w:ascii="仿宋" w:hAnsi="仿宋" w:eastAsia="仿宋"/>
          <w:b w:val="0"/>
          <w:bCs/>
          <w:sz w:val="32"/>
          <w:szCs w:val="32"/>
        </w:rPr>
        <w:t>。</w:t>
      </w:r>
    </w:p>
    <w:p>
      <w:pPr>
        <w:pStyle w:val="2"/>
        <w:ind w:firstLine="420" w:firstLineChars="200"/>
        <w:rPr>
          <w:rFonts w:hint="default" w:eastAsia="仿宋"/>
          <w:lang w:val="en-US" w:eastAsia="zh-CN"/>
        </w:rPr>
      </w:pPr>
    </w:p>
    <w:p>
      <w:pPr>
        <w:tabs>
          <w:tab w:val="right" w:pos="8306"/>
        </w:tabs>
        <w:spacing w:line="600" w:lineRule="exact"/>
        <w:ind w:firstLine="640"/>
        <w:outlineLvl w:val="1"/>
        <w:rPr>
          <w:rStyle w:val="30"/>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34"/>
      <w:bookmarkEnd w:id="35"/>
      <w:r>
        <w:rPr>
          <w:rStyle w:val="30"/>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22年一般公共预算财政拨款基本支出</w:t>
      </w:r>
      <w:r>
        <w:rPr>
          <w:rFonts w:hint="eastAsia" w:ascii="仿宋" w:hAnsi="仿宋" w:eastAsia="仿宋"/>
          <w:sz w:val="32"/>
          <w:szCs w:val="32"/>
          <w:lang w:val="en-US" w:eastAsia="zh-CN"/>
        </w:rPr>
        <w:t>916.52</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286.72</w:t>
      </w:r>
      <w:r>
        <w:rPr>
          <w:rFonts w:hint="eastAsia" w:ascii="仿宋" w:hAnsi="仿宋" w:eastAsia="仿宋"/>
          <w:sz w:val="32"/>
          <w:szCs w:val="32"/>
        </w:rPr>
        <w:t>万元，主要包括：基本工资、津贴补贴、奖金、机关事业单位基本养老保险缴费、职业年金缴费、其他社会保障缴费、其他工资福利支出、退休费、奖励金、住房公积金、其他对个人和家庭的补助支出等。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sz w:val="32"/>
          <w:szCs w:val="32"/>
          <w:lang w:val="en-US" w:eastAsia="zh-CN"/>
        </w:rPr>
        <w:t>629.8</w:t>
      </w:r>
      <w:r>
        <w:rPr>
          <w:rFonts w:hint="eastAsia" w:ascii="仿宋" w:hAnsi="仿宋" w:eastAsia="仿宋"/>
          <w:sz w:val="32"/>
          <w:szCs w:val="32"/>
        </w:rPr>
        <w:t>万元，主要包括：办公费、印刷费、咨询费、水费、电费、邮电费、物业管理费、差旅费、维修（护）费、租赁费、培训费、劳务费、工会经费、福利费、公务用车运行维护费、其他交通费、其他商品和服务支出、办公设备购置、专用设备购置、其他资本性支出等。</w:t>
      </w:r>
    </w:p>
    <w:p>
      <w:pPr>
        <w:spacing w:line="600" w:lineRule="exact"/>
        <w:ind w:firstLine="640"/>
        <w:outlineLvl w:val="1"/>
        <w:rPr>
          <w:rStyle w:val="30"/>
          <w:rFonts w:ascii="黑体" w:hAnsi="黑体" w:eastAsia="黑体"/>
          <w:b w:val="0"/>
        </w:rPr>
      </w:pPr>
      <w:bookmarkStart w:id="36" w:name="_Toc15377215"/>
      <w:bookmarkStart w:id="37" w:name="_Toc15396609"/>
      <w:r>
        <w:rPr>
          <w:rFonts w:hint="eastAsia" w:ascii="黑体" w:eastAsia="黑体"/>
          <w:sz w:val="32"/>
          <w:szCs w:val="32"/>
        </w:rPr>
        <w:t>七、</w:t>
      </w:r>
      <w:r>
        <w:rPr>
          <w:rStyle w:val="30"/>
          <w:rFonts w:hint="eastAsia" w:ascii="黑体" w:hAnsi="黑体" w:eastAsia="黑体"/>
          <w:b w:val="0"/>
        </w:rPr>
        <w:t>财政拨款</w:t>
      </w:r>
      <w:r>
        <w:rPr>
          <w:rStyle w:val="30"/>
          <w:rFonts w:hint="eastAsia" w:ascii="黑体" w:hAnsi="黑体" w:eastAsia="黑体"/>
        </w:rPr>
        <w:t>“</w:t>
      </w:r>
      <w:r>
        <w:rPr>
          <w:rStyle w:val="30"/>
          <w:rFonts w:hint="eastAsia" w:ascii="黑体" w:hAnsi="黑体" w:eastAsia="黑体"/>
          <w:b w:val="0"/>
        </w:rPr>
        <w:t>三公”经费支出决算情况说明</w:t>
      </w:r>
      <w:bookmarkEnd w:id="36"/>
      <w:bookmarkEnd w:id="37"/>
    </w:p>
    <w:p>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spacing w:line="600" w:lineRule="exact"/>
        <w:ind w:firstLine="640"/>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22年“三公”经费财政拨款支出决算为</w:t>
      </w:r>
      <w:r>
        <w:rPr>
          <w:rFonts w:hint="eastAsia" w:ascii="仿宋" w:hAnsi="仿宋" w:eastAsia="仿宋"/>
          <w:sz w:val="32"/>
          <w:szCs w:val="32"/>
          <w:lang w:val="en-US" w:eastAsia="zh-CN"/>
        </w:rPr>
        <w:t>50.99</w:t>
      </w:r>
      <w:r>
        <w:rPr>
          <w:rFonts w:hint="eastAsia" w:ascii="仿宋" w:hAnsi="仿宋" w:eastAsia="仿宋"/>
          <w:sz w:val="32"/>
          <w:szCs w:val="32"/>
        </w:rPr>
        <w:t>万元，完成预算</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，较上年减少</w:t>
      </w:r>
      <w:r>
        <w:rPr>
          <w:rFonts w:hint="eastAsia" w:ascii="仿宋" w:hAnsi="仿宋" w:eastAsia="仿宋"/>
          <w:sz w:val="32"/>
          <w:szCs w:val="32"/>
          <w:lang w:val="en-US" w:eastAsia="zh-CN"/>
        </w:rPr>
        <w:t>61.21</w:t>
      </w:r>
      <w:r>
        <w:rPr>
          <w:rFonts w:hint="eastAsia" w:ascii="仿宋" w:hAnsi="仿宋" w:eastAsia="仿宋"/>
          <w:sz w:val="32"/>
          <w:szCs w:val="32"/>
        </w:rPr>
        <w:t>万元，下降</w:t>
      </w:r>
      <w:r>
        <w:rPr>
          <w:rFonts w:hint="eastAsia" w:ascii="仿宋" w:hAnsi="仿宋" w:eastAsia="仿宋"/>
          <w:sz w:val="32"/>
          <w:szCs w:val="32"/>
          <w:lang w:val="en-US" w:eastAsia="zh-CN"/>
        </w:rPr>
        <w:t>54.56</w:t>
      </w:r>
      <w:r>
        <w:rPr>
          <w:rFonts w:hint="eastAsia" w:ascii="仿宋" w:hAnsi="仿宋" w:eastAsia="仿宋"/>
          <w:sz w:val="32"/>
          <w:szCs w:val="32"/>
        </w:rPr>
        <w:t>%。政府性基金预算财政拨款支出</w:t>
      </w:r>
      <w:r>
        <w:rPr>
          <w:rFonts w:hint="eastAsia" w:ascii="仿宋" w:hAnsi="仿宋" w:eastAsia="仿宋"/>
          <w:sz w:val="32"/>
          <w:szCs w:val="32"/>
          <w:lang w:val="en-US" w:eastAsia="zh-CN"/>
        </w:rPr>
        <w:t>数为0万元。</w:t>
      </w:r>
      <w:r>
        <w:rPr>
          <w:rFonts w:hint="eastAsia" w:ascii="仿宋" w:hAnsi="仿宋" w:eastAsia="仿宋"/>
          <w:sz w:val="32"/>
          <w:szCs w:val="32"/>
        </w:rPr>
        <w:t>决算数与预算数持平</w:t>
      </w:r>
      <w:r>
        <w:rPr>
          <w:rFonts w:hint="eastAsia" w:ascii="仿宋" w:hAnsi="仿宋" w:eastAsia="仿宋"/>
          <w:sz w:val="32"/>
          <w:szCs w:val="32"/>
          <w:lang w:eastAsia="zh-CN"/>
        </w:rPr>
        <w:t>，</w:t>
      </w:r>
      <w:r>
        <w:rPr>
          <w:rFonts w:hint="eastAsia" w:ascii="仿宋" w:hAnsi="仿宋" w:eastAsia="仿宋"/>
          <w:sz w:val="32"/>
          <w:szCs w:val="32"/>
          <w:lang w:val="en-US" w:eastAsia="zh-CN"/>
        </w:rPr>
        <w:t>变动原因：2022年未购置新车</w:t>
      </w:r>
      <w:r>
        <w:rPr>
          <w:rFonts w:hint="eastAsia" w:ascii="仿宋" w:hAnsi="仿宋" w:eastAsia="仿宋"/>
          <w:sz w:val="32"/>
          <w:szCs w:val="32"/>
        </w:rPr>
        <w:t>。</w:t>
      </w:r>
    </w:p>
    <w:p>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50.99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rPr>
          <w:rFonts w:eastAsia="仿宋"/>
          <w:i/>
          <w:color w:val="000000"/>
          <w:sz w:val="32"/>
          <w:szCs w:val="32"/>
          <w:highlight w:val="none"/>
        </w:rPr>
      </w:pPr>
      <w:r>
        <w:rPr>
          <w:rFonts w:eastAsia="仿宋"/>
          <w:i/>
          <w:color w:val="000000"/>
          <w:sz w:val="32"/>
          <w:szCs w:val="32"/>
          <w:highlight w:val="none"/>
        </w:rPr>
        <w:t>（图7：“三公”经费财政拨款支出结构）（饼状图）</w:t>
      </w:r>
    </w:p>
    <w:p>
      <w:pPr>
        <w:pStyle w:val="2"/>
        <w:rPr>
          <w:rFonts w:eastAsia="仿宋"/>
          <w:i/>
          <w:color w:val="000000"/>
          <w:sz w:val="32"/>
          <w:szCs w:val="32"/>
          <w:highlight w:val="yellow"/>
        </w:rPr>
      </w:pPr>
    </w:p>
    <w:p>
      <w:pPr>
        <w:rPr>
          <w:rFonts w:eastAsia="仿宋"/>
          <w:i/>
          <w:color w:val="000000"/>
          <w:sz w:val="32"/>
          <w:szCs w:val="32"/>
          <w:highlight w:val="yellow"/>
        </w:rPr>
      </w:pPr>
    </w:p>
    <w:p>
      <w:pPr>
        <w:pStyle w:val="2"/>
        <w:rPr>
          <w:rFonts w:eastAsia="仿宋"/>
          <w:i/>
          <w:color w:val="000000"/>
          <w:sz w:val="32"/>
          <w:szCs w:val="32"/>
          <w:highlight w:val="yellow"/>
        </w:rPr>
      </w:pPr>
    </w:p>
    <w:p>
      <w:pPr>
        <w:rPr>
          <w:rFonts w:eastAsia="仿宋"/>
          <w:i/>
          <w:color w:val="000000"/>
          <w:sz w:val="32"/>
          <w:szCs w:val="32"/>
          <w:highlight w:val="yellow"/>
        </w:rPr>
      </w:pPr>
    </w:p>
    <w:p>
      <w:pPr>
        <w:pStyle w:val="2"/>
        <w:rPr>
          <w:rFonts w:eastAsia="仿宋"/>
          <w:i/>
          <w:color w:val="000000"/>
          <w:sz w:val="32"/>
          <w:szCs w:val="32"/>
          <w:highlight w:val="yellow"/>
        </w:rPr>
      </w:pPr>
    </w:p>
    <w:p>
      <w:pPr>
        <w:rPr>
          <w:rFonts w:hint="eastAsia" w:eastAsia="仿宋"/>
          <w:lang w:eastAsia="zh-CN"/>
        </w:rPr>
      </w:pPr>
      <w:r>
        <w:rPr>
          <w:rFonts w:hint="eastAsia" w:eastAsia="仿宋"/>
          <w:lang w:eastAsia="zh-CN"/>
        </w:rPr>
        <w:drawing>
          <wp:inline distT="0" distB="0" distL="114300" distR="114300">
            <wp:extent cx="5080000" cy="3810000"/>
            <wp:effectExtent l="4445" t="4445" r="8255" b="825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2"/>
      </w:pPr>
    </w:p>
    <w:p>
      <w:pPr>
        <w:spacing w:line="600" w:lineRule="exact"/>
        <w:ind w:firstLine="640"/>
        <w:rPr>
          <w:rFonts w:eastAsia="仿宋"/>
          <w:i/>
          <w:color w:val="000000"/>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人。因公出国（境）支出决算比</w:t>
      </w:r>
      <w:r>
        <w:rPr>
          <w:rFonts w:ascii="仿宋_GB2312" w:eastAsia="仿宋_GB2312"/>
          <w:sz w:val="32"/>
          <w:szCs w:val="32"/>
        </w:rPr>
        <w:t>20</w:t>
      </w:r>
      <w:r>
        <w:rPr>
          <w:rFonts w:hint="eastAsia" w:ascii="仿宋_GB2312" w:eastAsia="仿宋_GB2312"/>
          <w:sz w:val="32"/>
          <w:szCs w:val="32"/>
        </w:rPr>
        <w:t>21年增加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50.99</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ascii="仿宋_GB2312" w:eastAsia="仿宋_GB2312"/>
          <w:sz w:val="32"/>
          <w:szCs w:val="32"/>
        </w:rPr>
        <w:t>20</w:t>
      </w:r>
      <w:r>
        <w:rPr>
          <w:rFonts w:hint="eastAsia" w:ascii="仿宋_GB2312" w:eastAsia="仿宋_GB2312"/>
          <w:sz w:val="32"/>
          <w:szCs w:val="32"/>
        </w:rPr>
        <w:t>21年减少</w:t>
      </w:r>
      <w:r>
        <w:rPr>
          <w:rFonts w:hint="eastAsia" w:ascii="仿宋_GB2312" w:eastAsia="仿宋_GB2312"/>
          <w:sz w:val="32"/>
          <w:szCs w:val="32"/>
          <w:lang w:val="en-US" w:eastAsia="zh-CN"/>
        </w:rPr>
        <w:t>61.21</w:t>
      </w:r>
      <w:r>
        <w:rPr>
          <w:rFonts w:hint="eastAsia" w:ascii="仿宋_GB2312" w:eastAsia="仿宋_GB2312"/>
          <w:sz w:val="32"/>
          <w:szCs w:val="32"/>
        </w:rPr>
        <w:t>万元，下降</w:t>
      </w:r>
      <w:r>
        <w:rPr>
          <w:rFonts w:hint="eastAsia" w:ascii="仿宋_GB2312" w:eastAsia="仿宋_GB2312"/>
          <w:sz w:val="32"/>
          <w:szCs w:val="32"/>
          <w:lang w:val="en-US" w:eastAsia="zh-CN"/>
        </w:rPr>
        <w:t>54.56</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2022年未购置新车</w:t>
      </w:r>
      <w:r>
        <w:rPr>
          <w:rFonts w:hint="eastAsia" w:ascii="仿宋_GB2312" w:eastAsia="仿宋_GB2312"/>
          <w:sz w:val="32"/>
          <w:szCs w:val="32"/>
        </w:rPr>
        <w:t>。</w:t>
      </w:r>
    </w:p>
    <w:p>
      <w:pPr>
        <w:spacing w:line="600" w:lineRule="exact"/>
        <w:ind w:firstLine="640"/>
        <w:rPr>
          <w:rFonts w:ascii="仿宋_GB2312" w:eastAsia="仿宋_GB2312"/>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lang w:val="en-US" w:eastAsia="zh-CN"/>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月底，单位共有公务用车</w:t>
      </w:r>
      <w:r>
        <w:rPr>
          <w:rFonts w:hint="eastAsia" w:ascii="仿宋_GB2312" w:eastAsia="仿宋_GB2312"/>
          <w:sz w:val="32"/>
          <w:szCs w:val="32"/>
          <w:lang w:val="en-US" w:eastAsia="zh-CN"/>
        </w:rPr>
        <w:t>14</w:t>
      </w:r>
      <w:r>
        <w:rPr>
          <w:rFonts w:hint="eastAsia" w:ascii="仿宋_GB2312" w:eastAsia="仿宋_GB2312"/>
          <w:sz w:val="32"/>
          <w:szCs w:val="32"/>
        </w:rPr>
        <w:t>辆，其中：轿车</w:t>
      </w:r>
      <w:r>
        <w:rPr>
          <w:rFonts w:hint="eastAsia" w:ascii="仿宋_GB2312" w:eastAsia="仿宋_GB2312"/>
          <w:sz w:val="32"/>
          <w:szCs w:val="32"/>
          <w:lang w:val="en-US" w:eastAsia="zh-CN"/>
        </w:rPr>
        <w:t>14</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sz w:val="32"/>
          <w:szCs w:val="32"/>
          <w:lang w:val="en-US" w:eastAsia="zh-CN"/>
        </w:rPr>
        <w:t>50.99</w:t>
      </w:r>
      <w:r>
        <w:rPr>
          <w:rFonts w:hint="eastAsia" w:ascii="仿宋_GB2312" w:eastAsia="仿宋_GB2312"/>
          <w:sz w:val="32"/>
          <w:szCs w:val="32"/>
        </w:rPr>
        <w:t>万元。主要用于</w:t>
      </w:r>
      <w:r>
        <w:rPr>
          <w:rFonts w:hint="eastAsia" w:ascii="仿宋_GB2312" w:eastAsia="仿宋_GB2312"/>
          <w:sz w:val="32"/>
          <w:szCs w:val="32"/>
          <w:lang w:val="en-US" w:eastAsia="zh-CN"/>
        </w:rPr>
        <w:t>道路交通事故预防、交通秩序管理、交通安全宣传、各类安保等公安交管工作</w:t>
      </w:r>
      <w:r>
        <w:rPr>
          <w:rFonts w:hint="eastAsia" w:ascii="仿宋_GB2312" w:eastAsia="仿宋_GB2312"/>
          <w:sz w:val="32"/>
          <w:szCs w:val="32"/>
        </w:rPr>
        <w:t>所需的公务用车燃料费、维修费、过路过桥费、保险费等支出。</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21年增加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lang w:val="en-US" w:eastAsia="zh-CN"/>
        </w:rPr>
        <w:t>0</w:t>
      </w:r>
      <w:r>
        <w:rPr>
          <w:rFonts w:hint="eastAsia" w:ascii="仿宋_GB2312" w:eastAsia="仿宋_GB2312"/>
          <w:sz w:val="32"/>
          <w:szCs w:val="32"/>
        </w:rPr>
        <w:t>万元。国内公务接待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lang w:val="en-US" w:eastAsia="zh-CN"/>
        </w:rPr>
        <w:t>0</w:t>
      </w:r>
      <w:r>
        <w:rPr>
          <w:rFonts w:hint="eastAsia" w:ascii="仿宋_GB2312" w:eastAsia="仿宋_GB2312"/>
          <w:sz w:val="32"/>
          <w:szCs w:val="32"/>
        </w:rPr>
        <w:t>万元。外事接待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outlineLvl w:val="1"/>
        <w:rPr>
          <w:rStyle w:val="30"/>
          <w:rFonts w:ascii="黑体" w:hAnsi="黑体" w:eastAsia="黑体"/>
        </w:rPr>
      </w:pPr>
      <w:bookmarkStart w:id="40" w:name="_Toc15377218"/>
      <w:bookmarkStart w:id="41" w:name="_Toc15396610"/>
      <w:r>
        <w:rPr>
          <w:rFonts w:hint="eastAsia" w:ascii="黑体" w:eastAsia="黑体"/>
          <w:sz w:val="32"/>
          <w:szCs w:val="32"/>
        </w:rPr>
        <w:t>八、</w:t>
      </w:r>
      <w:r>
        <w:rPr>
          <w:rStyle w:val="30"/>
          <w:rFonts w:hint="eastAsia" w:ascii="黑体" w:hAnsi="黑体" w:eastAsia="黑体"/>
          <w:b w:val="0"/>
        </w:rPr>
        <w:t>政府性基金预算支出决算情况说明</w:t>
      </w:r>
      <w:bookmarkEnd w:id="40"/>
      <w:bookmarkEnd w:id="41"/>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3"/>
        </w:numPr>
        <w:spacing w:line="600" w:lineRule="exact"/>
        <w:ind w:firstLine="640"/>
        <w:outlineLvl w:val="1"/>
        <w:rPr>
          <w:rStyle w:val="30"/>
          <w:rFonts w:ascii="黑体" w:hAnsi="黑体" w:eastAsia="黑体"/>
          <w:b w:val="0"/>
        </w:rPr>
      </w:pPr>
      <w:bookmarkStart w:id="42" w:name="_Toc15377219"/>
      <w:bookmarkStart w:id="43" w:name="_Toc15396611"/>
      <w:r>
        <w:rPr>
          <w:rStyle w:val="30"/>
          <w:rFonts w:hint="eastAsia" w:ascii="黑体" w:hAnsi="黑体" w:eastAsia="黑体"/>
          <w:b w:val="0"/>
        </w:rPr>
        <w:t>国有资本经营预算支出决算情况说明</w:t>
      </w:r>
      <w:bookmarkEnd w:id="42"/>
      <w:bookmarkEnd w:id="43"/>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3"/>
        </w:numPr>
        <w:spacing w:line="600" w:lineRule="exact"/>
        <w:ind w:firstLine="640"/>
        <w:outlineLvl w:val="1"/>
        <w:rPr>
          <w:rStyle w:val="30"/>
          <w:rFonts w:ascii="黑体" w:hAnsi="黑体" w:eastAsia="黑体"/>
          <w:b w:val="0"/>
        </w:rPr>
      </w:pPr>
      <w:bookmarkStart w:id="44" w:name="_Toc15377221"/>
      <w:bookmarkStart w:id="45" w:name="_Toc15396612"/>
      <w:r>
        <w:rPr>
          <w:rStyle w:val="30"/>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val="en-US" w:eastAsia="zh-CN"/>
        </w:rPr>
        <w:t>乐至县公安局交通警察大队</w:t>
      </w:r>
      <w:r>
        <w:rPr>
          <w:rFonts w:hint="eastAsia" w:ascii="仿宋_GB2312" w:eastAsia="仿宋_GB2312"/>
          <w:sz w:val="32"/>
          <w:szCs w:val="32"/>
        </w:rPr>
        <w:t>机关运行经费支出</w:t>
      </w:r>
      <w:r>
        <w:rPr>
          <w:rFonts w:hint="eastAsia" w:ascii="仿宋_GB2312" w:eastAsia="仿宋_GB2312"/>
          <w:sz w:val="32"/>
          <w:szCs w:val="32"/>
          <w:lang w:val="en-US" w:eastAsia="zh-CN"/>
        </w:rPr>
        <w:t>428.72</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21年增加</w:t>
      </w:r>
      <w:r>
        <w:rPr>
          <w:rFonts w:hint="eastAsia" w:ascii="仿宋_GB2312" w:eastAsia="仿宋_GB2312"/>
          <w:sz w:val="32"/>
          <w:szCs w:val="32"/>
          <w:lang w:val="en-US" w:eastAsia="zh-CN"/>
        </w:rPr>
        <w:t>201.09</w:t>
      </w:r>
      <w:r>
        <w:rPr>
          <w:rFonts w:hint="eastAsia" w:ascii="仿宋_GB2312" w:eastAsia="仿宋_GB2312"/>
          <w:sz w:val="32"/>
          <w:szCs w:val="32"/>
        </w:rPr>
        <w:t>万元，增长</w:t>
      </w:r>
      <w:r>
        <w:rPr>
          <w:rFonts w:hint="eastAsia" w:ascii="仿宋_GB2312" w:eastAsia="仿宋_GB2312"/>
          <w:sz w:val="32"/>
          <w:szCs w:val="32"/>
          <w:lang w:val="en-US" w:eastAsia="zh-CN"/>
        </w:rPr>
        <w:t>46.9</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车管所建设项目、交通信号灯工程等项目支出增加，人员调资导致人员支出也增加</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val="en-US" w:eastAsia="zh-CN"/>
        </w:rPr>
        <w:t>乐至县公安局交通警察大队的</w:t>
      </w:r>
      <w:r>
        <w:rPr>
          <w:rFonts w:hint="eastAsia" w:ascii="仿宋_GB2312" w:eastAsia="仿宋_GB2312"/>
          <w:sz w:val="32"/>
          <w:szCs w:val="32"/>
        </w:rPr>
        <w:t>政府采购支出总额</w:t>
      </w:r>
      <w:r>
        <w:rPr>
          <w:rFonts w:hint="eastAsia" w:ascii="仿宋_GB2312" w:eastAsia="仿宋_GB2312"/>
          <w:sz w:val="32"/>
          <w:szCs w:val="32"/>
          <w:lang w:val="en-US" w:eastAsia="zh-CN"/>
        </w:rPr>
        <w:t>221.95</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14.66</w:t>
      </w:r>
      <w:r>
        <w:rPr>
          <w:rFonts w:hint="eastAsia" w:ascii="仿宋_GB2312" w:eastAsia="仿宋_GB2312"/>
          <w:sz w:val="32"/>
          <w:szCs w:val="32"/>
        </w:rPr>
        <w:t>万元、政府采购工程支出</w:t>
      </w:r>
      <w:r>
        <w:rPr>
          <w:rFonts w:hint="eastAsia" w:ascii="仿宋_GB2312" w:eastAsia="仿宋_GB2312"/>
          <w:sz w:val="32"/>
          <w:szCs w:val="32"/>
          <w:lang w:val="en-US" w:eastAsia="zh-CN"/>
        </w:rPr>
        <w:t>156.31</w:t>
      </w:r>
      <w:r>
        <w:rPr>
          <w:rFonts w:hint="eastAsia" w:ascii="仿宋_GB2312" w:eastAsia="仿宋_GB2312"/>
          <w:sz w:val="32"/>
          <w:szCs w:val="32"/>
        </w:rPr>
        <w:t>万元、政府采购服务支出</w:t>
      </w:r>
      <w:r>
        <w:rPr>
          <w:rFonts w:hint="eastAsia" w:ascii="仿宋_GB2312" w:eastAsia="仿宋_GB2312"/>
          <w:sz w:val="32"/>
          <w:szCs w:val="32"/>
          <w:lang w:val="en-US" w:eastAsia="zh-CN"/>
        </w:rPr>
        <w:t>50.98</w:t>
      </w:r>
      <w:r>
        <w:rPr>
          <w:rFonts w:hint="eastAsia" w:ascii="仿宋_GB2312" w:eastAsia="仿宋_GB2312"/>
          <w:sz w:val="32"/>
          <w:szCs w:val="32"/>
        </w:rPr>
        <w:t>万元。主要用于</w:t>
      </w:r>
      <w:r>
        <w:rPr>
          <w:rFonts w:hint="eastAsia" w:ascii="仿宋_GB2312" w:eastAsia="仿宋_GB2312"/>
          <w:sz w:val="32"/>
          <w:szCs w:val="32"/>
          <w:lang w:val="en-US" w:eastAsia="zh-CN"/>
        </w:rPr>
        <w:t>道路物理隔离护栏设置、道路交通标识标牌更新、红绿灯及电子警察系统建设（改造）等</w:t>
      </w:r>
      <w:r>
        <w:rPr>
          <w:rFonts w:hint="eastAsia" w:ascii="仿宋_GB2312" w:eastAsia="仿宋_GB2312"/>
          <w:sz w:val="32"/>
          <w:szCs w:val="32"/>
        </w:rPr>
        <w:t>。授予中小企业合同金额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val="en-US" w:eastAsia="zh-CN"/>
        </w:rPr>
        <w:t>乐至县公安局交通警察大队</w:t>
      </w:r>
      <w:r>
        <w:rPr>
          <w:rFonts w:hint="eastAsia" w:ascii="仿宋_GB2312" w:eastAsia="仿宋_GB2312"/>
          <w:sz w:val="32"/>
          <w:szCs w:val="32"/>
        </w:rPr>
        <w:t>共有车辆</w:t>
      </w:r>
      <w:r>
        <w:rPr>
          <w:rFonts w:hint="eastAsia" w:ascii="仿宋_GB2312" w:eastAsia="仿宋_GB2312"/>
          <w:sz w:val="32"/>
          <w:szCs w:val="32"/>
          <w:lang w:val="en-US" w:eastAsia="zh-CN"/>
        </w:rPr>
        <w:t>14</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val="en-US" w:eastAsia="zh-CN"/>
        </w:rPr>
        <w:t>执法执勤用车（警车）9辆，</w:t>
      </w:r>
      <w:r>
        <w:rPr>
          <w:rFonts w:hint="eastAsia" w:ascii="仿宋_GB2312" w:eastAsia="仿宋_GB2312"/>
          <w:sz w:val="32"/>
          <w:szCs w:val="32"/>
        </w:rPr>
        <w:t>其他用车</w:t>
      </w:r>
      <w:r>
        <w:rPr>
          <w:rFonts w:hint="eastAsia" w:ascii="仿宋_GB2312" w:eastAsia="仿宋_GB2312"/>
          <w:sz w:val="32"/>
          <w:szCs w:val="32"/>
          <w:lang w:val="en-US" w:eastAsia="zh-CN"/>
        </w:rPr>
        <w:t>5</w:t>
      </w:r>
      <w:r>
        <w:rPr>
          <w:rFonts w:hint="eastAsia" w:ascii="仿宋_GB2312" w:eastAsia="仿宋_GB2312"/>
          <w:sz w:val="32"/>
          <w:szCs w:val="32"/>
        </w:rPr>
        <w:t>辆，其他用车主要是用于</w:t>
      </w:r>
      <w:r>
        <w:rPr>
          <w:rFonts w:hint="eastAsia" w:ascii="仿宋_GB2312" w:eastAsia="仿宋_GB2312"/>
          <w:sz w:val="32"/>
          <w:szCs w:val="32"/>
          <w:lang w:val="en-US" w:eastAsia="zh-CN"/>
        </w:rPr>
        <w:t>交通事故预防与处理、接处警、交通执行管理、交通安全宣传、各类安保警卫工作等</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4</w:t>
      </w:r>
      <w:r>
        <w:rPr>
          <w:rFonts w:hint="eastAsia" w:ascii="仿宋_GB2312" w:eastAsia="仿宋_GB2312"/>
          <w:sz w:val="32"/>
          <w:szCs w:val="32"/>
        </w:rPr>
        <w:t>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根据预算绩效管理要求，本部门在2022年度预算编制阶段，组织对</w:t>
      </w:r>
      <w:r>
        <w:rPr>
          <w:rFonts w:hint="eastAsia" w:ascii="仿宋_GB2312" w:hAnsi="仿宋_GB2312" w:eastAsia="仿宋_GB2312" w:cs="仿宋_GB2312"/>
          <w:sz w:val="32"/>
          <w:szCs w:val="32"/>
          <w:lang w:val="en-US" w:eastAsia="zh-CN"/>
        </w:rPr>
        <w:t>乐至县</w:t>
      </w:r>
      <w:r>
        <w:rPr>
          <w:rFonts w:hint="eastAsia" w:ascii="仿宋_GB2312" w:hAnsi="仿宋_GB2312" w:eastAsia="仿宋_GB2312" w:cs="仿宋_GB2312"/>
          <w:sz w:val="32"/>
          <w:szCs w:val="32"/>
        </w:rPr>
        <w:t>望城大道红绿灯工程项目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乐至县</w:t>
      </w:r>
      <w:r>
        <w:rPr>
          <w:rFonts w:hint="eastAsia" w:ascii="仿宋_GB2312" w:hAnsi="仿宋_GB2312" w:eastAsia="仿宋_GB2312" w:cs="仿宋_GB2312"/>
          <w:sz w:val="32"/>
          <w:szCs w:val="32"/>
          <w:lang w:eastAsia="zh-CN"/>
        </w:rPr>
        <w:t>南湖、新天地等三处路口红绿灯工程</w:t>
      </w:r>
      <w:r>
        <w:rPr>
          <w:rFonts w:hint="eastAsia" w:ascii="仿宋_GB2312" w:hAnsi="仿宋_GB2312" w:eastAsia="仿宋_GB2312" w:cs="仿宋_GB2312"/>
          <w:sz w:val="32"/>
          <w:szCs w:val="32"/>
          <w:lang w:val="en-US" w:eastAsia="zh-CN"/>
        </w:rPr>
        <w:t>项目和乐至县公安局交通警察大队车辆管理所建设工程项目</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个项目开展绩效监控。</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仿宋_GB2312" w:eastAsia="仿宋_GB2312" w:cs="仿宋_GB2312"/>
          <w:sz w:val="32"/>
          <w:szCs w:val="32"/>
        </w:rPr>
        <w:t>组织对2022年度一般公共预算、政府性基金预算、国有资本经营预算、社会保险基金预算以及资本资产、债券资金等全面开展绩效自评，形成</w:t>
      </w:r>
      <w:r>
        <w:rPr>
          <w:rFonts w:hint="eastAsia" w:ascii="仿宋_GB2312" w:hAnsi="仿宋_GB2312" w:eastAsia="仿宋_GB2312" w:cs="仿宋_GB2312"/>
          <w:sz w:val="32"/>
          <w:szCs w:val="32"/>
          <w:lang w:val="en-US" w:eastAsia="zh-CN"/>
        </w:rPr>
        <w:t>乐至县公安局交通警察大队</w:t>
      </w:r>
      <w:r>
        <w:rPr>
          <w:rFonts w:hint="eastAsia" w:ascii="仿宋_GB2312" w:hAnsi="仿宋_GB2312" w:eastAsia="仿宋_GB2312" w:cs="仿宋_GB2312"/>
          <w:sz w:val="32"/>
          <w:szCs w:val="32"/>
        </w:rPr>
        <w:t>部门整体绩效自评报告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乐至县</w:t>
      </w:r>
      <w:r>
        <w:rPr>
          <w:rFonts w:hint="eastAsia" w:ascii="仿宋_GB2312" w:hAnsi="仿宋_GB2312" w:eastAsia="仿宋_GB2312" w:cs="仿宋_GB2312"/>
          <w:sz w:val="32"/>
          <w:szCs w:val="32"/>
        </w:rPr>
        <w:t>望城大道红绿灯工程项目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乐至县</w:t>
      </w:r>
      <w:r>
        <w:rPr>
          <w:rFonts w:hint="eastAsia" w:ascii="仿宋_GB2312" w:hAnsi="仿宋_GB2312" w:eastAsia="仿宋_GB2312" w:cs="仿宋_GB2312"/>
          <w:sz w:val="32"/>
          <w:szCs w:val="32"/>
          <w:lang w:eastAsia="zh-CN"/>
        </w:rPr>
        <w:t>南湖、新天地等三处路口红绿灯工程</w:t>
      </w:r>
      <w:r>
        <w:rPr>
          <w:rFonts w:hint="eastAsia" w:ascii="仿宋_GB2312" w:hAnsi="仿宋_GB2312" w:eastAsia="仿宋_GB2312" w:cs="仿宋_GB2312"/>
          <w:sz w:val="32"/>
          <w:szCs w:val="32"/>
          <w:lang w:val="en-US" w:eastAsia="zh-CN"/>
        </w:rPr>
        <w:t>项目和乐至县公安局交通警察大队车辆管理所建设工程项目</w:t>
      </w:r>
      <w:r>
        <w:rPr>
          <w:rFonts w:hint="eastAsia" w:ascii="仿宋_GB2312" w:hAnsi="仿宋_GB2312" w:eastAsia="仿宋_GB2312" w:cs="仿宋_GB2312"/>
          <w:sz w:val="32"/>
          <w:szCs w:val="32"/>
        </w:rPr>
        <w:t>专项预算项目绩效自评报告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w:t>
      </w:r>
      <w:r>
        <w:rPr>
          <w:rFonts w:hint="eastAsia" w:ascii="仿宋_GB2312" w:hAnsi="仿宋_GB2312" w:eastAsia="仿宋_GB2312" w:cs="仿宋_GB2312"/>
          <w:sz w:val="32"/>
          <w:szCs w:val="32"/>
          <w:lang w:val="en-US" w:eastAsia="zh-CN"/>
        </w:rPr>
        <w:t>乐至县</w:t>
      </w:r>
      <w:r>
        <w:rPr>
          <w:rFonts w:hint="eastAsia" w:ascii="仿宋_GB2312" w:hAnsi="仿宋_GB2312" w:eastAsia="仿宋_GB2312" w:cs="仿宋_GB2312"/>
          <w:sz w:val="32"/>
          <w:szCs w:val="32"/>
        </w:rPr>
        <w:t>部门整体（含部门预算项目）绩效自评得分为</w:t>
      </w:r>
      <w:r>
        <w:rPr>
          <w:rFonts w:hint="eastAsia" w:ascii="仿宋_GB2312" w:hAnsi="仿宋_GB2312" w:eastAsia="仿宋_GB2312" w:cs="仿宋_GB2312"/>
          <w:sz w:val="32"/>
          <w:szCs w:val="32"/>
          <w:lang w:val="en-US" w:eastAsia="zh-CN"/>
        </w:rPr>
        <w:t>82.7</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val="en-US" w:eastAsia="zh-CN"/>
        </w:rPr>
        <w:t>按照相关要求我单位已将自评报告交县公安局，由县局汇总报县财政局</w:t>
      </w:r>
      <w:r>
        <w:rPr>
          <w:rFonts w:hint="eastAsia" w:ascii="仿宋_GB2312" w:hAnsi="仿宋_GB2312" w:eastAsia="仿宋_GB2312" w:cs="仿宋_GB2312"/>
          <w:sz w:val="32"/>
          <w:szCs w:val="32"/>
        </w:rPr>
        <w:t>，绩效自评综述：</w:t>
      </w:r>
      <w:r>
        <w:rPr>
          <w:rFonts w:hint="eastAsia" w:ascii="仿宋_GB2312" w:hAnsi="Calibri" w:eastAsia="仿宋_GB2312" w:cs="Times New Roman"/>
          <w:kern w:val="2"/>
          <w:sz w:val="32"/>
          <w:szCs w:val="32"/>
          <w:lang w:val="en-US" w:eastAsia="zh-CN" w:bidi="ar-SA"/>
        </w:rPr>
        <w:t>本单位采取单位自评的方法对2022年所有纳入政府财政性支出的所有资金进行评价，重点侧重于对项目支出进行评价</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本单位</w:t>
      </w:r>
      <w:r>
        <w:rPr>
          <w:rFonts w:hint="eastAsia" w:ascii="仿宋_GB2312" w:hAnsi="仿宋_GB2312" w:eastAsia="仿宋_GB2312" w:cs="仿宋_GB2312"/>
          <w:sz w:val="32"/>
          <w:szCs w:val="32"/>
        </w:rPr>
        <w:t>专项预算项目绩效自评得分为</w:t>
      </w:r>
      <w:r>
        <w:rPr>
          <w:rFonts w:hint="eastAsia" w:ascii="仿宋_GB2312" w:hAnsi="仿宋_GB2312" w:eastAsia="仿宋_GB2312" w:cs="仿宋_GB2312"/>
          <w:sz w:val="32"/>
          <w:szCs w:val="32"/>
          <w:lang w:val="en-US" w:eastAsia="zh-CN"/>
        </w:rPr>
        <w:t>82.7</w:t>
      </w:r>
      <w:r>
        <w:rPr>
          <w:rFonts w:hint="eastAsia" w:ascii="仿宋_GB2312" w:hAnsi="仿宋_GB2312" w:eastAsia="仿宋_GB2312" w:cs="仿宋_GB2312"/>
          <w:sz w:val="32"/>
          <w:szCs w:val="32"/>
        </w:rPr>
        <w:t>分，绩效自评综述：</w:t>
      </w:r>
      <w:r>
        <w:rPr>
          <w:rFonts w:hint="eastAsia" w:ascii="仿宋_GB2312" w:hAnsi="Calibri" w:eastAsia="仿宋_GB2312" w:cs="Times New Roman"/>
          <w:kern w:val="2"/>
          <w:sz w:val="32"/>
          <w:szCs w:val="32"/>
          <w:lang w:val="en-US" w:eastAsia="zh-CN" w:bidi="ar-SA"/>
        </w:rPr>
        <w:t>本单位依据乐财规〔2021〕1号规定确定绩效等级：中。</w:t>
      </w:r>
    </w:p>
    <w:p>
      <w:pPr>
        <w:widowControl/>
        <w:ind w:firstLine="643" w:firstLineChars="200"/>
        <w:jc w:val="left"/>
        <w:rPr>
          <w:rFonts w:ascii="仿宋_GB2312" w:eastAsia="仿宋_GB2312"/>
          <w:b/>
          <w:sz w:val="32"/>
          <w:szCs w:val="32"/>
        </w:rPr>
      </w:pPr>
    </w:p>
    <w:p>
      <w:pPr>
        <w:widowControl/>
        <w:ind w:firstLine="643" w:firstLineChars="200"/>
        <w:jc w:val="left"/>
        <w:rPr>
          <w:rFonts w:ascii="仿宋_GB2312" w:eastAsia="仿宋_GB2312"/>
          <w:b/>
          <w:sz w:val="32"/>
          <w:szCs w:val="32"/>
        </w:rPr>
      </w:pPr>
      <w:r>
        <w:rPr>
          <w:rFonts w:ascii="仿宋_GB2312" w:eastAsia="仿宋_GB2312"/>
          <w:b/>
          <w:sz w:val="32"/>
          <w:szCs w:val="32"/>
        </w:rPr>
        <w:br w:type="page"/>
      </w:r>
    </w:p>
    <w:p>
      <w:pPr>
        <w:pStyle w:val="7"/>
        <w:spacing w:before="93"/>
      </w:pPr>
    </w:p>
    <w:p>
      <w:pPr>
        <w:numPr>
          <w:ilvl w:val="0"/>
          <w:numId w:val="4"/>
        </w:numPr>
        <w:spacing w:line="600" w:lineRule="exact"/>
        <w:ind w:firstLine="660" w:firstLineChars="150"/>
        <w:jc w:val="center"/>
        <w:outlineLvl w:val="0"/>
        <w:rPr>
          <w:rStyle w:val="29"/>
          <w:rFonts w:ascii="黑体" w:hAnsi="黑体" w:eastAsia="黑体"/>
          <w:b w:val="0"/>
        </w:rPr>
      </w:pPr>
      <w:bookmarkStart w:id="49" w:name="_Toc15377225"/>
      <w:bookmarkStart w:id="50" w:name="_Toc15396613"/>
      <w:r>
        <w:rPr>
          <w:rFonts w:hint="eastAsia" w:ascii="黑体" w:hAnsi="黑体" w:eastAsia="黑体"/>
          <w:sz w:val="44"/>
          <w:szCs w:val="44"/>
        </w:rPr>
        <w:t>名</w:t>
      </w:r>
      <w:r>
        <w:rPr>
          <w:rStyle w:val="29"/>
          <w:rFonts w:hint="eastAsia" w:ascii="黑体" w:hAnsi="黑体" w:eastAsia="黑体"/>
          <w:b w:val="0"/>
        </w:rPr>
        <w:t>词解释</w:t>
      </w:r>
      <w:bookmarkEnd w:id="49"/>
      <w:bookmarkEnd w:id="50"/>
    </w:p>
    <w:p>
      <w:pPr>
        <w:spacing w:line="600" w:lineRule="exact"/>
        <w:jc w:val="left"/>
        <w:rPr>
          <w:rFonts w:ascii="宋体"/>
          <w:b/>
          <w:sz w:val="44"/>
          <w:szCs w:val="44"/>
        </w:rPr>
      </w:pP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ascii="仿宋_GB2312" w:eastAsia="仿宋_GB2312"/>
          <w:sz w:val="32"/>
          <w:szCs w:val="32"/>
        </w:rPr>
        <w:t>9.</w:t>
      </w:r>
      <w:r>
        <w:rPr>
          <w:rFonts w:hint="eastAsia" w:ascii="仿宋_GB2312" w:hAnsi="Times New Roman" w:eastAsia="仿宋_GB2312" w:cs="仿宋"/>
          <w:color w:val="auto"/>
          <w:kern w:val="0"/>
          <w:sz w:val="32"/>
          <w:szCs w:val="32"/>
          <w:lang w:val="en-US" w:eastAsia="zh-CN" w:bidi="ar-SA"/>
        </w:rPr>
        <w:t>公共安全支出-行政运行（204）（类）02（款）01（项）: 指行政单位基本支出</w:t>
      </w:r>
      <w:r>
        <w:rPr>
          <w:rFonts w:hint="eastAsia" w:ascii="仿宋_GB2312" w:eastAsia="仿宋_GB2312" w:cs="仿宋"/>
          <w:color w:val="auto"/>
          <w:kern w:val="0"/>
          <w:sz w:val="32"/>
          <w:szCs w:val="32"/>
          <w:lang w:val="en-US" w:eastAsia="zh-CN" w:bidi="ar-SA"/>
        </w:rPr>
        <w:t>。</w:t>
      </w:r>
    </w:p>
    <w:p>
      <w:pPr>
        <w:ind w:firstLine="640" w:firstLineChars="200"/>
        <w:rPr>
          <w:rFonts w:ascii="仿宋_GB2312" w:eastAsia="仿宋_GB2312"/>
          <w:sz w:val="32"/>
          <w:szCs w:val="32"/>
        </w:rPr>
      </w:pPr>
      <w:r>
        <w:rPr>
          <w:rFonts w:ascii="仿宋_GB2312" w:eastAsia="仿宋_GB2312"/>
          <w:sz w:val="32"/>
          <w:szCs w:val="32"/>
        </w:rPr>
        <w:t>10.</w:t>
      </w:r>
      <w:r>
        <w:rPr>
          <w:rFonts w:hint="eastAsia" w:ascii="仿宋_GB2312" w:hAnsi="Times New Roman" w:eastAsia="仿宋_GB2312" w:cs="仿宋"/>
          <w:color w:val="auto"/>
          <w:kern w:val="0"/>
          <w:sz w:val="32"/>
          <w:szCs w:val="32"/>
          <w:lang w:val="en-US" w:eastAsia="zh-CN" w:bidi="ar-SA"/>
        </w:rPr>
        <w:t>公共安全支出-一般行政管理事务（204）（类）02（款）02（项）: 指行政单位未单独设置项级科目的其他项目支出。</w:t>
      </w:r>
    </w:p>
    <w:p>
      <w:pPr>
        <w:ind w:firstLine="640" w:firstLineChars="200"/>
        <w:rPr>
          <w:rFonts w:ascii="仿宋_GB2312" w:eastAsia="仿宋_GB2312"/>
          <w:sz w:val="32"/>
          <w:szCs w:val="32"/>
        </w:rPr>
      </w:pPr>
      <w:r>
        <w:rPr>
          <w:rFonts w:ascii="仿宋_GB2312" w:eastAsia="仿宋_GB2312"/>
          <w:sz w:val="32"/>
          <w:szCs w:val="32"/>
        </w:rPr>
        <w:t>11.</w:t>
      </w:r>
      <w:r>
        <w:rPr>
          <w:rFonts w:hint="eastAsia" w:ascii="仿宋_GB2312" w:hAnsi="Times New Roman" w:eastAsia="仿宋_GB2312" w:cs="仿宋"/>
          <w:color w:val="auto"/>
          <w:kern w:val="0"/>
          <w:sz w:val="32"/>
          <w:szCs w:val="32"/>
          <w:lang w:val="en-US" w:eastAsia="zh-CN" w:bidi="ar-SA"/>
        </w:rPr>
        <w:t>公共安全支出-特别业务（204）（类）02（款）21（项）: 指公安机关开支特别业务工作的相关支出</w:t>
      </w:r>
    </w:p>
    <w:p>
      <w:pPr>
        <w:ind w:firstLine="640" w:firstLineChars="200"/>
        <w:rPr>
          <w:rFonts w:ascii="仿宋_GB2312" w:eastAsia="仿宋_GB2312"/>
          <w:sz w:val="32"/>
          <w:szCs w:val="32"/>
        </w:rPr>
      </w:pPr>
      <w:r>
        <w:rPr>
          <w:rFonts w:ascii="仿宋_GB2312" w:eastAsia="仿宋_GB2312"/>
          <w:sz w:val="32"/>
          <w:szCs w:val="32"/>
        </w:rPr>
        <w:t>12.</w:t>
      </w:r>
      <w:r>
        <w:rPr>
          <w:rFonts w:hint="eastAsia" w:ascii="仿宋_GB2312" w:eastAsia="仿宋_GB2312"/>
          <w:sz w:val="32"/>
          <w:szCs w:val="32"/>
        </w:rPr>
        <w:t>社会保障和就业</w:t>
      </w:r>
      <w:r>
        <w:rPr>
          <w:rFonts w:hint="eastAsia" w:ascii="仿宋_GB2312" w:eastAsia="仿宋_GB2312"/>
          <w:sz w:val="32"/>
          <w:szCs w:val="32"/>
          <w:lang w:val="en-US" w:eastAsia="zh-CN"/>
        </w:rPr>
        <w:t>-机关事业单位缴费</w:t>
      </w:r>
      <w:r>
        <w:rPr>
          <w:rFonts w:hint="eastAsia" w:ascii="仿宋_GB2312" w:eastAsia="仿宋_GB2312"/>
          <w:sz w:val="32"/>
          <w:szCs w:val="32"/>
        </w:rPr>
        <w:t>（类）</w:t>
      </w:r>
      <w:r>
        <w:rPr>
          <w:rFonts w:hint="eastAsia" w:ascii="仿宋_GB2312" w:eastAsia="仿宋_GB2312"/>
          <w:sz w:val="32"/>
          <w:szCs w:val="32"/>
          <w:lang w:val="en-US" w:eastAsia="zh-CN"/>
        </w:rPr>
        <w:t>208</w:t>
      </w:r>
      <w:r>
        <w:rPr>
          <w:rFonts w:hint="eastAsia" w:ascii="仿宋_GB2312" w:eastAsia="仿宋_GB2312"/>
          <w:sz w:val="32"/>
          <w:szCs w:val="32"/>
        </w:rPr>
        <w:t>（款）</w:t>
      </w:r>
      <w:r>
        <w:rPr>
          <w:rFonts w:hint="eastAsia" w:ascii="仿宋_GB2312" w:eastAsia="仿宋_GB2312"/>
          <w:sz w:val="32"/>
          <w:szCs w:val="32"/>
          <w:lang w:val="en-US" w:eastAsia="zh-CN"/>
        </w:rPr>
        <w:t>05</w:t>
      </w:r>
      <w:r>
        <w:rPr>
          <w:rFonts w:hint="eastAsia" w:ascii="仿宋_GB2312" w:eastAsia="仿宋_GB2312"/>
          <w:sz w:val="32"/>
          <w:szCs w:val="32"/>
        </w:rPr>
        <w:t>（项）</w:t>
      </w:r>
      <w:r>
        <w:rPr>
          <w:rFonts w:hint="eastAsia" w:ascii="仿宋_GB2312" w:eastAsia="仿宋_GB2312"/>
          <w:sz w:val="32"/>
          <w:szCs w:val="32"/>
          <w:lang w:val="en-US" w:eastAsia="zh-CN"/>
        </w:rPr>
        <w:t>05</w:t>
      </w:r>
      <w:r>
        <w:rPr>
          <w:rFonts w:hint="eastAsia" w:ascii="仿宋_GB2312" w:eastAsia="仿宋_GB2312"/>
          <w:sz w:val="32"/>
          <w:szCs w:val="32"/>
        </w:rPr>
        <w:t>：指</w:t>
      </w:r>
      <w:r>
        <w:rPr>
          <w:rFonts w:hint="eastAsia" w:ascii="仿宋_GB2312" w:eastAsia="仿宋_GB2312"/>
          <w:sz w:val="32"/>
          <w:szCs w:val="32"/>
          <w:lang w:val="en-US" w:eastAsia="zh-CN"/>
        </w:rPr>
        <w:t>机关事业单位养老保险缴费支出</w:t>
      </w:r>
      <w:r>
        <w:rPr>
          <w:rFonts w:hint="eastAsia"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卫生健康</w:t>
      </w:r>
      <w:r>
        <w:rPr>
          <w:rFonts w:hint="eastAsia" w:ascii="仿宋_GB2312" w:eastAsia="仿宋_GB2312"/>
          <w:sz w:val="32"/>
          <w:szCs w:val="32"/>
          <w:lang w:val="en-US" w:eastAsia="zh-CN"/>
        </w:rPr>
        <w:t>-重大公共卫生服务</w:t>
      </w:r>
      <w:r>
        <w:rPr>
          <w:rFonts w:hint="eastAsia" w:ascii="仿宋_GB2312" w:eastAsia="仿宋_GB2312"/>
          <w:sz w:val="32"/>
          <w:szCs w:val="32"/>
        </w:rPr>
        <w:t>（类）</w:t>
      </w:r>
      <w:r>
        <w:rPr>
          <w:rFonts w:hint="eastAsia" w:ascii="仿宋_GB2312" w:eastAsia="仿宋_GB2312"/>
          <w:sz w:val="32"/>
          <w:szCs w:val="32"/>
          <w:lang w:val="en-US" w:eastAsia="zh-CN"/>
        </w:rPr>
        <w:t>210</w:t>
      </w:r>
      <w:r>
        <w:rPr>
          <w:rFonts w:hint="eastAsia" w:ascii="仿宋_GB2312" w:eastAsia="仿宋_GB2312"/>
          <w:sz w:val="32"/>
          <w:szCs w:val="32"/>
        </w:rPr>
        <w:t>（款）</w:t>
      </w:r>
      <w:r>
        <w:rPr>
          <w:rFonts w:hint="eastAsia" w:ascii="仿宋_GB2312" w:eastAsia="仿宋_GB2312"/>
          <w:sz w:val="32"/>
          <w:szCs w:val="32"/>
          <w:lang w:val="en-US" w:eastAsia="zh-CN"/>
        </w:rPr>
        <w:t>04</w:t>
      </w:r>
      <w:r>
        <w:rPr>
          <w:rFonts w:hint="eastAsia" w:ascii="仿宋_GB2312" w:eastAsia="仿宋_GB2312"/>
          <w:sz w:val="32"/>
          <w:szCs w:val="32"/>
        </w:rPr>
        <w:t>（项）</w:t>
      </w:r>
      <w:r>
        <w:rPr>
          <w:rFonts w:hint="eastAsia" w:ascii="仿宋_GB2312" w:eastAsia="仿宋_GB2312"/>
          <w:sz w:val="32"/>
          <w:szCs w:val="32"/>
          <w:lang w:val="en-US" w:eastAsia="zh-CN"/>
        </w:rPr>
        <w:t>09</w:t>
      </w:r>
      <w:r>
        <w:rPr>
          <w:rFonts w:hint="eastAsia" w:ascii="仿宋_GB2312" w:eastAsia="仿宋_GB2312"/>
          <w:sz w:val="32"/>
          <w:szCs w:val="32"/>
        </w:rPr>
        <w:t>：指。</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4</w:t>
      </w:r>
      <w:r>
        <w:rPr>
          <w:rFonts w:ascii="仿宋_GB2312" w:eastAsia="仿宋_GB2312"/>
          <w:sz w:val="32"/>
          <w:szCs w:val="32"/>
        </w:rPr>
        <w:t>.</w:t>
      </w:r>
      <w:r>
        <w:rPr>
          <w:rFonts w:hint="eastAsia" w:ascii="仿宋_GB2312" w:eastAsia="仿宋_GB2312"/>
          <w:sz w:val="32"/>
          <w:szCs w:val="32"/>
        </w:rPr>
        <w:t>卫生健康</w:t>
      </w:r>
      <w:r>
        <w:rPr>
          <w:rFonts w:hint="eastAsia" w:ascii="仿宋_GB2312" w:eastAsia="仿宋_GB2312"/>
          <w:sz w:val="32"/>
          <w:szCs w:val="32"/>
          <w:lang w:val="en-US" w:eastAsia="zh-CN"/>
        </w:rPr>
        <w:t>-医疗保险支出</w:t>
      </w:r>
      <w:r>
        <w:rPr>
          <w:rFonts w:hint="eastAsia" w:ascii="仿宋_GB2312" w:eastAsia="仿宋_GB2312"/>
          <w:sz w:val="32"/>
          <w:szCs w:val="32"/>
        </w:rPr>
        <w:t>（类）</w:t>
      </w:r>
      <w:r>
        <w:rPr>
          <w:rFonts w:hint="eastAsia" w:ascii="仿宋_GB2312" w:eastAsia="仿宋_GB2312"/>
          <w:sz w:val="32"/>
          <w:szCs w:val="32"/>
          <w:lang w:val="en-US" w:eastAsia="zh-CN"/>
        </w:rPr>
        <w:t>210</w:t>
      </w:r>
      <w:r>
        <w:rPr>
          <w:rFonts w:hint="eastAsia" w:ascii="仿宋_GB2312" w:eastAsia="仿宋_GB2312"/>
          <w:sz w:val="32"/>
          <w:szCs w:val="32"/>
        </w:rPr>
        <w:t>（款）</w:t>
      </w:r>
      <w:r>
        <w:rPr>
          <w:rFonts w:hint="eastAsia" w:ascii="仿宋_GB2312" w:eastAsia="仿宋_GB2312"/>
          <w:sz w:val="32"/>
          <w:szCs w:val="32"/>
          <w:lang w:val="en-US" w:eastAsia="zh-CN"/>
        </w:rPr>
        <w:t>04</w:t>
      </w:r>
      <w:r>
        <w:rPr>
          <w:rFonts w:hint="eastAsia" w:ascii="仿宋_GB2312" w:eastAsia="仿宋_GB2312"/>
          <w:sz w:val="32"/>
          <w:szCs w:val="32"/>
        </w:rPr>
        <w:t>（项）</w:t>
      </w:r>
      <w:r>
        <w:rPr>
          <w:rFonts w:hint="eastAsia" w:ascii="仿宋_GB2312" w:eastAsia="仿宋_GB2312"/>
          <w:sz w:val="32"/>
          <w:szCs w:val="32"/>
          <w:lang w:val="en-US" w:eastAsia="zh-CN"/>
        </w:rPr>
        <w:t>09</w:t>
      </w:r>
      <w:r>
        <w:rPr>
          <w:rFonts w:hint="eastAsia" w:ascii="仿宋_GB2312" w:eastAsia="仿宋_GB2312"/>
          <w:sz w:val="32"/>
          <w:szCs w:val="32"/>
        </w:rPr>
        <w:t>：指</w:t>
      </w:r>
      <w:r>
        <w:rPr>
          <w:rFonts w:hint="eastAsia" w:ascii="仿宋_GB2312" w:hAnsi="Times New Roman" w:eastAsia="仿宋_GB2312" w:cs="仿宋"/>
          <w:color w:val="auto"/>
          <w:kern w:val="0"/>
          <w:sz w:val="32"/>
          <w:szCs w:val="32"/>
          <w:lang w:val="en-US" w:eastAsia="zh-CN" w:bidi="ar-SA"/>
        </w:rPr>
        <w:t>行政单位医疗保险单位部分缴费支出</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lang w:val="en-US" w:eastAsia="zh-CN"/>
        </w:rPr>
        <w:t>15.</w:t>
      </w:r>
      <w:r>
        <w:rPr>
          <w:rFonts w:hint="eastAsia" w:ascii="仿宋_GB2312" w:hAnsi="Times New Roman" w:eastAsia="仿宋_GB2312" w:cs="仿宋"/>
          <w:color w:val="auto"/>
          <w:kern w:val="0"/>
          <w:sz w:val="32"/>
          <w:szCs w:val="32"/>
          <w:lang w:val="en-US" w:eastAsia="zh-CN" w:bidi="ar-SA"/>
        </w:rPr>
        <w:t>卫生健康支出-</w:t>
      </w:r>
      <w:r>
        <w:rPr>
          <w:rFonts w:hint="eastAsia" w:ascii="仿宋_GB2312" w:eastAsia="仿宋_GB2312" w:cs="仿宋"/>
          <w:color w:val="auto"/>
          <w:kern w:val="0"/>
          <w:sz w:val="32"/>
          <w:szCs w:val="32"/>
          <w:lang w:val="en-US" w:eastAsia="zh-CN" w:bidi="ar-SA"/>
        </w:rPr>
        <w:t>公务员医疗补助</w:t>
      </w:r>
      <w:r>
        <w:rPr>
          <w:rFonts w:hint="eastAsia" w:ascii="仿宋_GB2312" w:hAnsi="Times New Roman" w:eastAsia="仿宋_GB2312" w:cs="仿宋"/>
          <w:color w:val="auto"/>
          <w:kern w:val="0"/>
          <w:sz w:val="32"/>
          <w:szCs w:val="32"/>
          <w:lang w:val="en-US" w:eastAsia="zh-CN" w:bidi="ar-SA"/>
        </w:rPr>
        <w:t>210（类）11（款）03（项），指公务员医疗补助缴费支出。</w:t>
      </w:r>
    </w:p>
    <w:p>
      <w:pPr>
        <w:ind w:firstLine="640" w:firstLineChars="200"/>
        <w:rPr>
          <w:rFonts w:hint="eastAsia" w:ascii="仿宋_GB2312" w:hAnsi="Times New Roman" w:eastAsia="仿宋_GB2312" w:cs="仿宋"/>
          <w:color w:val="auto"/>
          <w:kern w:val="0"/>
          <w:sz w:val="32"/>
          <w:szCs w:val="32"/>
          <w:lang w:val="en-US" w:eastAsia="zh-CN" w:bidi="ar-SA"/>
        </w:rPr>
      </w:pPr>
      <w:r>
        <w:rPr>
          <w:rFonts w:ascii="仿宋_GB2312" w:eastAsia="仿宋_GB2312"/>
          <w:sz w:val="32"/>
          <w:szCs w:val="32"/>
        </w:rPr>
        <w:t>1</w:t>
      </w:r>
      <w:r>
        <w:rPr>
          <w:rFonts w:hint="eastAsia" w:ascii="仿宋_GB2312" w:eastAsia="仿宋_GB2312"/>
          <w:sz w:val="32"/>
          <w:szCs w:val="32"/>
          <w:lang w:val="en-US" w:eastAsia="zh-CN"/>
        </w:rPr>
        <w:t>6</w:t>
      </w:r>
      <w:r>
        <w:rPr>
          <w:rFonts w:ascii="仿宋_GB2312" w:eastAsia="仿宋_GB2312"/>
          <w:sz w:val="32"/>
          <w:szCs w:val="32"/>
        </w:rPr>
        <w:t>.</w:t>
      </w:r>
      <w:r>
        <w:rPr>
          <w:rFonts w:hint="eastAsia" w:ascii="仿宋_GB2312" w:hAnsi="Times New Roman" w:eastAsia="仿宋_GB2312" w:cs="仿宋"/>
          <w:color w:val="auto"/>
          <w:kern w:val="0"/>
          <w:sz w:val="32"/>
          <w:szCs w:val="32"/>
          <w:lang w:val="en-US" w:eastAsia="zh-CN" w:bidi="ar-SA"/>
        </w:rPr>
        <w:t>住房保障-住房公积金221（类）02（款）01（项）：指行政事业单位按人力资源和社会保障部、财政部规定的基本工资、和津贴补贴以及规定比例为职工缴纳的住房公积金。</w:t>
      </w:r>
    </w:p>
    <w:p>
      <w:pPr>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ascii="仿宋_GB2312" w:eastAsia="仿宋_GB2312"/>
          <w:sz w:val="32"/>
          <w:szCs w:val="32"/>
        </w:rPr>
        <w:t>7.</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ascii="仿宋_GB2312" w:eastAsia="仿宋_GB2312"/>
          <w:sz w:val="32"/>
          <w:szCs w:val="32"/>
        </w:rPr>
        <w:t>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sz w:val="32"/>
          <w:szCs w:val="32"/>
          <w:lang w:val="en-US" w:eastAsia="zh-CN"/>
        </w:rPr>
        <w:t>1</w:t>
      </w:r>
      <w:r>
        <w:rPr>
          <w:rFonts w:ascii="仿宋_GB2312" w:eastAsia="仿宋_GB2312"/>
          <w:sz w:val="32"/>
          <w:szCs w:val="32"/>
        </w:rPr>
        <w:t>9.</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20</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7"/>
        <w:spacing w:line="560" w:lineRule="exact"/>
        <w:ind w:firstLine="640" w:firstLineChars="200"/>
        <w:rPr>
          <w:rFonts w:ascii="仿宋_GB2312" w:eastAsia="仿宋_GB2312"/>
          <w:color w:val="auto"/>
          <w:sz w:val="32"/>
          <w:szCs w:val="32"/>
        </w:rPr>
      </w:pPr>
    </w:p>
    <w:p>
      <w:pPr>
        <w:pStyle w:val="27"/>
        <w:spacing w:line="560" w:lineRule="exact"/>
        <w:ind w:firstLine="640" w:firstLineChars="200"/>
        <w:rPr>
          <w:rFonts w:ascii="仿宋_GB2312" w:eastAsia="仿宋_GB2312" w:cs="黑体"/>
          <w:color w:val="auto"/>
          <w:sz w:val="32"/>
          <w:szCs w:val="32"/>
        </w:rPr>
      </w:pPr>
    </w:p>
    <w:p>
      <w:pPr>
        <w:spacing w:line="600" w:lineRule="exact"/>
        <w:jc w:val="center"/>
        <w:outlineLvl w:val="0"/>
        <w:rPr>
          <w:rStyle w:val="29"/>
          <w:rFonts w:ascii="黑体" w:hAnsi="黑体" w:eastAsia="黑体"/>
          <w:b w:val="0"/>
        </w:rPr>
      </w:pPr>
      <w:bookmarkStart w:id="51" w:name="_Toc15377226"/>
      <w:r>
        <w:rPr>
          <w:rFonts w:ascii="宋体"/>
          <w:b/>
          <w:sz w:val="44"/>
          <w:szCs w:val="44"/>
        </w:rPr>
        <w:br w:type="page"/>
      </w:r>
      <w:bookmarkStart w:id="52" w:name="_Toc15396614"/>
      <w:r>
        <w:rPr>
          <w:rFonts w:hint="eastAsia" w:ascii="黑体" w:hAnsi="黑体" w:eastAsia="黑体"/>
          <w:sz w:val="44"/>
          <w:szCs w:val="44"/>
        </w:rPr>
        <w:t>第</w:t>
      </w:r>
      <w:r>
        <w:rPr>
          <w:rStyle w:val="29"/>
          <w:rFonts w:hint="eastAsia" w:ascii="黑体" w:hAnsi="黑体" w:eastAsia="黑体"/>
          <w:b w:val="0"/>
        </w:rPr>
        <w:t>四部分 附件</w:t>
      </w:r>
      <w:bookmarkEnd w:id="52"/>
    </w:p>
    <w:p>
      <w:pPr>
        <w:pStyle w:val="7"/>
        <w:spacing w:before="93"/>
        <w:rPr>
          <w:rFonts w:eastAsia="黑体"/>
          <w:highlight w:val="yellow"/>
        </w:rPr>
      </w:pPr>
    </w:p>
    <w:p>
      <w:pPr>
        <w:spacing w:line="580" w:lineRule="exact"/>
        <w:rPr>
          <w:rFonts w:eastAsia="方正黑体简体"/>
          <w:sz w:val="32"/>
          <w:szCs w:val="32"/>
        </w:rPr>
      </w:pPr>
      <w:r>
        <w:rPr>
          <w:rFonts w:hint="eastAsia" w:eastAsia="方正黑体简体"/>
          <w:sz w:val="32"/>
          <w:szCs w:val="32"/>
        </w:rPr>
        <w:t>附件</w:t>
      </w:r>
      <w:r>
        <w:rPr>
          <w:rFonts w:eastAsia="方正黑体简体"/>
          <w:sz w:val="32"/>
          <w:szCs w:val="32"/>
        </w:rPr>
        <w:t>4</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580" w:lineRule="exact"/>
        <w:jc w:val="center"/>
        <w:rPr>
          <w:rFonts w:eastAsia="方正小标宋简体"/>
          <w:sz w:val="44"/>
          <w:szCs w:val="44"/>
        </w:rPr>
      </w:pPr>
    </w:p>
    <w:p>
      <w:pPr>
        <w:spacing w:line="580" w:lineRule="exact"/>
        <w:jc w:val="center"/>
        <w:rPr>
          <w:rFonts w:hint="eastAsia" w:eastAsia="方正楷体简体"/>
          <w:b/>
          <w:bCs/>
          <w:kern w:val="0"/>
          <w:sz w:val="32"/>
          <w:szCs w:val="32"/>
          <w:lang w:val="en-US" w:eastAsia="zh-CN"/>
        </w:rPr>
      </w:pPr>
      <w:r>
        <w:rPr>
          <w:rFonts w:hint="eastAsia" w:eastAsia="方正楷体简体"/>
          <w:b/>
          <w:sz w:val="32"/>
          <w:szCs w:val="32"/>
        </w:rPr>
        <w:t>（</w:t>
      </w:r>
      <w:r>
        <w:rPr>
          <w:rFonts w:hint="eastAsia" w:eastAsia="方正楷体简体"/>
          <w:b/>
          <w:sz w:val="32"/>
          <w:szCs w:val="32"/>
          <w:lang w:val="en-US" w:eastAsia="zh-CN"/>
        </w:rPr>
        <w:t>乐至县</w:t>
      </w:r>
      <w:r>
        <w:rPr>
          <w:rFonts w:hint="eastAsia" w:eastAsia="方正楷体简体"/>
          <w:b/>
          <w:bCs/>
          <w:kern w:val="0"/>
          <w:sz w:val="32"/>
          <w:szCs w:val="32"/>
          <w:lang w:val="en-US" w:eastAsia="zh-CN"/>
        </w:rPr>
        <w:t>南湖公园、新天地等三处路口红绿灯</w:t>
      </w:r>
    </w:p>
    <w:p>
      <w:pPr>
        <w:spacing w:line="580" w:lineRule="exact"/>
        <w:jc w:val="center"/>
        <w:rPr>
          <w:rFonts w:eastAsia="方正楷体简体"/>
          <w:b/>
          <w:sz w:val="32"/>
          <w:szCs w:val="32"/>
        </w:rPr>
      </w:pPr>
      <w:r>
        <w:rPr>
          <w:rFonts w:hint="eastAsia" w:eastAsia="方正楷体简体"/>
          <w:b/>
          <w:bCs/>
          <w:kern w:val="0"/>
          <w:sz w:val="32"/>
          <w:szCs w:val="32"/>
          <w:lang w:val="en-US" w:eastAsia="zh-CN"/>
        </w:rPr>
        <w:t>及电子警察工程采购项目</w:t>
      </w:r>
      <w:r>
        <w:rPr>
          <w:rFonts w:hint="eastAsia" w:eastAsia="方正楷体简体"/>
          <w:b/>
          <w:sz w:val="32"/>
          <w:szCs w:val="32"/>
        </w:rPr>
        <w:t>）</w:t>
      </w:r>
    </w:p>
    <w:p>
      <w:pPr>
        <w:spacing w:line="580" w:lineRule="exact"/>
        <w:ind w:firstLine="640" w:firstLineChars="200"/>
        <w:rPr>
          <w:rFonts w:eastAsia="方正仿宋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0"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pStyle w:val="2"/>
        <w:ind w:firstLine="640" w:firstLineChars="200"/>
      </w:pPr>
      <w:r>
        <w:rPr>
          <w:rFonts w:hint="eastAsia" w:ascii="仿宋_GB2312" w:hAnsi="仿宋_GB2312" w:eastAsia="仿宋_GB2312" w:cs="仿宋_GB2312"/>
          <w:sz w:val="32"/>
          <w:szCs w:val="32"/>
          <w:lang w:val="en-US" w:eastAsia="zh-CN"/>
        </w:rPr>
        <w:t>为有效预防和减少道路交通事故，严查超速、闯红灯、机动车不礼让行人、车辆不按导向行驶等交通违法行为，有效震慑交通参与人，进一步提升乐至城市文明形象，本单位拟组织实施该项工作。</w:t>
      </w:r>
    </w:p>
    <w:p>
      <w:pPr>
        <w:numPr>
          <w:ilvl w:val="0"/>
          <w:numId w:val="5"/>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pPr>
        <w:pStyle w:val="2"/>
        <w:ind w:firstLine="640" w:firstLineChars="200"/>
      </w:pPr>
      <w:r>
        <w:rPr>
          <w:rFonts w:hint="eastAsia" w:ascii="仿宋_GB2312" w:hAnsi="仿宋_GB2312" w:eastAsia="仿宋_GB2312" w:cs="仿宋_GB2312"/>
          <w:sz w:val="32"/>
          <w:szCs w:val="32"/>
          <w:lang w:val="en-US" w:eastAsia="zh-CN"/>
        </w:rPr>
        <w:t>资金来源：县财政资金，本单位严格按照预算数执行预算，项目竣工验收以后按合同约定付款，不存在超范围、超预算执行的情况。</w:t>
      </w:r>
    </w:p>
    <w:p>
      <w:pPr>
        <w:numPr>
          <w:ilvl w:val="0"/>
          <w:numId w:val="5"/>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w:t>
      </w:r>
    </w:p>
    <w:p>
      <w:pPr>
        <w:pStyle w:val="2"/>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该项目于2020年8月26日开标中标，并按要求签订合同，随机开工，2021年1月22日已完成竣工验收工作，验收金额为：1450390元。2022年该项目开支20万元。</w:t>
      </w:r>
    </w:p>
    <w:p>
      <w:pPr>
        <w:numPr>
          <w:ilvl w:val="0"/>
          <w:numId w:val="5"/>
        </w:numPr>
        <w:spacing w:line="580" w:lineRule="exact"/>
        <w:ind w:left="0" w:leftChars="0" w:firstLine="640" w:firstLineChars="200"/>
        <w:rPr>
          <w:rFonts w:hint="eastAsia" w:eastAsia="方正仿宋简体"/>
          <w:sz w:val="32"/>
          <w:szCs w:val="32"/>
        </w:rPr>
      </w:pPr>
      <w:r>
        <w:rPr>
          <w:rFonts w:hint="eastAsia" w:eastAsia="方正仿宋简体"/>
          <w:sz w:val="32"/>
          <w:szCs w:val="32"/>
        </w:rPr>
        <w:t>组织及管理</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Calibri" w:eastAsia="仿宋_GB2312" w:cs="Times New Roman"/>
          <w:kern w:val="2"/>
          <w:sz w:val="32"/>
          <w:szCs w:val="32"/>
          <w:lang w:val="zh-CN" w:eastAsia="zh-CN" w:bidi="ar-SA"/>
        </w:rPr>
        <w:t>经过政府招投标程序，该项目由四川</w:t>
      </w:r>
      <w:r>
        <w:rPr>
          <w:rFonts w:hint="eastAsia" w:ascii="仿宋_GB2312" w:hAnsi="Calibri" w:eastAsia="仿宋_GB2312" w:cs="Times New Roman"/>
          <w:kern w:val="2"/>
          <w:sz w:val="32"/>
          <w:szCs w:val="32"/>
          <w:lang w:val="en-US" w:eastAsia="zh-CN" w:bidi="ar-SA"/>
        </w:rPr>
        <w:t>勇安智能科技</w:t>
      </w:r>
      <w:r>
        <w:rPr>
          <w:rFonts w:hint="eastAsia" w:ascii="仿宋_GB2312" w:hAnsi="Calibri" w:eastAsia="仿宋_GB2312" w:cs="Times New Roman"/>
          <w:kern w:val="2"/>
          <w:sz w:val="32"/>
          <w:szCs w:val="32"/>
          <w:lang w:val="zh-CN" w:eastAsia="zh-CN" w:bidi="ar-SA"/>
        </w:rPr>
        <w:t>有限公司中标承建，乐至县公安局交通警察大队负责该项目建设</w:t>
      </w:r>
      <w:r>
        <w:rPr>
          <w:rFonts w:hint="eastAsia" w:ascii="仿宋_GB2312" w:hAnsi="Calibri" w:eastAsia="仿宋_GB2312" w:cs="Times New Roman"/>
          <w:kern w:val="2"/>
          <w:sz w:val="32"/>
          <w:szCs w:val="32"/>
          <w:lang w:val="en-US" w:eastAsia="zh-CN" w:bidi="ar-SA"/>
        </w:rPr>
        <w:t>过程中</w:t>
      </w:r>
      <w:r>
        <w:rPr>
          <w:rFonts w:hint="eastAsia" w:ascii="仿宋_GB2312" w:hAnsi="Calibri" w:eastAsia="仿宋_GB2312" w:cs="Times New Roman"/>
          <w:kern w:val="2"/>
          <w:sz w:val="32"/>
          <w:szCs w:val="32"/>
          <w:lang w:val="zh-CN" w:eastAsia="zh-CN" w:bidi="ar-SA"/>
        </w:rPr>
        <w:t>的</w:t>
      </w:r>
      <w:r>
        <w:rPr>
          <w:rFonts w:hint="eastAsia" w:ascii="仿宋_GB2312" w:hAnsi="Calibri" w:eastAsia="仿宋_GB2312" w:cs="Times New Roman"/>
          <w:kern w:val="2"/>
          <w:sz w:val="32"/>
          <w:szCs w:val="32"/>
          <w:lang w:val="en-US" w:eastAsia="zh-CN" w:bidi="ar-SA"/>
        </w:rPr>
        <w:t>全过程</w:t>
      </w:r>
      <w:r>
        <w:rPr>
          <w:rFonts w:hint="eastAsia" w:ascii="仿宋_GB2312" w:hAnsi="Calibri" w:eastAsia="仿宋_GB2312" w:cs="Times New Roman"/>
          <w:kern w:val="2"/>
          <w:sz w:val="32"/>
          <w:szCs w:val="32"/>
          <w:lang w:val="zh-CN" w:eastAsia="zh-CN" w:bidi="ar-SA"/>
        </w:rPr>
        <w:t>监督，以及项目建设过程中与</w:t>
      </w:r>
      <w:r>
        <w:rPr>
          <w:rFonts w:hint="eastAsia" w:ascii="仿宋_GB2312" w:hAnsi="Calibri" w:eastAsia="仿宋_GB2312" w:cs="Times New Roman"/>
          <w:kern w:val="2"/>
          <w:sz w:val="32"/>
          <w:szCs w:val="32"/>
          <w:lang w:val="en-US" w:eastAsia="zh-CN" w:bidi="ar-SA"/>
        </w:rPr>
        <w:t>交通、路政、环保等</w:t>
      </w:r>
      <w:r>
        <w:rPr>
          <w:rFonts w:hint="eastAsia" w:ascii="仿宋_GB2312" w:hAnsi="Calibri" w:eastAsia="仿宋_GB2312" w:cs="Times New Roman"/>
          <w:kern w:val="2"/>
          <w:sz w:val="32"/>
          <w:szCs w:val="32"/>
          <w:lang w:val="zh-CN" w:eastAsia="zh-CN" w:bidi="ar-SA"/>
        </w:rPr>
        <w:t>相关职能部门间的协调工作，确保该项目工程有序推进，</w:t>
      </w:r>
      <w:r>
        <w:rPr>
          <w:rFonts w:hint="eastAsia" w:ascii="仿宋_GB2312" w:hAnsi="Calibri" w:eastAsia="仿宋_GB2312" w:cs="Times New Roman"/>
          <w:kern w:val="2"/>
          <w:sz w:val="32"/>
          <w:szCs w:val="32"/>
          <w:lang w:val="en-US" w:eastAsia="zh-CN" w:bidi="ar-SA"/>
        </w:rPr>
        <w:t>顺利完工</w:t>
      </w:r>
      <w:r>
        <w:rPr>
          <w:rFonts w:hint="eastAsia" w:ascii="仿宋_GB2312" w:hAnsi="Calibri" w:eastAsia="仿宋_GB2312" w:cs="Times New Roman"/>
          <w:kern w:val="2"/>
          <w:sz w:val="32"/>
          <w:szCs w:val="32"/>
          <w:lang w:val="zh-CN" w:eastAsia="zh-CN" w:bidi="ar-SA"/>
        </w:rPr>
        <w:t>。</w:t>
      </w:r>
      <w:r>
        <w:rPr>
          <w:rFonts w:hint="eastAsia" w:ascii="仿宋_GB2312" w:hAnsi="仿宋_GB2312" w:eastAsia="仿宋_GB2312" w:cs="仿宋_GB2312"/>
          <w:sz w:val="32"/>
          <w:szCs w:val="32"/>
          <w:lang w:val="en-US" w:eastAsia="zh-CN"/>
        </w:rPr>
        <w:t>同时，单位项目负责人、财务分管领导人、大队负责人逐一对该项目支出进行严格把关，不存在超预算、超范围开支的情况。</w:t>
      </w:r>
    </w:p>
    <w:p>
      <w:pPr>
        <w:spacing w:line="580" w:lineRule="exact"/>
        <w:ind w:firstLine="643" w:firstLineChars="200"/>
        <w:rPr>
          <w:rFonts w:hint="eastAsia" w:eastAsia="方正楷体简体"/>
          <w:b/>
          <w:sz w:val="32"/>
          <w:szCs w:val="32"/>
          <w:lang w:val="en-US" w:eastAsia="zh-CN"/>
        </w:rPr>
      </w:pPr>
      <w:r>
        <w:rPr>
          <w:rFonts w:hint="eastAsia" w:eastAsia="方正楷体简体"/>
          <w:b/>
          <w:sz w:val="32"/>
          <w:szCs w:val="32"/>
        </w:rPr>
        <w:t>（二）绩效目标</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望城大道通过增设交通信号灯及电子警察抓拍系统后，该路段超速、闯红灯、机动车不礼让行人、车辆不按导向行驶等交通违法行为明细减少，不仅有效震慑了交通参与人，也进一步提升了乐至城市文明形象。</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eastAsia="方正楷体简体"/>
          <w:b/>
          <w:sz w:val="32"/>
          <w:szCs w:val="32"/>
        </w:rPr>
      </w:pPr>
      <w:r>
        <w:rPr>
          <w:rFonts w:hint="eastAsia" w:ascii="仿宋_GB2312" w:hAnsi="Calibri" w:eastAsia="仿宋_GB2312" w:cs="Times New Roman"/>
          <w:kern w:val="2"/>
          <w:sz w:val="32"/>
          <w:szCs w:val="32"/>
          <w:lang w:val="en-US" w:eastAsia="zh-CN" w:bidi="ar-SA"/>
        </w:rPr>
        <w:t>大队成立以大队长毛奎任组长，教导员倪小刚、副大队长吴成林、李韦兵、唐鹤镭为副组长，各部门负责人为成员的绩效评价领导小组。下设办公室，教导员倪小刚负责组织工作具体实施。</w:t>
      </w:r>
    </w:p>
    <w:p>
      <w:pPr>
        <w:numPr>
          <w:ilvl w:val="0"/>
          <w:numId w:val="6"/>
        </w:numPr>
        <w:spacing w:line="580" w:lineRule="exact"/>
        <w:ind w:firstLine="643" w:firstLineChars="200"/>
        <w:rPr>
          <w:rFonts w:hint="eastAsia" w:eastAsia="方正楷体简体"/>
          <w:b/>
          <w:sz w:val="32"/>
          <w:szCs w:val="32"/>
        </w:rPr>
      </w:pPr>
      <w:r>
        <w:rPr>
          <w:rFonts w:hint="eastAsia" w:eastAsia="方正楷体简体"/>
          <w:b/>
          <w:sz w:val="32"/>
          <w:szCs w:val="32"/>
        </w:rPr>
        <w:t>自评方式、方法、重点等</w:t>
      </w:r>
    </w:p>
    <w:p>
      <w:pPr>
        <w:numPr>
          <w:ilvl w:val="0"/>
          <w:numId w:val="6"/>
        </w:numPr>
        <w:spacing w:line="580" w:lineRule="exact"/>
        <w:ind w:firstLine="640" w:firstLineChars="200"/>
        <w:rPr>
          <w:rFonts w:eastAsia="方正楷体简体"/>
          <w:b/>
          <w:sz w:val="32"/>
          <w:szCs w:val="32"/>
        </w:rPr>
      </w:pPr>
      <w:r>
        <w:rPr>
          <w:rFonts w:hint="eastAsia" w:ascii="仿宋_GB2312" w:hAnsi="Calibri" w:eastAsia="仿宋_GB2312" w:cs="Times New Roman"/>
          <w:kern w:val="2"/>
          <w:sz w:val="32"/>
          <w:szCs w:val="32"/>
          <w:lang w:val="en-US" w:eastAsia="zh-CN" w:bidi="ar-SA"/>
        </w:rPr>
        <w:t>本单位采取单位自评的方法对2022年所有纳入政府财政性支出的所有资金进行评价，重点侧重于对项目支出进行评价。</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eastAsia="方正仿宋简体"/>
        </w:rPr>
      </w:pPr>
      <w:r>
        <w:rPr>
          <w:rFonts w:hint="eastAsia" w:ascii="仿宋_GB2312" w:eastAsia="仿宋_GB2312"/>
          <w:b w:val="0"/>
          <w:bCs/>
          <w:sz w:val="32"/>
          <w:szCs w:val="32"/>
        </w:rPr>
        <w:t>20</w:t>
      </w:r>
      <w:r>
        <w:rPr>
          <w:rFonts w:hint="eastAsia" w:ascii="仿宋_GB2312"/>
          <w:b w:val="0"/>
          <w:bCs/>
          <w:sz w:val="32"/>
          <w:szCs w:val="32"/>
          <w:lang w:val="en-US" w:eastAsia="zh-CN"/>
        </w:rPr>
        <w:t>22年</w:t>
      </w:r>
      <w:r>
        <w:rPr>
          <w:rFonts w:hint="eastAsia" w:ascii="仿宋_GB2312" w:eastAsia="仿宋_GB2312"/>
          <w:b w:val="0"/>
          <w:bCs/>
          <w:sz w:val="32"/>
          <w:szCs w:val="32"/>
        </w:rPr>
        <w:t>，大队严格遵循“统筹兼顾、勤俭节约、量力而行、讲求绩效和收支平衡”的原则，以及《预算管理办法》</w:t>
      </w:r>
      <w:r>
        <w:rPr>
          <w:rFonts w:hint="eastAsia" w:ascii="仿宋_GB2312"/>
          <w:b w:val="0"/>
          <w:bCs/>
          <w:sz w:val="32"/>
          <w:szCs w:val="32"/>
          <w:lang w:eastAsia="zh-CN"/>
        </w:rPr>
        <w:t>、</w:t>
      </w:r>
      <w:r>
        <w:rPr>
          <w:rFonts w:hint="eastAsia" w:ascii="仿宋_GB2312"/>
          <w:b w:val="0"/>
          <w:bCs/>
          <w:sz w:val="32"/>
          <w:szCs w:val="32"/>
          <w:lang w:val="en-US" w:eastAsia="zh-CN"/>
        </w:rPr>
        <w:t>政府采购</w:t>
      </w:r>
      <w:r>
        <w:rPr>
          <w:rFonts w:hint="eastAsia" w:ascii="仿宋_GB2312" w:eastAsia="仿宋_GB2312"/>
          <w:b w:val="0"/>
          <w:bCs/>
          <w:sz w:val="32"/>
          <w:szCs w:val="32"/>
        </w:rPr>
        <w:t>等相关制度规定严格执行单位</w:t>
      </w:r>
      <w:r>
        <w:rPr>
          <w:rFonts w:hint="eastAsia" w:ascii="仿宋_GB2312"/>
          <w:b w:val="0"/>
          <w:bCs/>
          <w:sz w:val="32"/>
          <w:szCs w:val="32"/>
          <w:lang w:val="en-US" w:eastAsia="zh-CN"/>
        </w:rPr>
        <w:t>采购</w:t>
      </w:r>
      <w:r>
        <w:rPr>
          <w:rFonts w:hint="eastAsia" w:ascii="仿宋_GB2312" w:eastAsia="仿宋_GB2312"/>
          <w:b w:val="0"/>
          <w:bCs/>
          <w:sz w:val="32"/>
          <w:szCs w:val="32"/>
        </w:rPr>
        <w:t>预算，</w:t>
      </w:r>
      <w:r>
        <w:rPr>
          <w:rFonts w:hint="eastAsia" w:ascii="仿宋_GB2312"/>
          <w:b w:val="0"/>
          <w:bCs/>
          <w:sz w:val="32"/>
          <w:szCs w:val="32"/>
          <w:lang w:val="en-US" w:eastAsia="zh-CN"/>
        </w:rPr>
        <w:t>严格执行专款专用，未发生截留、占用项目资金的情况</w:t>
      </w:r>
      <w:r>
        <w:rPr>
          <w:rFonts w:hint="eastAsia" w:ascii="仿宋_GB2312" w:eastAsia="仿宋_GB2312"/>
          <w:b w:val="0"/>
          <w:bCs/>
          <w:sz w:val="32"/>
          <w:szCs w:val="32"/>
        </w:rPr>
        <w:t>。</w:t>
      </w:r>
      <w:r>
        <w:rPr>
          <w:rFonts w:hint="eastAsia" w:ascii="仿宋_GB2312"/>
          <w:b w:val="0"/>
          <w:bCs/>
          <w:sz w:val="32"/>
          <w:szCs w:val="32"/>
          <w:lang w:val="en-US" w:eastAsia="zh-CN"/>
        </w:rPr>
        <w:t>本年度本单位《部门整体支出绩效自评计分表》评分为82.7分，依据乐财规〔2021〕1号规定确定绩效等级：中。</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pStyle w:val="2"/>
        <w:ind w:firstLine="640" w:firstLineChars="200"/>
        <w:rPr>
          <w:rFonts w:hint="eastAsia" w:eastAsia="方正仿宋简体"/>
          <w:sz w:val="32"/>
          <w:szCs w:val="32"/>
        </w:rPr>
      </w:pPr>
      <w:r>
        <w:rPr>
          <w:rFonts w:hint="eastAsia" w:eastAsia="方正仿宋简体"/>
          <w:sz w:val="32"/>
          <w:szCs w:val="32"/>
        </w:rPr>
        <w:t>对照项目实施情况，对各评价指标目标值与实际值的差异程度及产生原因进行分析。</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在职人员控制率（5分）扣1分，因为本单位在编实有数为13人，但实际民警28人（另外编制在县公安局），辅警及临聘人员90人，经费开支都在本单位，所以以“部门（单位）本年度实际在职人员数与编制数的比率”测算不太符合实际。</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二是项目的重大开支是否经过评估论证；（0.2分），扣0.2分。</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三是管理制度健全性（2分）扣0.5分，财务管理工作是一项常态化工作，财经秩序要求与时俱进，财政制度要求也应跟上步伐，但因单位小看，有时制度制定的及时性上存在滞后和不够健全完善的地方。</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四是资产管理安全性（2分）中资产配置合理性和覆盖性不足，因为地方财力有限，有些装备只能将就用，该项扣0.4分。</w:t>
      </w:r>
    </w:p>
    <w:p>
      <w:pPr>
        <w:pStyle w:val="2"/>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是完成及时率（4分）扣1分，质量达标率（8分）和重点工作办结率（10分）各扣2分，因为当年计划数大于实际完成数，因地方财力有限，有些项目早已完成验收，但因财力得不到及时保障，故有些重点工作的完成率不高。</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六是经济效益（5分）和生态效益（5分）各扣2分，因为本单位该项指标不适用。</w:t>
      </w:r>
    </w:p>
    <w:p>
      <w:pPr>
        <w:spacing w:line="58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七是社会公众或服务对象满意度（5分）扣1分，人民群众对道路交通环境的要求越来越高，现有财力和警力暂时无法完全满足人民群众的需求。</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pStyle w:val="2"/>
        <w:ind w:firstLine="643" w:firstLineChars="200"/>
        <w:rPr>
          <w:rFonts w:hint="eastAsia" w:eastAsia="方正楷体简体"/>
          <w:b/>
          <w:sz w:val="32"/>
          <w:szCs w:val="32"/>
        </w:rPr>
      </w:pPr>
      <w:r>
        <w:rPr>
          <w:rFonts w:hint="eastAsia" w:eastAsia="方正楷体简体"/>
          <w:b/>
          <w:sz w:val="32"/>
          <w:szCs w:val="32"/>
        </w:rPr>
        <w:t>（一）主要经验及做法</w:t>
      </w:r>
    </w:p>
    <w:p>
      <w:pPr>
        <w:pStyle w:val="2"/>
        <w:ind w:firstLine="640" w:firstLineChars="200"/>
        <w:rPr>
          <w:rFonts w:eastAsia="方正楷体简体"/>
          <w:b/>
          <w:sz w:val="32"/>
          <w:szCs w:val="32"/>
        </w:rPr>
      </w:pPr>
      <w:r>
        <w:rPr>
          <w:rFonts w:hint="eastAsia" w:ascii="仿宋_GB2312" w:hAnsi="黑体" w:eastAsia="仿宋_GB2312" w:cs="Times New Roman"/>
          <w:kern w:val="2"/>
          <w:sz w:val="32"/>
          <w:szCs w:val="32"/>
          <w:lang w:val="en-US" w:eastAsia="zh-CN" w:bidi="ar-SA"/>
        </w:rPr>
        <w:t>本单位结合公安交管工作实际，认真履行项目推进过程监督管理职责，并做好与相关职能部门的沟通协调，确保项目有序推行，顺利完工，同时按照节约成本的原则，针对物价上涨的现状，在验收时严格把好价格关。</w:t>
      </w:r>
    </w:p>
    <w:p>
      <w:pPr>
        <w:pStyle w:val="2"/>
        <w:numPr>
          <w:ilvl w:val="0"/>
          <w:numId w:val="7"/>
        </w:numPr>
        <w:ind w:firstLine="643" w:firstLineChars="200"/>
        <w:rPr>
          <w:rFonts w:hint="eastAsia" w:eastAsia="方正楷体简体"/>
          <w:b/>
          <w:sz w:val="32"/>
          <w:szCs w:val="32"/>
        </w:rPr>
      </w:pPr>
      <w:r>
        <w:rPr>
          <w:rFonts w:hint="eastAsia" w:eastAsia="方正楷体简体"/>
          <w:b/>
          <w:sz w:val="32"/>
          <w:szCs w:val="32"/>
        </w:rPr>
        <w:t>存在的问题</w:t>
      </w:r>
    </w:p>
    <w:p>
      <w:pPr>
        <w:pStyle w:val="2"/>
        <w:numPr>
          <w:ilvl w:val="0"/>
          <w:numId w:val="0"/>
        </w:numPr>
        <w:ind w:firstLine="640" w:firstLineChars="200"/>
        <w:rPr>
          <w:rFonts w:eastAsia="方正楷体简体"/>
          <w:b/>
          <w:sz w:val="32"/>
          <w:szCs w:val="32"/>
        </w:rPr>
      </w:pPr>
      <w:r>
        <w:rPr>
          <w:rFonts w:hint="eastAsia" w:ascii="仿宋_GB2312" w:hAnsi="仿宋_GB2312" w:eastAsia="仿宋_GB2312" w:cs="仿宋_GB2312"/>
          <w:sz w:val="32"/>
          <w:szCs w:val="32"/>
          <w:lang w:val="en-US" w:eastAsia="zh-CN"/>
        </w:rPr>
        <w:t>一是地方财力有限，工程款给付周期长，二是财经纪律与时俱进，本单位制度较国家层面的要求有滞后，制度更新不是很及时。三是</w:t>
      </w:r>
      <w:r>
        <w:rPr>
          <w:rFonts w:hint="eastAsia" w:ascii="仿宋_GB2312" w:eastAsia="仿宋_GB2312"/>
          <w:b w:val="0"/>
          <w:bCs/>
          <w:sz w:val="32"/>
          <w:szCs w:val="32"/>
          <w:lang w:val="en-US" w:eastAsia="zh-CN"/>
        </w:rPr>
        <w:t>城市管理方面的专业人才缺失，在红绿灯及电子监控设备、城市信息化建设等专业项目上，因业务知识匮乏，对相关技术参数不能做到胸有成竹，许多时候工程类项目工作很被动，专业类问题只能花钱委托其他单位专业人员做评估，在一定程度上增加了单位经费开支。</w:t>
      </w:r>
    </w:p>
    <w:p>
      <w:pPr>
        <w:numPr>
          <w:ilvl w:val="0"/>
          <w:numId w:val="7"/>
        </w:numPr>
        <w:spacing w:line="580" w:lineRule="exact"/>
        <w:ind w:left="0" w:leftChars="0" w:firstLine="643" w:firstLineChars="200"/>
        <w:rPr>
          <w:rFonts w:hint="eastAsia" w:eastAsia="方正楷体简体"/>
          <w:b/>
          <w:sz w:val="32"/>
          <w:szCs w:val="32"/>
        </w:rPr>
      </w:pPr>
      <w:r>
        <w:rPr>
          <w:rFonts w:hint="eastAsia" w:eastAsia="方正楷体简体"/>
          <w:b/>
          <w:sz w:val="32"/>
          <w:szCs w:val="32"/>
        </w:rPr>
        <w:t>建议和改进措施</w:t>
      </w:r>
    </w:p>
    <w:p>
      <w:pPr>
        <w:pStyle w:val="2"/>
        <w:numPr>
          <w:ilvl w:val="0"/>
          <w:numId w:val="0"/>
        </w:numPr>
        <w:ind w:left="0" w:leftChars="0" w:firstLine="640" w:firstLineChars="200"/>
      </w:pPr>
      <w:r>
        <w:rPr>
          <w:rFonts w:hint="eastAsia" w:ascii="仿宋_GB2312" w:eastAsia="仿宋_GB2312"/>
          <w:b w:val="0"/>
          <w:bCs/>
          <w:sz w:val="32"/>
          <w:szCs w:val="32"/>
          <w:lang w:val="en-US" w:eastAsia="zh-CN"/>
        </w:rPr>
        <w:t>一是争取地方财力支持，保障公安交管信息化建设工作提档升级。二是主动汇报，加大信息化、科技化、城市管理智能化方面的专业人才引进，为乐至公安交管工作不断注入新鲜血液，以便迎接公安交管工作新挑战。三是及时补充警力，确保项目决策、项目采购、财务管理、审计验收等重要岗位定岗定责，以满足本单位内控制度建设工作良续发展。</w:t>
      </w:r>
    </w:p>
    <w:p>
      <w:pPr>
        <w:spacing w:line="580" w:lineRule="exact"/>
        <w:ind w:firstLine="640" w:firstLineChars="200"/>
        <w:rPr>
          <w:rFonts w:eastAsia="方正仿宋简体"/>
          <w:sz w:val="32"/>
          <w:szCs w:val="32"/>
        </w:rPr>
      </w:pPr>
    </w:p>
    <w:p>
      <w:pPr>
        <w:spacing w:line="580" w:lineRule="exact"/>
        <w:rPr>
          <w:rFonts w:eastAsia="方正黑体简体"/>
          <w:sz w:val="32"/>
          <w:szCs w:val="32"/>
        </w:rPr>
      </w:pPr>
      <w:r>
        <w:rPr>
          <w:rFonts w:hint="eastAsia" w:eastAsia="方正黑体简体"/>
          <w:sz w:val="32"/>
          <w:szCs w:val="32"/>
        </w:rPr>
        <w:t>附件</w:t>
      </w:r>
      <w:r>
        <w:rPr>
          <w:rFonts w:eastAsia="方正黑体简体"/>
          <w:sz w:val="32"/>
          <w:szCs w:val="32"/>
        </w:rPr>
        <w:t>4</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580" w:lineRule="exact"/>
        <w:jc w:val="center"/>
        <w:rPr>
          <w:rFonts w:eastAsia="方正小标宋简体"/>
          <w:sz w:val="44"/>
          <w:szCs w:val="44"/>
        </w:rPr>
      </w:pP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乐至县望城大道交通信号灯及电子警察采购</w:t>
      </w:r>
      <w:r>
        <w:rPr>
          <w:rFonts w:hint="eastAsia" w:eastAsia="方正楷体简体"/>
          <w:b/>
          <w:sz w:val="32"/>
          <w:szCs w:val="32"/>
        </w:rPr>
        <w:t>项目）</w:t>
      </w:r>
    </w:p>
    <w:p>
      <w:pPr>
        <w:spacing w:line="580" w:lineRule="exact"/>
        <w:ind w:firstLine="640" w:firstLineChars="200"/>
        <w:rPr>
          <w:rFonts w:eastAsia="方正仿宋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0"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pStyle w:val="2"/>
        <w:ind w:firstLine="640" w:firstLineChars="200"/>
      </w:pPr>
      <w:r>
        <w:rPr>
          <w:rFonts w:hint="eastAsia" w:ascii="仿宋_GB2312" w:hAnsi="仿宋_GB2312" w:eastAsia="仿宋_GB2312" w:cs="仿宋_GB2312"/>
          <w:sz w:val="32"/>
          <w:szCs w:val="32"/>
          <w:lang w:val="en-US" w:eastAsia="zh-CN"/>
        </w:rPr>
        <w:t>为有效预防和减少道路交通事故，严查超速、闯红灯、机动车不礼让行人、车辆不按导向行驶等交通违法行为，有效震慑交通参与人，进一步提升乐至城市文明形象，本单位拟组织实施该项工作。</w:t>
      </w:r>
    </w:p>
    <w:p>
      <w:pPr>
        <w:numPr>
          <w:ilvl w:val="0"/>
          <w:numId w:val="5"/>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pPr>
        <w:pStyle w:val="2"/>
        <w:ind w:firstLine="640" w:firstLineChars="200"/>
      </w:pPr>
      <w:r>
        <w:rPr>
          <w:rFonts w:hint="eastAsia" w:ascii="仿宋_GB2312" w:hAnsi="仿宋_GB2312" w:eastAsia="仿宋_GB2312" w:cs="仿宋_GB2312"/>
          <w:sz w:val="32"/>
          <w:szCs w:val="32"/>
          <w:lang w:val="en-US" w:eastAsia="zh-CN"/>
        </w:rPr>
        <w:t>资金来源：县财政资金，本单位严格按照预算数执行预算，项目竣工验收以后按合同约定付款，不存在超范围、超预算执行的情况。</w:t>
      </w:r>
    </w:p>
    <w:p>
      <w:pPr>
        <w:numPr>
          <w:ilvl w:val="0"/>
          <w:numId w:val="5"/>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w:t>
      </w:r>
    </w:p>
    <w:p>
      <w:pPr>
        <w:pStyle w:val="2"/>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该项目于2019年8月15日签订合同，随机开工，2020年7月10日已完成竣工验收工作，验收金额为：3758875元。2022年该项目拨付148.98万元。</w:t>
      </w:r>
    </w:p>
    <w:p>
      <w:pPr>
        <w:numPr>
          <w:ilvl w:val="0"/>
          <w:numId w:val="5"/>
        </w:numPr>
        <w:spacing w:line="580" w:lineRule="exact"/>
        <w:ind w:left="0" w:leftChars="0" w:firstLine="640" w:firstLineChars="200"/>
        <w:rPr>
          <w:rFonts w:hint="eastAsia" w:eastAsia="方正仿宋简体"/>
          <w:sz w:val="32"/>
          <w:szCs w:val="32"/>
        </w:rPr>
      </w:pPr>
      <w:r>
        <w:rPr>
          <w:rFonts w:hint="eastAsia" w:eastAsia="方正仿宋简体"/>
          <w:sz w:val="32"/>
          <w:szCs w:val="32"/>
        </w:rPr>
        <w:t>组织及管理</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Calibri" w:eastAsia="仿宋_GB2312" w:cs="Times New Roman"/>
          <w:kern w:val="2"/>
          <w:sz w:val="32"/>
          <w:szCs w:val="32"/>
          <w:lang w:val="zh-CN" w:eastAsia="zh-CN" w:bidi="ar-SA"/>
        </w:rPr>
        <w:t>经过政府招投标程序，该项目由四川</w:t>
      </w:r>
      <w:r>
        <w:rPr>
          <w:rFonts w:hint="eastAsia" w:ascii="仿宋_GB2312" w:hAnsi="Calibri" w:eastAsia="仿宋_GB2312" w:cs="Times New Roman"/>
          <w:kern w:val="2"/>
          <w:sz w:val="32"/>
          <w:szCs w:val="32"/>
          <w:lang w:val="en-US" w:eastAsia="zh-CN" w:bidi="ar-SA"/>
        </w:rPr>
        <w:t>蓝灵</w:t>
      </w:r>
      <w:r>
        <w:rPr>
          <w:rFonts w:hint="eastAsia" w:ascii="仿宋_GB2312" w:hAnsi="Calibri" w:eastAsia="仿宋_GB2312" w:cs="Times New Roman"/>
          <w:kern w:val="2"/>
          <w:sz w:val="32"/>
          <w:szCs w:val="32"/>
          <w:lang w:val="zh-CN" w:eastAsia="zh-CN" w:bidi="ar-SA"/>
        </w:rPr>
        <w:t>交通</w:t>
      </w:r>
      <w:r>
        <w:rPr>
          <w:rFonts w:hint="eastAsia" w:ascii="仿宋_GB2312" w:hAnsi="Calibri" w:eastAsia="仿宋_GB2312" w:cs="Times New Roman"/>
          <w:kern w:val="2"/>
          <w:sz w:val="32"/>
          <w:szCs w:val="32"/>
          <w:lang w:val="en-US" w:eastAsia="zh-CN" w:bidi="ar-SA"/>
        </w:rPr>
        <w:t>设施</w:t>
      </w:r>
      <w:r>
        <w:rPr>
          <w:rFonts w:hint="eastAsia" w:ascii="仿宋_GB2312" w:hAnsi="Calibri" w:eastAsia="仿宋_GB2312" w:cs="Times New Roman"/>
          <w:kern w:val="2"/>
          <w:sz w:val="32"/>
          <w:szCs w:val="32"/>
          <w:lang w:val="zh-CN" w:eastAsia="zh-CN" w:bidi="ar-SA"/>
        </w:rPr>
        <w:t>工程有限</w:t>
      </w:r>
      <w:r>
        <w:rPr>
          <w:rFonts w:hint="eastAsia" w:ascii="仿宋_GB2312" w:hAnsi="Calibri" w:eastAsia="仿宋_GB2312" w:cs="Times New Roman"/>
          <w:kern w:val="2"/>
          <w:sz w:val="32"/>
          <w:szCs w:val="32"/>
          <w:lang w:val="en-US" w:eastAsia="zh-CN" w:bidi="ar-SA"/>
        </w:rPr>
        <w:t>责任</w:t>
      </w:r>
      <w:r>
        <w:rPr>
          <w:rFonts w:hint="eastAsia" w:ascii="仿宋_GB2312" w:hAnsi="Calibri" w:eastAsia="仿宋_GB2312" w:cs="Times New Roman"/>
          <w:kern w:val="2"/>
          <w:sz w:val="32"/>
          <w:szCs w:val="32"/>
          <w:lang w:val="zh-CN" w:eastAsia="zh-CN" w:bidi="ar-SA"/>
        </w:rPr>
        <w:t>公司中标承建，乐至县公安局交通警察大队负责该项目建设</w:t>
      </w:r>
      <w:r>
        <w:rPr>
          <w:rFonts w:hint="eastAsia" w:ascii="仿宋_GB2312" w:hAnsi="Calibri" w:eastAsia="仿宋_GB2312" w:cs="Times New Roman"/>
          <w:kern w:val="2"/>
          <w:sz w:val="32"/>
          <w:szCs w:val="32"/>
          <w:lang w:val="en-US" w:eastAsia="zh-CN" w:bidi="ar-SA"/>
        </w:rPr>
        <w:t>过程中</w:t>
      </w:r>
      <w:r>
        <w:rPr>
          <w:rFonts w:hint="eastAsia" w:ascii="仿宋_GB2312" w:hAnsi="Calibri" w:eastAsia="仿宋_GB2312" w:cs="Times New Roman"/>
          <w:kern w:val="2"/>
          <w:sz w:val="32"/>
          <w:szCs w:val="32"/>
          <w:lang w:val="zh-CN" w:eastAsia="zh-CN" w:bidi="ar-SA"/>
        </w:rPr>
        <w:t>的</w:t>
      </w:r>
      <w:r>
        <w:rPr>
          <w:rFonts w:hint="eastAsia" w:ascii="仿宋_GB2312" w:hAnsi="Calibri" w:eastAsia="仿宋_GB2312" w:cs="Times New Roman"/>
          <w:kern w:val="2"/>
          <w:sz w:val="32"/>
          <w:szCs w:val="32"/>
          <w:lang w:val="en-US" w:eastAsia="zh-CN" w:bidi="ar-SA"/>
        </w:rPr>
        <w:t>全过程</w:t>
      </w:r>
      <w:r>
        <w:rPr>
          <w:rFonts w:hint="eastAsia" w:ascii="仿宋_GB2312" w:hAnsi="Calibri" w:eastAsia="仿宋_GB2312" w:cs="Times New Roman"/>
          <w:kern w:val="2"/>
          <w:sz w:val="32"/>
          <w:szCs w:val="32"/>
          <w:lang w:val="zh-CN" w:eastAsia="zh-CN" w:bidi="ar-SA"/>
        </w:rPr>
        <w:t>监督，以及项目建设过程中与</w:t>
      </w:r>
      <w:r>
        <w:rPr>
          <w:rFonts w:hint="eastAsia" w:ascii="仿宋_GB2312" w:hAnsi="Calibri" w:eastAsia="仿宋_GB2312" w:cs="Times New Roman"/>
          <w:kern w:val="2"/>
          <w:sz w:val="32"/>
          <w:szCs w:val="32"/>
          <w:lang w:val="en-US" w:eastAsia="zh-CN" w:bidi="ar-SA"/>
        </w:rPr>
        <w:t>交通、路政、环保等</w:t>
      </w:r>
      <w:r>
        <w:rPr>
          <w:rFonts w:hint="eastAsia" w:ascii="仿宋_GB2312" w:hAnsi="Calibri" w:eastAsia="仿宋_GB2312" w:cs="Times New Roman"/>
          <w:kern w:val="2"/>
          <w:sz w:val="32"/>
          <w:szCs w:val="32"/>
          <w:lang w:val="zh-CN" w:eastAsia="zh-CN" w:bidi="ar-SA"/>
        </w:rPr>
        <w:t>相关职能部门间的协调工作，确保该项目工程有序推进，</w:t>
      </w:r>
      <w:r>
        <w:rPr>
          <w:rFonts w:hint="eastAsia" w:ascii="仿宋_GB2312" w:hAnsi="Calibri" w:eastAsia="仿宋_GB2312" w:cs="Times New Roman"/>
          <w:kern w:val="2"/>
          <w:sz w:val="32"/>
          <w:szCs w:val="32"/>
          <w:lang w:val="en-US" w:eastAsia="zh-CN" w:bidi="ar-SA"/>
        </w:rPr>
        <w:t>顺利完工</w:t>
      </w:r>
      <w:r>
        <w:rPr>
          <w:rFonts w:hint="eastAsia" w:ascii="仿宋_GB2312" w:hAnsi="Calibri" w:eastAsia="仿宋_GB2312" w:cs="Times New Roman"/>
          <w:kern w:val="2"/>
          <w:sz w:val="32"/>
          <w:szCs w:val="32"/>
          <w:lang w:val="zh-CN" w:eastAsia="zh-CN" w:bidi="ar-SA"/>
        </w:rPr>
        <w:t>。</w:t>
      </w:r>
      <w:r>
        <w:rPr>
          <w:rFonts w:hint="eastAsia" w:ascii="仿宋_GB2312" w:hAnsi="仿宋_GB2312" w:eastAsia="仿宋_GB2312" w:cs="仿宋_GB2312"/>
          <w:sz w:val="32"/>
          <w:szCs w:val="32"/>
          <w:lang w:val="en-US" w:eastAsia="zh-CN"/>
        </w:rPr>
        <w:t>同时，单位项目负责人、财务分管领导人、大队负责人逐一对该项目支出进行严格把关，不存在超预算、超范围开支的情况。</w:t>
      </w:r>
    </w:p>
    <w:p>
      <w:pPr>
        <w:spacing w:line="580" w:lineRule="exact"/>
        <w:ind w:firstLine="643" w:firstLineChars="200"/>
        <w:rPr>
          <w:rFonts w:hint="eastAsia" w:eastAsia="方正楷体简体"/>
          <w:b/>
          <w:sz w:val="32"/>
          <w:szCs w:val="32"/>
          <w:lang w:val="en-US" w:eastAsia="zh-CN"/>
        </w:rPr>
      </w:pPr>
      <w:r>
        <w:rPr>
          <w:rFonts w:hint="eastAsia" w:eastAsia="方正楷体简体"/>
          <w:b/>
          <w:sz w:val="32"/>
          <w:szCs w:val="32"/>
        </w:rPr>
        <w:t>（二）绩效目标</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望城大道通过增设交通信号灯及电子警察抓拍系统后，该路段超速、闯红灯、机动车不礼让行人、车辆不按导向行驶等交通违法行为明细减少，不仅有效震慑了交通参与人，也进一步提升了乐至城市文明形象。</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eastAsia="方正楷体简体"/>
          <w:b/>
          <w:sz w:val="32"/>
          <w:szCs w:val="32"/>
        </w:rPr>
      </w:pPr>
      <w:r>
        <w:rPr>
          <w:rFonts w:hint="eastAsia" w:ascii="仿宋_GB2312" w:hAnsi="Calibri" w:eastAsia="仿宋_GB2312" w:cs="Times New Roman"/>
          <w:kern w:val="2"/>
          <w:sz w:val="32"/>
          <w:szCs w:val="32"/>
          <w:lang w:val="en-US" w:eastAsia="zh-CN" w:bidi="ar-SA"/>
        </w:rPr>
        <w:t>大队成立以大队长毛奎任组长，教导员倪小刚、副大队长吴成林、李韦兵、唐鹤镭为副组长，各部门负责人为成员的绩效评价领导小组。下设办公室，教导员倪小刚负责组织工作具体实施。</w:t>
      </w:r>
    </w:p>
    <w:p>
      <w:pPr>
        <w:numPr>
          <w:ilvl w:val="0"/>
          <w:numId w:val="6"/>
        </w:numPr>
        <w:spacing w:line="580" w:lineRule="exact"/>
        <w:ind w:firstLine="643" w:firstLineChars="200"/>
        <w:rPr>
          <w:rFonts w:hint="eastAsia" w:eastAsia="方正楷体简体"/>
          <w:b/>
          <w:sz w:val="32"/>
          <w:szCs w:val="32"/>
        </w:rPr>
      </w:pPr>
      <w:r>
        <w:rPr>
          <w:rFonts w:hint="eastAsia" w:eastAsia="方正楷体简体"/>
          <w:b/>
          <w:sz w:val="32"/>
          <w:szCs w:val="32"/>
        </w:rPr>
        <w:t>自评方式、方法、重点等</w:t>
      </w:r>
    </w:p>
    <w:p>
      <w:pPr>
        <w:numPr>
          <w:ilvl w:val="0"/>
          <w:numId w:val="6"/>
        </w:numPr>
        <w:spacing w:line="580" w:lineRule="exact"/>
        <w:ind w:firstLine="640" w:firstLineChars="200"/>
        <w:rPr>
          <w:rFonts w:eastAsia="方正楷体简体"/>
          <w:b/>
          <w:sz w:val="32"/>
          <w:szCs w:val="32"/>
        </w:rPr>
      </w:pPr>
      <w:r>
        <w:rPr>
          <w:rFonts w:hint="eastAsia" w:ascii="仿宋_GB2312" w:hAnsi="Calibri" w:eastAsia="仿宋_GB2312" w:cs="Times New Roman"/>
          <w:kern w:val="2"/>
          <w:sz w:val="32"/>
          <w:szCs w:val="32"/>
          <w:lang w:val="en-US" w:eastAsia="zh-CN" w:bidi="ar-SA"/>
        </w:rPr>
        <w:t>本单位采取单位自评的方法对2022年所有纳入政府财政性支出的所有资金进行评价，重点侧重于对项目支出进行评价。</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eastAsia="方正仿宋简体"/>
        </w:rPr>
      </w:pPr>
      <w:r>
        <w:rPr>
          <w:rFonts w:hint="eastAsia" w:ascii="仿宋_GB2312" w:eastAsia="仿宋_GB2312"/>
          <w:b w:val="0"/>
          <w:bCs/>
          <w:sz w:val="32"/>
          <w:szCs w:val="32"/>
        </w:rPr>
        <w:t>20</w:t>
      </w:r>
      <w:r>
        <w:rPr>
          <w:rFonts w:hint="eastAsia" w:ascii="仿宋_GB2312"/>
          <w:b w:val="0"/>
          <w:bCs/>
          <w:sz w:val="32"/>
          <w:szCs w:val="32"/>
          <w:lang w:val="en-US" w:eastAsia="zh-CN"/>
        </w:rPr>
        <w:t>22年</w:t>
      </w:r>
      <w:r>
        <w:rPr>
          <w:rFonts w:hint="eastAsia" w:ascii="仿宋_GB2312" w:eastAsia="仿宋_GB2312"/>
          <w:b w:val="0"/>
          <w:bCs/>
          <w:sz w:val="32"/>
          <w:szCs w:val="32"/>
        </w:rPr>
        <w:t>，大队严格遵循“统筹兼顾、勤俭节约、量力而行、讲求绩效和收支平衡”的原则，以及《预算管理办法》</w:t>
      </w:r>
      <w:r>
        <w:rPr>
          <w:rFonts w:hint="eastAsia" w:ascii="仿宋_GB2312"/>
          <w:b w:val="0"/>
          <w:bCs/>
          <w:sz w:val="32"/>
          <w:szCs w:val="32"/>
          <w:lang w:eastAsia="zh-CN"/>
        </w:rPr>
        <w:t>、</w:t>
      </w:r>
      <w:r>
        <w:rPr>
          <w:rFonts w:hint="eastAsia" w:ascii="仿宋_GB2312"/>
          <w:b w:val="0"/>
          <w:bCs/>
          <w:sz w:val="32"/>
          <w:szCs w:val="32"/>
          <w:lang w:val="en-US" w:eastAsia="zh-CN"/>
        </w:rPr>
        <w:t>政府采购</w:t>
      </w:r>
      <w:r>
        <w:rPr>
          <w:rFonts w:hint="eastAsia" w:ascii="仿宋_GB2312" w:eastAsia="仿宋_GB2312"/>
          <w:b w:val="0"/>
          <w:bCs/>
          <w:sz w:val="32"/>
          <w:szCs w:val="32"/>
        </w:rPr>
        <w:t>等相关制度规定严格执行单位</w:t>
      </w:r>
      <w:r>
        <w:rPr>
          <w:rFonts w:hint="eastAsia" w:ascii="仿宋_GB2312"/>
          <w:b w:val="0"/>
          <w:bCs/>
          <w:sz w:val="32"/>
          <w:szCs w:val="32"/>
          <w:lang w:val="en-US" w:eastAsia="zh-CN"/>
        </w:rPr>
        <w:t>采购</w:t>
      </w:r>
      <w:r>
        <w:rPr>
          <w:rFonts w:hint="eastAsia" w:ascii="仿宋_GB2312" w:eastAsia="仿宋_GB2312"/>
          <w:b w:val="0"/>
          <w:bCs/>
          <w:sz w:val="32"/>
          <w:szCs w:val="32"/>
        </w:rPr>
        <w:t>预算，</w:t>
      </w:r>
      <w:r>
        <w:rPr>
          <w:rFonts w:hint="eastAsia" w:ascii="仿宋_GB2312"/>
          <w:b w:val="0"/>
          <w:bCs/>
          <w:sz w:val="32"/>
          <w:szCs w:val="32"/>
          <w:lang w:val="en-US" w:eastAsia="zh-CN"/>
        </w:rPr>
        <w:t>严格执行专款专用，未发生截留、占用项目资金的情况</w:t>
      </w:r>
      <w:r>
        <w:rPr>
          <w:rFonts w:hint="eastAsia" w:ascii="仿宋_GB2312" w:eastAsia="仿宋_GB2312"/>
          <w:b w:val="0"/>
          <w:bCs/>
          <w:sz w:val="32"/>
          <w:szCs w:val="32"/>
        </w:rPr>
        <w:t>。</w:t>
      </w:r>
      <w:r>
        <w:rPr>
          <w:rFonts w:hint="eastAsia" w:ascii="仿宋_GB2312"/>
          <w:b w:val="0"/>
          <w:bCs/>
          <w:sz w:val="32"/>
          <w:szCs w:val="32"/>
          <w:lang w:val="en-US" w:eastAsia="zh-CN"/>
        </w:rPr>
        <w:t>本年度本单位《部门整体支出绩效自评计分表》评分为82.7分，依据乐财规〔2021〕1号规定确定绩效等级：中。</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pStyle w:val="2"/>
        <w:ind w:firstLine="640" w:firstLineChars="200"/>
        <w:rPr>
          <w:rFonts w:hint="eastAsia" w:eastAsia="方正仿宋简体"/>
          <w:sz w:val="32"/>
          <w:szCs w:val="32"/>
        </w:rPr>
      </w:pPr>
      <w:r>
        <w:rPr>
          <w:rFonts w:hint="eastAsia" w:eastAsia="方正仿宋简体"/>
          <w:sz w:val="32"/>
          <w:szCs w:val="32"/>
        </w:rPr>
        <w:t>对照项目实施情况，对各评价指标目标值与实际值的差异程度及产生原因进行分析。</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在职人员控制率（5分）扣1分，因为本单位在编实有数为13人，但实际民警28人（另外编制在县公安局），辅警及临聘人员90人，经费开支都在本单位，所以以“部门（单位）本年度实际在职人员数与编制数的比率”测算不太符合实际。</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二是项目的重大开支是否经过评估论证；（0.2分），扣0.2分。</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三是管理制度健全性（2分）扣0.5分，财务管理工作是一项常态化工作，财经秩序要求与时俱进，财政制度要求也应跟上步伐，但因单位小看，有时制度制定的及时性上存在滞后和不够健全完善的地方。</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四是资产管理安全性（2分）中资产配置合理性和覆盖性不足，因为地方财力有限，有些装备只能将就用，该项扣0.4分。</w:t>
      </w:r>
    </w:p>
    <w:p>
      <w:pPr>
        <w:pStyle w:val="2"/>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是完成及时率（4分）扣1分，质量达标率（8分）和重点工作办结率（10分）各扣2分，因为当年计划数大于实际完成数，因地方财力有限，有些项目早已完成验收，但因财力得不到及时保障，故有些重点工作的完成率不高。</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六是经济效益（5分）和生态效益（5分）各扣2分，因为本单位该项指标不适用。</w:t>
      </w:r>
    </w:p>
    <w:p>
      <w:pPr>
        <w:spacing w:line="58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七是社会公众或服务对象满意度（5分）扣1分，人民群众对道路交通环境的要求越来越高，现有财力和警力暂时无法完全满足人民群众的需求。</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三是项目的重大开支是否经过评估论证；（0.2分），扣0.2分。</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四是管理制度健全性（2分）扣0.5分，财务管理工作是一项常态化工作，财经秩序要求与时俱进，财政制度要求也应跟上步伐，但因单位小看，有时制度制定的及时性上存在滞后和不够健全完善的地方。</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五是资产管理安全性（2分）中资产配置合理性和覆盖性不足，因为地方财力有限，有些装备只能将就用，该项扣0.4分。</w:t>
      </w:r>
    </w:p>
    <w:p>
      <w:pPr>
        <w:pStyle w:val="2"/>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是完成及时率（4分）扣1分，质量达标率（8分）和重点工作办结率（10分）各扣2分，因为当年计划数大于实际完成数，因地方财力有限，有些项目早已完成验收，但因财力得不到及时保障，故有些重点工作的完成率不高。</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七是经济效益（5分）和生态效益（5分）各扣2分，因为本单位该项指标不适用。</w:t>
      </w:r>
    </w:p>
    <w:p>
      <w:pPr>
        <w:spacing w:line="580" w:lineRule="exact"/>
        <w:ind w:firstLine="640" w:firstLineChars="200"/>
        <w:rPr>
          <w:rFonts w:eastAsia="方正仿宋简体"/>
          <w:sz w:val="32"/>
          <w:szCs w:val="32"/>
        </w:rPr>
      </w:pPr>
      <w:r>
        <w:rPr>
          <w:rFonts w:hint="eastAsia" w:ascii="仿宋_GB2312" w:hAnsi="仿宋_GB2312" w:eastAsia="仿宋_GB2312" w:cs="仿宋_GB2312"/>
          <w:kern w:val="2"/>
          <w:sz w:val="32"/>
          <w:szCs w:val="32"/>
          <w:lang w:val="en-US" w:eastAsia="zh-CN" w:bidi="ar-SA"/>
        </w:rPr>
        <w:t>八是社会公众或服务对象满意度（5分）扣1分，人民群众对道路交通环境的要求越来越高，现有财力和警力暂时无法完全满足人民群众的需求。</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pStyle w:val="2"/>
        <w:ind w:firstLine="643" w:firstLineChars="200"/>
        <w:rPr>
          <w:rFonts w:hint="eastAsia" w:eastAsia="方正楷体简体"/>
          <w:b/>
          <w:sz w:val="32"/>
          <w:szCs w:val="32"/>
        </w:rPr>
      </w:pPr>
      <w:r>
        <w:rPr>
          <w:rFonts w:hint="eastAsia" w:eastAsia="方正楷体简体"/>
          <w:b/>
          <w:sz w:val="32"/>
          <w:szCs w:val="32"/>
        </w:rPr>
        <w:t>（一）主要经验及做法</w:t>
      </w:r>
    </w:p>
    <w:p>
      <w:pPr>
        <w:pStyle w:val="2"/>
        <w:ind w:firstLine="640" w:firstLineChars="200"/>
        <w:rPr>
          <w:rFonts w:eastAsia="方正楷体简体"/>
          <w:b/>
          <w:sz w:val="32"/>
          <w:szCs w:val="32"/>
        </w:rPr>
      </w:pPr>
      <w:r>
        <w:rPr>
          <w:rFonts w:hint="eastAsia" w:ascii="仿宋_GB2312" w:hAnsi="黑体" w:eastAsia="仿宋_GB2312" w:cs="Times New Roman"/>
          <w:kern w:val="2"/>
          <w:sz w:val="32"/>
          <w:szCs w:val="32"/>
          <w:lang w:val="en-US" w:eastAsia="zh-CN" w:bidi="ar-SA"/>
        </w:rPr>
        <w:t>本单位结合公安交管工作实际，认真履行项目推进过程监督管理职责，并做好与相关职能部门的沟通协调，确保项目有序推行，顺利完工，同时按照节约成本的原则，针对物价上涨的现状，在验收时严格把好价格关。</w:t>
      </w:r>
    </w:p>
    <w:p>
      <w:pPr>
        <w:pStyle w:val="2"/>
        <w:numPr>
          <w:ilvl w:val="0"/>
          <w:numId w:val="7"/>
        </w:numPr>
        <w:ind w:firstLine="643" w:firstLineChars="200"/>
        <w:rPr>
          <w:rFonts w:hint="eastAsia" w:eastAsia="方正楷体简体"/>
          <w:b/>
          <w:sz w:val="32"/>
          <w:szCs w:val="32"/>
        </w:rPr>
      </w:pPr>
      <w:r>
        <w:rPr>
          <w:rFonts w:hint="eastAsia" w:eastAsia="方正楷体简体"/>
          <w:b/>
          <w:sz w:val="32"/>
          <w:szCs w:val="32"/>
        </w:rPr>
        <w:t>存在的问题</w:t>
      </w:r>
    </w:p>
    <w:p>
      <w:pPr>
        <w:pStyle w:val="2"/>
        <w:numPr>
          <w:ilvl w:val="0"/>
          <w:numId w:val="0"/>
        </w:numPr>
        <w:ind w:firstLine="640" w:firstLineChars="200"/>
        <w:rPr>
          <w:rFonts w:eastAsia="方正楷体简体"/>
          <w:b/>
          <w:sz w:val="32"/>
          <w:szCs w:val="32"/>
        </w:rPr>
      </w:pPr>
      <w:r>
        <w:rPr>
          <w:rFonts w:hint="eastAsia" w:ascii="仿宋_GB2312" w:hAnsi="仿宋_GB2312" w:eastAsia="仿宋_GB2312" w:cs="仿宋_GB2312"/>
          <w:sz w:val="32"/>
          <w:szCs w:val="32"/>
          <w:lang w:val="en-US" w:eastAsia="zh-CN"/>
        </w:rPr>
        <w:t>一是地方财力有限，工程款给付周期长，二是财经纪律与时俱进，本单位制度较国家层面的要求有滞后，制度更新不是很及时。三是</w:t>
      </w:r>
      <w:r>
        <w:rPr>
          <w:rFonts w:hint="eastAsia" w:ascii="仿宋_GB2312" w:eastAsia="仿宋_GB2312"/>
          <w:b w:val="0"/>
          <w:bCs/>
          <w:sz w:val="32"/>
          <w:szCs w:val="32"/>
          <w:lang w:val="en-US" w:eastAsia="zh-CN"/>
        </w:rPr>
        <w:t>城市管理方面的专业人才缺失，在红绿灯及电子监控设备、城市信息化建设等专业项目上，因业务知识匮乏，对相关技术参数不能做到胸有成竹，许多时候工程类项目工作很被动，专业类问题只能花钱委托其他单位专业人员做评估，在一定程度上增加了单位经费开支。</w:t>
      </w:r>
    </w:p>
    <w:p>
      <w:pPr>
        <w:numPr>
          <w:ilvl w:val="0"/>
          <w:numId w:val="7"/>
        </w:numPr>
        <w:spacing w:line="580" w:lineRule="exact"/>
        <w:ind w:left="0" w:leftChars="0" w:firstLine="643" w:firstLineChars="200"/>
        <w:rPr>
          <w:rFonts w:hint="eastAsia" w:eastAsia="方正楷体简体"/>
          <w:b/>
          <w:sz w:val="32"/>
          <w:szCs w:val="32"/>
        </w:rPr>
      </w:pPr>
      <w:r>
        <w:rPr>
          <w:rFonts w:hint="eastAsia" w:eastAsia="方正楷体简体"/>
          <w:b/>
          <w:sz w:val="32"/>
          <w:szCs w:val="32"/>
        </w:rPr>
        <w:t>建议和改进措施</w:t>
      </w:r>
    </w:p>
    <w:p>
      <w:pPr>
        <w:pStyle w:val="2"/>
        <w:numPr>
          <w:ilvl w:val="0"/>
          <w:numId w:val="0"/>
        </w:numPr>
        <w:ind w:left="0" w:leftChars="0" w:firstLine="640" w:firstLineChars="200"/>
      </w:pPr>
      <w:r>
        <w:rPr>
          <w:rFonts w:hint="eastAsia" w:ascii="仿宋_GB2312" w:eastAsia="仿宋_GB2312"/>
          <w:b w:val="0"/>
          <w:bCs/>
          <w:sz w:val="32"/>
          <w:szCs w:val="32"/>
          <w:lang w:val="en-US" w:eastAsia="zh-CN"/>
        </w:rPr>
        <w:t>一是争取地方财力支持，保障公安交管信息化建设工作提档升级。二是主动汇报，加大信息化、科技化、城市管理智能化方面的专业人才引进，为乐至公安交管工作不断注入新鲜血液，以便迎接公安交管工作新挑战。三是及时补充警力，确保项目决策、项目采购、财务管理、审计验收等重要岗位定岗定责，以满足本单位内控制度建设工作良续发展。</w:t>
      </w:r>
    </w:p>
    <w:p>
      <w:pPr>
        <w:spacing w:line="580" w:lineRule="exact"/>
        <w:ind w:firstLine="640" w:firstLineChars="200"/>
        <w:rPr>
          <w:rFonts w:eastAsia="方正仿宋简体"/>
          <w:sz w:val="32"/>
          <w:szCs w:val="32"/>
        </w:rPr>
      </w:pPr>
    </w:p>
    <w:p>
      <w:pPr>
        <w:spacing w:line="580" w:lineRule="exact"/>
        <w:rPr>
          <w:rFonts w:eastAsia="方正黑体简体"/>
          <w:sz w:val="32"/>
          <w:szCs w:val="32"/>
        </w:rPr>
      </w:pPr>
      <w:r>
        <w:rPr>
          <w:rFonts w:hint="eastAsia" w:eastAsia="方正黑体简体"/>
          <w:sz w:val="32"/>
          <w:szCs w:val="32"/>
        </w:rPr>
        <w:t>附件</w:t>
      </w:r>
      <w:r>
        <w:rPr>
          <w:rFonts w:eastAsia="方正黑体简体"/>
          <w:sz w:val="32"/>
          <w:szCs w:val="32"/>
        </w:rPr>
        <w:t>4</w:t>
      </w:r>
    </w:p>
    <w:p>
      <w:pPr>
        <w:spacing w:line="580" w:lineRule="exact"/>
        <w:jc w:val="center"/>
        <w:rPr>
          <w:rFonts w:hint="eastAsia"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乐至县</w:t>
      </w:r>
      <w:r>
        <w:rPr>
          <w:rFonts w:hint="eastAsia" w:eastAsia="方正楷体简体"/>
          <w:b/>
          <w:sz w:val="32"/>
          <w:szCs w:val="32"/>
        </w:rPr>
        <w:t>城区道路物理隔离设施</w:t>
      </w:r>
      <w:r>
        <w:rPr>
          <w:rFonts w:hint="eastAsia" w:eastAsia="方正楷体简体"/>
          <w:b/>
          <w:sz w:val="32"/>
          <w:szCs w:val="32"/>
          <w:lang w:val="en-US" w:eastAsia="zh-CN"/>
        </w:rPr>
        <w:t>及交交通标志</w:t>
      </w:r>
      <w:r>
        <w:rPr>
          <w:rFonts w:hint="eastAsia" w:eastAsia="方正楷体简体"/>
          <w:b/>
          <w:sz w:val="32"/>
          <w:szCs w:val="32"/>
        </w:rPr>
        <w:t>工程项目）</w:t>
      </w:r>
    </w:p>
    <w:p>
      <w:pPr>
        <w:spacing w:line="580" w:lineRule="exact"/>
        <w:ind w:firstLine="640" w:firstLineChars="200"/>
        <w:rPr>
          <w:rFonts w:eastAsia="方正仿宋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pStyle w:val="7"/>
        <w:keepNext w:val="0"/>
        <w:keepLines w:val="0"/>
        <w:pageBreakBefore w:val="0"/>
        <w:widowControl w:val="0"/>
        <w:kinsoku/>
        <w:wordWrap/>
        <w:overflowPunct/>
        <w:topLinePunct w:val="0"/>
        <w:autoSpaceDE/>
        <w:autoSpaceDN/>
        <w:bidi w:val="0"/>
        <w:spacing w:line="640" w:lineRule="exact"/>
        <w:ind w:firstLine="628" w:firstLineChars="196"/>
        <w:textAlignment w:val="auto"/>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pStyle w:val="7"/>
        <w:keepNext w:val="0"/>
        <w:keepLines w:val="0"/>
        <w:pageBreakBefore w:val="0"/>
        <w:widowControl w:val="0"/>
        <w:kinsoku/>
        <w:wordWrap/>
        <w:overflowPunct/>
        <w:topLinePunct w:val="0"/>
        <w:autoSpaceDE/>
        <w:autoSpaceDN/>
        <w:bidi w:val="0"/>
        <w:spacing w:line="640" w:lineRule="exact"/>
        <w:ind w:firstLine="627" w:firstLineChars="196"/>
        <w:textAlignment w:val="auto"/>
        <w:rPr>
          <w:rFonts w:eastAsia="方正仿宋简体"/>
          <w:sz w:val="32"/>
          <w:szCs w:val="32"/>
        </w:rPr>
      </w:pPr>
      <w:r>
        <w:rPr>
          <w:rFonts w:hint="eastAsia" w:ascii="仿宋_GB2312" w:hAnsi="Times New Roman" w:eastAsia="仿宋_GB2312" w:cs="Times New Roman"/>
          <w:kern w:val="2"/>
          <w:sz w:val="32"/>
          <w:szCs w:val="32"/>
          <w:lang w:val="en-US" w:eastAsia="zh-CN" w:bidi="ar-SA"/>
        </w:rPr>
        <w:t>因城区车行道内机动车随意掉头、行人随意横穿马路、行人有人行道不走走机动车道的“人车混行”情况屡禁不止，存在较大安全隐患。为有效</w:t>
      </w:r>
      <w:r>
        <w:rPr>
          <w:rFonts w:hint="eastAsia" w:ascii="仿宋_GB2312" w:eastAsia="仿宋_GB2312" w:cs="Times New Roman"/>
          <w:kern w:val="2"/>
          <w:sz w:val="32"/>
          <w:szCs w:val="32"/>
          <w:lang w:val="en-US" w:eastAsia="zh-CN" w:bidi="ar-SA"/>
        </w:rPr>
        <w:t>减少上述交通陋习引发的道路交通事故，保障辖区民众出行安全，特申请对该项目进行立项。</w:t>
      </w:r>
    </w:p>
    <w:p>
      <w:pPr>
        <w:numPr>
          <w:ilvl w:val="0"/>
          <w:numId w:val="8"/>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pPr>
        <w:pStyle w:val="7"/>
        <w:keepNext w:val="0"/>
        <w:keepLines w:val="0"/>
        <w:pageBreakBefore w:val="0"/>
        <w:widowControl w:val="0"/>
        <w:kinsoku/>
        <w:wordWrap/>
        <w:overflowPunct/>
        <w:topLinePunct w:val="0"/>
        <w:autoSpaceDE/>
        <w:autoSpaceDN/>
        <w:bidi w:val="0"/>
        <w:spacing w:line="640" w:lineRule="exact"/>
        <w:ind w:firstLine="627" w:firstLineChars="196"/>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预算资金来源：县财政拨款，项目</w:t>
      </w:r>
      <w:r>
        <w:rPr>
          <w:rFonts w:hint="eastAsia" w:ascii="仿宋_GB2312" w:eastAsia="仿宋_GB2312" w:cs="Times New Roman"/>
          <w:kern w:val="2"/>
          <w:sz w:val="32"/>
          <w:szCs w:val="32"/>
          <w:lang w:val="en-US" w:eastAsia="zh-CN" w:bidi="ar-SA"/>
        </w:rPr>
        <w:t>验收</w:t>
      </w:r>
      <w:r>
        <w:rPr>
          <w:rFonts w:hint="eastAsia" w:ascii="仿宋_GB2312" w:hAnsi="Times New Roman" w:eastAsia="仿宋_GB2312" w:cs="Times New Roman"/>
          <w:kern w:val="2"/>
          <w:sz w:val="32"/>
          <w:szCs w:val="32"/>
          <w:lang w:val="en-US" w:eastAsia="zh-CN" w:bidi="ar-SA"/>
        </w:rPr>
        <w:t>金额：2866600元</w:t>
      </w:r>
      <w:r>
        <w:rPr>
          <w:rFonts w:hint="eastAsia" w:ascii="仿宋_GB2312" w:eastAsia="仿宋_GB2312" w:cs="Times New Roman"/>
          <w:kern w:val="2"/>
          <w:sz w:val="32"/>
          <w:szCs w:val="32"/>
          <w:lang w:val="en-US" w:eastAsia="zh-CN" w:bidi="ar-SA"/>
        </w:rPr>
        <w:t>，2022年9月财政拨款14.66万元，收到财政拨款后我单位及时按照付款流程向施工方付款</w:t>
      </w:r>
      <w:r>
        <w:rPr>
          <w:rFonts w:hint="eastAsia" w:ascii="仿宋_GB2312" w:hAnsi="Times New Roman" w:eastAsia="仿宋_GB2312" w:cs="Times New Roman"/>
          <w:kern w:val="2"/>
          <w:sz w:val="32"/>
          <w:szCs w:val="32"/>
          <w:lang w:val="en-US" w:eastAsia="zh-CN" w:bidi="ar-SA"/>
        </w:rPr>
        <w:t>。支付依据合规合法，资金支付与预算相符。</w:t>
      </w:r>
    </w:p>
    <w:p>
      <w:pPr>
        <w:numPr>
          <w:ilvl w:val="0"/>
          <w:numId w:val="8"/>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实施情况（项目完成情况）</w:t>
      </w:r>
    </w:p>
    <w:p>
      <w:pPr>
        <w:pStyle w:val="7"/>
        <w:keepNext w:val="0"/>
        <w:keepLines w:val="0"/>
        <w:pageBreakBefore w:val="0"/>
        <w:widowControl w:val="0"/>
        <w:kinsoku/>
        <w:wordWrap/>
        <w:overflowPunct/>
        <w:topLinePunct w:val="0"/>
        <w:autoSpaceDE/>
        <w:autoSpaceDN/>
        <w:bidi w:val="0"/>
        <w:spacing w:line="640" w:lineRule="exact"/>
        <w:ind w:firstLine="627" w:firstLineChars="196"/>
        <w:textAlignment w:val="auto"/>
        <w:rPr>
          <w:rFonts w:hint="default" w:ascii="仿宋_GB2312" w:hAnsi="Times New Roman"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立项建设地址：乐至县西街、南街、东街、北街、川鄂路、天池大道、仙鹤大道、飞帆路等路段增设物理隔离护栏。该项目按照合同约定完工并完成项目验收工作，在给付</w:t>
      </w:r>
      <w:r>
        <w:rPr>
          <w:rFonts w:hint="eastAsia" w:ascii="仿宋_GB2312" w:hAnsi="Times New Roman" w:eastAsia="仿宋_GB2312" w:cs="Times New Roman"/>
          <w:kern w:val="2"/>
          <w:sz w:val="32"/>
          <w:szCs w:val="32"/>
          <w:lang w:val="en-US" w:eastAsia="zh-CN" w:bidi="ar-SA"/>
        </w:rPr>
        <w:t>该项目资金</w:t>
      </w:r>
      <w:r>
        <w:rPr>
          <w:rFonts w:hint="eastAsia" w:ascii="仿宋_GB2312" w:eastAsia="仿宋_GB2312" w:cs="Times New Roman"/>
          <w:kern w:val="2"/>
          <w:sz w:val="32"/>
          <w:szCs w:val="32"/>
          <w:lang w:val="en-US" w:eastAsia="zh-CN" w:bidi="ar-SA"/>
        </w:rPr>
        <w:t>时，按照专款专用原则使用，</w:t>
      </w:r>
      <w:r>
        <w:rPr>
          <w:rFonts w:hint="eastAsia" w:ascii="仿宋_GB2312" w:hAnsi="Times New Roman" w:eastAsia="仿宋_GB2312" w:cs="Times New Roman"/>
          <w:kern w:val="2"/>
          <w:sz w:val="32"/>
          <w:szCs w:val="32"/>
          <w:lang w:val="en-US" w:eastAsia="zh-CN" w:bidi="ar-SA"/>
        </w:rPr>
        <w:t>符合资金管理办法等相关规定。</w:t>
      </w:r>
    </w:p>
    <w:p>
      <w:pPr>
        <w:numPr>
          <w:ilvl w:val="0"/>
          <w:numId w:val="8"/>
        </w:numPr>
        <w:spacing w:line="580" w:lineRule="exact"/>
        <w:ind w:left="0" w:leftChars="0" w:firstLine="640" w:firstLineChars="200"/>
        <w:rPr>
          <w:rFonts w:hint="eastAsia" w:eastAsia="方正仿宋简体"/>
          <w:sz w:val="32"/>
          <w:szCs w:val="32"/>
        </w:rPr>
      </w:pPr>
      <w:r>
        <w:rPr>
          <w:rFonts w:hint="eastAsia" w:eastAsia="方正仿宋简体"/>
          <w:sz w:val="32"/>
          <w:szCs w:val="32"/>
        </w:rPr>
        <w:t>组织及管理</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eastAsia="方正仿宋简体"/>
          <w:sz w:val="32"/>
          <w:szCs w:val="32"/>
        </w:rPr>
      </w:pPr>
      <w:r>
        <w:rPr>
          <w:rFonts w:hint="eastAsia" w:ascii="仿宋_GB2312" w:hAnsi="Calibri" w:eastAsia="仿宋_GB2312" w:cs="Times New Roman"/>
          <w:kern w:val="2"/>
          <w:sz w:val="32"/>
          <w:szCs w:val="32"/>
          <w:lang w:val="zh-CN" w:eastAsia="zh-CN" w:bidi="ar-SA"/>
        </w:rPr>
        <w:t>经过政府招投标程序，该项目由四川</w:t>
      </w:r>
      <w:r>
        <w:rPr>
          <w:rFonts w:hint="eastAsia" w:ascii="仿宋_GB2312" w:hAnsi="Calibri" w:eastAsia="仿宋_GB2312" w:cs="Times New Roman"/>
          <w:kern w:val="2"/>
          <w:sz w:val="32"/>
          <w:szCs w:val="32"/>
          <w:lang w:val="en-US" w:eastAsia="zh-CN" w:bidi="ar-SA"/>
        </w:rPr>
        <w:t>嘉和</w:t>
      </w:r>
      <w:r>
        <w:rPr>
          <w:rFonts w:hint="eastAsia" w:ascii="仿宋_GB2312" w:hAnsi="Calibri" w:eastAsia="仿宋_GB2312" w:cs="Times New Roman"/>
          <w:kern w:val="2"/>
          <w:sz w:val="32"/>
          <w:szCs w:val="32"/>
          <w:lang w:val="zh-CN" w:eastAsia="zh-CN" w:bidi="ar-SA"/>
        </w:rPr>
        <w:t>交通工程有限公司中标承建，然后通过政府采购过程对所需设施进行购置，乐至县公安局交通警察大队负责该项目建设进度的监督，以及项目建设过程中与各相关职能部门间的协调工作，确保该项目工程有序推进。</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eastAsia" w:eastAsia="方正仿宋简体"/>
          <w:sz w:val="32"/>
          <w:szCs w:val="32"/>
        </w:rPr>
      </w:pPr>
      <w:r>
        <w:rPr>
          <w:rFonts w:hint="eastAsia" w:eastAsia="方正仿宋简体"/>
          <w:sz w:val="32"/>
          <w:szCs w:val="32"/>
        </w:rPr>
        <w:t>绩效目标分别表述绩效总目标和具体绩效目标，具体绩效目标为具体量化的产出目标结果目标。</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en-US" w:eastAsia="zh-CN" w:bidi="ar-SA"/>
        </w:rPr>
        <w:t>该项目通过增设禁停标志15套、交通指示牌108套、停车公示牌20套、人行道隔离护栏3695米、机动车道中央隔离护栏2180米、反光道灯1168个等项目后，辖区人车混行、机动车随意掉头、行人横穿马路、驾驶员不礼让斑马线行人等违法行为明显减少，辖区</w:t>
      </w:r>
      <w:r>
        <w:rPr>
          <w:rFonts w:hint="eastAsia" w:ascii="仿宋_GB2312" w:hAnsi="Calibri" w:eastAsia="仿宋_GB2312" w:cs="Times New Roman"/>
          <w:kern w:val="2"/>
          <w:sz w:val="32"/>
          <w:szCs w:val="32"/>
          <w:lang w:val="zh-CN" w:eastAsia="zh-CN" w:bidi="ar-SA"/>
        </w:rPr>
        <w:t>交通秩序得到有效改善，过往车辆和行人各行其道，有效减少了</w:t>
      </w:r>
      <w:r>
        <w:rPr>
          <w:rFonts w:hint="eastAsia" w:ascii="仿宋_GB2312" w:hAnsi="Calibri" w:eastAsia="仿宋_GB2312" w:cs="Times New Roman"/>
          <w:kern w:val="2"/>
          <w:sz w:val="32"/>
          <w:szCs w:val="32"/>
          <w:lang w:val="en-US" w:eastAsia="zh-CN" w:bidi="ar-SA"/>
        </w:rPr>
        <w:t>道路</w:t>
      </w:r>
      <w:r>
        <w:rPr>
          <w:rFonts w:hint="eastAsia" w:ascii="仿宋_GB2312" w:hAnsi="Calibri" w:eastAsia="仿宋_GB2312" w:cs="Times New Roman"/>
          <w:kern w:val="2"/>
          <w:sz w:val="32"/>
          <w:szCs w:val="32"/>
          <w:lang w:val="zh-CN" w:eastAsia="zh-CN" w:bidi="ar-SA"/>
        </w:rPr>
        <w:t>交通事故发生。</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eastAsia="方正楷体简体"/>
          <w:b/>
          <w:sz w:val="32"/>
          <w:szCs w:val="32"/>
        </w:rPr>
      </w:pPr>
      <w:r>
        <w:rPr>
          <w:rFonts w:hint="eastAsia" w:ascii="仿宋_GB2312" w:hAnsi="Calibri" w:eastAsia="仿宋_GB2312" w:cs="Times New Roman"/>
          <w:kern w:val="2"/>
          <w:sz w:val="32"/>
          <w:szCs w:val="32"/>
          <w:lang w:val="en-US" w:eastAsia="zh-CN" w:bidi="ar-SA"/>
        </w:rPr>
        <w:t>大队成立以大队长毛奎任组长，教导员倪小刚、副大队长吴成林、李韦兵、唐鹤镭为副组长，各部门负责人为成员的绩效评价领导小组。下设办公室，教导员倪小刚负责组织工作具体实施。</w:t>
      </w:r>
    </w:p>
    <w:p>
      <w:pPr>
        <w:numPr>
          <w:ilvl w:val="0"/>
          <w:numId w:val="9"/>
        </w:numPr>
        <w:spacing w:line="580" w:lineRule="exact"/>
        <w:ind w:firstLine="643" w:firstLineChars="200"/>
        <w:rPr>
          <w:rFonts w:hint="eastAsia" w:eastAsia="方正楷体简体"/>
          <w:b/>
          <w:sz w:val="32"/>
          <w:szCs w:val="32"/>
        </w:rPr>
      </w:pPr>
      <w:r>
        <w:rPr>
          <w:rFonts w:hint="eastAsia" w:eastAsia="方正楷体简体"/>
          <w:b/>
          <w:sz w:val="32"/>
          <w:szCs w:val="32"/>
        </w:rPr>
        <w:t>自评方式、方法、重点等</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eastAsia="方正楷体简体"/>
          <w:b/>
          <w:sz w:val="32"/>
          <w:szCs w:val="32"/>
        </w:rPr>
      </w:pPr>
      <w:r>
        <w:rPr>
          <w:rFonts w:hint="eastAsia" w:ascii="仿宋_GB2312" w:hAnsi="Calibri" w:eastAsia="仿宋_GB2312" w:cs="Times New Roman"/>
          <w:kern w:val="2"/>
          <w:sz w:val="32"/>
          <w:szCs w:val="32"/>
          <w:lang w:val="en-US" w:eastAsia="zh-CN" w:bidi="ar-SA"/>
        </w:rPr>
        <w:t>本单位采取单位自评的方法对2022年所有纳入政府财政性支出的所有资金进行评价，重点侧重于对项目支出进行评价。</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 xml:space="preserve"> 2022年，大队严格遵循“统筹兼顾、勤俭节约、量力而行、讲求绩效和收支平衡”的原则，以及《预算管理办法》、政府采购等相关制度规定严格执行单位采购预算，严格执行专款专用，未发生截留、占用项目资金的情况。本年度本单位《部门整体支出绩效自评计分表》评分为82.7分，依据乐财规〔2021〕1号规定确定绩效等级：中。</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hint="eastAsia" w:eastAsia="方正仿宋简体"/>
          <w:sz w:val="32"/>
          <w:szCs w:val="32"/>
        </w:rPr>
      </w:pPr>
      <w:r>
        <w:rPr>
          <w:rFonts w:hint="eastAsia" w:eastAsia="方正仿宋简体"/>
          <w:sz w:val="32"/>
          <w:szCs w:val="32"/>
        </w:rPr>
        <w:t>对照项目实施情况，对各评价指标目标值与实际值的差异程度及产生原因进行分析。</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在职人员控制率（5分）扣1分，因为本单位在编实有数为13人，但实际民警28人（另外编制在县公安局），辅警及临聘人员90人，经费开支都在本单位，所以以“部门（单位）本年度实际在职人员数与编制数的比率”测算不太符合实际。</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二是项目的重大开支是否经过评估论证；（0.2分），扣0.2分。</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三是管理制度健全性（2分）扣0.5分，财务管理工作是一项常态化工作，财经秩序要求与时俱进，财政制度要求也应跟上步伐，但因单位小看，有时制度制定的及时性上存在滞后和不够健全完善的地方。</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四是资产管理安全性（2分）中资产配置合理性和覆盖性不足，因为地方财力有限，有些装备只能将就用，该项扣0.4分。</w:t>
      </w:r>
    </w:p>
    <w:p>
      <w:pPr>
        <w:pStyle w:val="2"/>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是完成及时率（4分）扣1分，质量达标率（8分）和重点工作办结率（10分）各扣2分，因为当年计划数大于实际完成数，因地方财力有限，有些项目早已完成验收，但因财力得不到及时保障，故有些重点工作的完成率不高。</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六是经济效益（5分）和生态效益（5分）各扣2分，因为本单位该项指标不适用。</w:t>
      </w:r>
    </w:p>
    <w:p>
      <w:pPr>
        <w:spacing w:line="58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七是社会公众或服务对象满意度（5分）扣1分，人民群众对道路交通环境的要求越来越高，现有财力和警力暂时无法完全满足人民群众的需求。</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三是项目的重大开支是否经过评估论证；（0.2分），扣0.2分。</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四是管理制度健全性（2分）扣0.5分，财务管理工作是一项常态化工作，财经秩序要求与时俱进，财政制度要求也应跟上步伐，但因单位小看，有时制度制定的及时性上存在滞后和不够健全完善的地方。</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五是资产管理安全性（2分）中资产配置合理性和覆盖性不足，因为地方财力有限，有些装备只能将就用，该项扣0.4分。</w:t>
      </w:r>
    </w:p>
    <w:p>
      <w:pPr>
        <w:pStyle w:val="2"/>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是完成及时率（4分）扣1分，质量达标率（8分）和重点工作办结率（10分）各扣2分，因为当年计划数大于实际完成数，因地方财力有限，有些项目早已完成验收，但因财力得不到及时保障，故有些重点工作的完成率不高。</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七是经济效益（5分）和生态效益（5分）各扣2分，因为本单位该项指标不适用。</w:t>
      </w:r>
    </w:p>
    <w:p>
      <w:pPr>
        <w:spacing w:line="580" w:lineRule="exact"/>
        <w:ind w:firstLine="640" w:firstLineChars="200"/>
        <w:rPr>
          <w:rFonts w:eastAsia="方正仿宋简体"/>
          <w:sz w:val="32"/>
          <w:szCs w:val="32"/>
        </w:rPr>
      </w:pPr>
      <w:r>
        <w:rPr>
          <w:rFonts w:hint="eastAsia" w:ascii="仿宋_GB2312" w:hAnsi="仿宋_GB2312" w:eastAsia="仿宋_GB2312" w:cs="仿宋_GB2312"/>
          <w:kern w:val="2"/>
          <w:sz w:val="32"/>
          <w:szCs w:val="32"/>
          <w:lang w:val="en-US" w:eastAsia="zh-CN" w:bidi="ar-SA"/>
        </w:rPr>
        <w:t>八是社会公众或服务对象满意度（5分）扣1分，人民群众对道路交通环境的要求越来越高，现有财力和警力暂时无法完全满足人民群众的需求。</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pStyle w:val="7"/>
        <w:keepNext w:val="0"/>
        <w:keepLines w:val="0"/>
        <w:pageBreakBefore w:val="0"/>
        <w:widowControl w:val="0"/>
        <w:kinsoku/>
        <w:wordWrap/>
        <w:overflowPunct/>
        <w:topLinePunct w:val="0"/>
        <w:autoSpaceDE/>
        <w:autoSpaceDN/>
        <w:bidi w:val="0"/>
        <w:spacing w:line="640" w:lineRule="exact"/>
        <w:ind w:firstLine="630" w:firstLineChars="196"/>
        <w:textAlignment w:val="auto"/>
        <w:rPr>
          <w:rFonts w:hint="eastAsia" w:eastAsia="方正楷体简体"/>
          <w:b/>
          <w:sz w:val="32"/>
          <w:szCs w:val="32"/>
        </w:rPr>
      </w:pPr>
      <w:r>
        <w:rPr>
          <w:rFonts w:hint="eastAsia" w:eastAsia="方正楷体简体"/>
          <w:b/>
          <w:sz w:val="32"/>
          <w:szCs w:val="32"/>
        </w:rPr>
        <w:t>（一）主要经验及做法</w:t>
      </w:r>
    </w:p>
    <w:p>
      <w:pPr>
        <w:pStyle w:val="7"/>
        <w:keepNext w:val="0"/>
        <w:keepLines w:val="0"/>
        <w:pageBreakBefore w:val="0"/>
        <w:widowControl w:val="0"/>
        <w:kinsoku/>
        <w:wordWrap/>
        <w:overflowPunct/>
        <w:topLinePunct w:val="0"/>
        <w:autoSpaceDE/>
        <w:autoSpaceDN/>
        <w:bidi w:val="0"/>
        <w:spacing w:line="640" w:lineRule="exact"/>
        <w:ind w:firstLine="627" w:firstLineChars="196"/>
        <w:textAlignment w:val="auto"/>
        <w:rPr>
          <w:rFonts w:eastAsia="方正楷体简体"/>
          <w:b/>
          <w:sz w:val="32"/>
          <w:szCs w:val="32"/>
        </w:rPr>
      </w:pPr>
      <w:r>
        <w:rPr>
          <w:rFonts w:hint="eastAsia" w:ascii="仿宋_GB2312" w:eastAsia="仿宋_GB2312"/>
          <w:b w:val="0"/>
          <w:bCs/>
          <w:sz w:val="32"/>
          <w:szCs w:val="32"/>
          <w:lang w:val="en-US" w:eastAsia="zh-CN"/>
        </w:rPr>
        <w:t>一是加强对</w:t>
      </w:r>
      <w:r>
        <w:rPr>
          <w:rFonts w:hint="eastAsia" w:ascii="仿宋_GB2312" w:eastAsia="仿宋_GB2312"/>
          <w:b w:val="0"/>
          <w:bCs/>
          <w:sz w:val="32"/>
          <w:szCs w:val="32"/>
        </w:rPr>
        <w:t>《预算管理办法》</w:t>
      </w:r>
      <w:r>
        <w:rPr>
          <w:rFonts w:hint="eastAsia" w:ascii="仿宋_GB2312"/>
          <w:b w:val="0"/>
          <w:bCs/>
          <w:sz w:val="32"/>
          <w:szCs w:val="32"/>
          <w:lang w:eastAsia="zh-CN"/>
        </w:rPr>
        <w:t>、</w:t>
      </w:r>
      <w:r>
        <w:rPr>
          <w:rFonts w:hint="eastAsia" w:ascii="仿宋_GB2312"/>
          <w:b w:val="0"/>
          <w:bCs/>
          <w:sz w:val="32"/>
          <w:szCs w:val="32"/>
          <w:lang w:val="en-US" w:eastAsia="zh-CN"/>
        </w:rPr>
        <w:t>政府采购</w:t>
      </w:r>
      <w:r>
        <w:rPr>
          <w:rFonts w:hint="eastAsia" w:ascii="仿宋_GB2312" w:eastAsia="仿宋_GB2312"/>
          <w:b w:val="0"/>
          <w:bCs/>
          <w:sz w:val="32"/>
          <w:szCs w:val="32"/>
        </w:rPr>
        <w:t>等相关制度规定</w:t>
      </w:r>
      <w:r>
        <w:rPr>
          <w:rFonts w:hint="eastAsia" w:ascii="仿宋_GB2312" w:eastAsia="仿宋_GB2312"/>
          <w:b w:val="0"/>
          <w:bCs/>
          <w:sz w:val="32"/>
          <w:szCs w:val="32"/>
          <w:lang w:val="en-US" w:eastAsia="zh-CN"/>
        </w:rPr>
        <w:t>的学习，吃透文件精神，并严格执行到位，确保单位决策不偏不倚、不等不靠，严厉杜绝违反财经纪律的事件。二是主动汇报，加大城市管理方面的专业人才引进，确保乐至公安交管工作紧跟新时代公安交管工作发展趋势。</w:t>
      </w:r>
    </w:p>
    <w:p>
      <w:pPr>
        <w:numPr>
          <w:ilvl w:val="0"/>
          <w:numId w:val="0"/>
        </w:numPr>
        <w:spacing w:line="580" w:lineRule="exact"/>
        <w:ind w:leftChars="200" w:firstLine="321" w:firstLineChars="100"/>
        <w:rPr>
          <w:rFonts w:hint="eastAsia" w:eastAsia="方正楷体简体"/>
          <w:b/>
          <w:sz w:val="32"/>
          <w:szCs w:val="32"/>
        </w:rPr>
      </w:pPr>
      <w:r>
        <w:rPr>
          <w:rFonts w:hint="eastAsia" w:eastAsia="方正楷体简体"/>
          <w:b/>
          <w:sz w:val="32"/>
          <w:szCs w:val="32"/>
          <w:lang w:val="en-US" w:eastAsia="zh-CN"/>
        </w:rPr>
        <w:t>(二）</w:t>
      </w:r>
      <w:r>
        <w:rPr>
          <w:rFonts w:hint="eastAsia" w:eastAsia="方正楷体简体"/>
          <w:b/>
          <w:sz w:val="32"/>
          <w:szCs w:val="32"/>
        </w:rPr>
        <w:t>存在的问题</w:t>
      </w:r>
    </w:p>
    <w:p>
      <w:pPr>
        <w:pStyle w:val="7"/>
        <w:keepNext w:val="0"/>
        <w:keepLines w:val="0"/>
        <w:pageBreakBefore w:val="0"/>
        <w:widowControl w:val="0"/>
        <w:numPr>
          <w:ilvl w:val="0"/>
          <w:numId w:val="0"/>
        </w:numPr>
        <w:kinsoku/>
        <w:wordWrap/>
        <w:overflowPunct/>
        <w:topLinePunct w:val="0"/>
        <w:autoSpaceDE/>
        <w:autoSpaceDN/>
        <w:bidi w:val="0"/>
        <w:spacing w:line="640" w:lineRule="exact"/>
        <w:ind w:firstLine="640" w:firstLineChars="200"/>
        <w:textAlignment w:val="auto"/>
        <w:rPr>
          <w:rFonts w:hint="eastAsia" w:eastAsia="方正楷体简体"/>
          <w:b/>
          <w:sz w:val="32"/>
          <w:szCs w:val="32"/>
        </w:rPr>
      </w:pPr>
      <w:r>
        <w:rPr>
          <w:rFonts w:hint="eastAsia" w:ascii="仿宋_GB2312" w:eastAsia="仿宋_GB2312"/>
          <w:b w:val="0"/>
          <w:bCs/>
          <w:sz w:val="32"/>
          <w:szCs w:val="32"/>
          <w:lang w:val="en-US" w:eastAsia="zh-CN"/>
        </w:rPr>
        <w:t>一是因单位负责项目采购、财务经办人员等多是兼职，除了日常繁重的交管任务，想在学习新事物、新技能方面找突破，往往心有余力不足。二是城市管理方面的专业人才缺失，在红绿灯及电子监控设备、城市信息化建设等专业项目上，因业务知识匮乏，对相关技术参数不能做到胸有成竹，许多时候项目采购只能花钱委托其他单位专业人员做评估，在一定程度上增加了单位经费开支。</w:t>
      </w:r>
    </w:p>
    <w:p>
      <w:pPr>
        <w:numPr>
          <w:ilvl w:val="0"/>
          <w:numId w:val="9"/>
        </w:numPr>
        <w:spacing w:line="580" w:lineRule="exact"/>
        <w:ind w:left="0" w:leftChars="0" w:firstLine="643" w:firstLineChars="200"/>
        <w:rPr>
          <w:rFonts w:hint="eastAsia" w:eastAsia="方正楷体简体"/>
          <w:b/>
          <w:sz w:val="32"/>
          <w:szCs w:val="32"/>
        </w:rPr>
      </w:pPr>
      <w:r>
        <w:rPr>
          <w:rFonts w:hint="eastAsia" w:eastAsia="方正楷体简体"/>
          <w:b/>
          <w:sz w:val="32"/>
          <w:szCs w:val="32"/>
        </w:rPr>
        <w:t>建议和改进措施</w:t>
      </w:r>
    </w:p>
    <w:p>
      <w:pPr>
        <w:spacing w:line="620" w:lineRule="exact"/>
        <w:jc w:val="left"/>
        <w:rPr>
          <w:rFonts w:hint="eastAsia" w:ascii="仿宋_GB2312" w:eastAsia="仿宋_GB2312"/>
          <w:b w:val="0"/>
          <w:bCs/>
          <w:sz w:val="32"/>
          <w:szCs w:val="32"/>
          <w:lang w:val="en-US" w:eastAsia="zh-CN"/>
        </w:rPr>
      </w:pPr>
      <w:r>
        <w:rPr>
          <w:rFonts w:hint="eastAsia" w:ascii="仿宋_GB2312" w:eastAsia="仿宋_GB2312"/>
          <w:b w:val="0"/>
          <w:bCs/>
          <w:sz w:val="32"/>
          <w:szCs w:val="32"/>
          <w:lang w:val="en-US" w:eastAsia="zh-CN"/>
        </w:rPr>
        <w:t>一是争取地方财力支持，保障公安交管信息化建设工作提档升级。二是主动汇报，加大信息化、科技化、城市管理智能化方面的专业人才引进，为乐至公安交管工作不断注入新鲜血液，以便迎接公安交管工作新挑战。三是及时补充警力，确保项目决策、项目采购、财务管理、审计验收等重要岗位定岗定责，以满足本单位内控制度建设工作良续发展。</w:t>
      </w:r>
    </w:p>
    <w:p>
      <w:pPr>
        <w:pStyle w:val="2"/>
      </w:pPr>
    </w:p>
    <w:p>
      <w:pPr>
        <w:spacing w:line="580" w:lineRule="exact"/>
        <w:rPr>
          <w:rFonts w:eastAsia="方正黑体简体"/>
          <w:sz w:val="32"/>
          <w:szCs w:val="32"/>
        </w:rPr>
      </w:pPr>
      <w:r>
        <w:rPr>
          <w:rFonts w:hint="eastAsia" w:eastAsia="方正黑体简体"/>
          <w:sz w:val="32"/>
          <w:szCs w:val="32"/>
        </w:rPr>
        <w:t>附件</w:t>
      </w:r>
      <w:r>
        <w:rPr>
          <w:rFonts w:eastAsia="方正黑体简体"/>
          <w:sz w:val="32"/>
          <w:szCs w:val="32"/>
        </w:rPr>
        <w:t>4</w:t>
      </w:r>
    </w:p>
    <w:p>
      <w:pPr>
        <w:spacing w:line="580" w:lineRule="exact"/>
        <w:jc w:val="center"/>
        <w:rPr>
          <w:rFonts w:hint="eastAsia"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乐至县公安局交通警察大队车辆管理所建设工程</w:t>
      </w:r>
      <w:r>
        <w:rPr>
          <w:rFonts w:hint="eastAsia" w:eastAsia="方正楷体简体"/>
          <w:b/>
          <w:sz w:val="32"/>
          <w:szCs w:val="32"/>
        </w:rPr>
        <w:t>项目）</w:t>
      </w:r>
    </w:p>
    <w:p>
      <w:pPr>
        <w:spacing w:line="580" w:lineRule="exact"/>
        <w:ind w:firstLine="640" w:firstLineChars="200"/>
        <w:rPr>
          <w:rFonts w:eastAsia="方正仿宋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0"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58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为方便群众办理机动车驾考及其他车驾管业务，拟组织实施该项工程。</w:t>
      </w:r>
    </w:p>
    <w:p>
      <w:pPr>
        <w:spacing w:line="580" w:lineRule="exact"/>
        <w:ind w:firstLine="640" w:firstLineChars="200"/>
        <w:rPr>
          <w:rFonts w:hint="eastAsia" w:eastAsia="方正仿宋简体"/>
          <w:sz w:val="32"/>
          <w:szCs w:val="32"/>
        </w:rPr>
      </w:pPr>
      <w:r>
        <w:rPr>
          <w:rFonts w:eastAsia="方正仿宋简体"/>
          <w:b/>
          <w:sz w:val="32"/>
          <w:szCs w:val="32"/>
        </w:rPr>
        <w:t>2.</w:t>
      </w:r>
      <w:r>
        <w:rPr>
          <w:rFonts w:hint="eastAsia" w:eastAsia="方正仿宋简体"/>
          <w:sz w:val="32"/>
          <w:szCs w:val="32"/>
        </w:rPr>
        <w:t>预算资金来源及使用情况</w:t>
      </w:r>
    </w:p>
    <w:p>
      <w:pPr>
        <w:spacing w:line="580" w:lineRule="exact"/>
        <w:ind w:firstLine="640" w:firstLineChars="200"/>
        <w:rPr>
          <w:rFonts w:hint="eastAsia" w:eastAsia="方正仿宋简体"/>
          <w:sz w:val="32"/>
          <w:szCs w:val="32"/>
        </w:rPr>
      </w:pPr>
      <w:r>
        <w:rPr>
          <w:rFonts w:hint="eastAsia" w:ascii="仿宋_GB2312" w:hAnsi="仿宋_GB2312" w:eastAsia="仿宋_GB2312" w:cs="仿宋_GB2312"/>
          <w:sz w:val="32"/>
          <w:szCs w:val="32"/>
        </w:rPr>
        <w:t>根据单位填报的《项目支出绩效目标申报表》，车管所建设项目总</w:t>
      </w:r>
      <w:r>
        <w:rPr>
          <w:rFonts w:hint="eastAsia" w:ascii="仿宋_GB2312" w:hAnsi="仿宋_GB2312" w:eastAsia="仿宋_GB2312" w:cs="仿宋_GB2312"/>
          <w:sz w:val="32"/>
          <w:szCs w:val="32"/>
          <w:lang w:val="en-US" w:eastAsia="zh-CN"/>
        </w:rPr>
        <w:t>投资</w:t>
      </w:r>
      <w:r>
        <w:rPr>
          <w:rFonts w:hint="eastAsia" w:ascii="仿宋_GB2312" w:hAnsi="仿宋_GB2312" w:eastAsia="仿宋_GB2312" w:cs="仿宋_GB2312"/>
          <w:sz w:val="32"/>
          <w:szCs w:val="32"/>
        </w:rPr>
        <w:t>4300万元，</w:t>
      </w:r>
      <w:r>
        <w:rPr>
          <w:rFonts w:hint="eastAsia" w:ascii="仿宋_GB2312" w:hAnsi="仿宋_GB2312" w:eastAsia="仿宋_GB2312" w:cs="仿宋_GB2312"/>
          <w:sz w:val="32"/>
          <w:szCs w:val="32"/>
          <w:lang w:val="en-US" w:eastAsia="zh-CN"/>
        </w:rPr>
        <w:t>资金来源：县政府投资</w:t>
      </w:r>
      <w:r>
        <w:rPr>
          <w:rFonts w:hint="eastAsia" w:ascii="仿宋_GB2312" w:hAnsi="仿宋_GB2312" w:eastAsia="仿宋_GB2312" w:cs="仿宋_GB2312"/>
          <w:sz w:val="32"/>
          <w:szCs w:val="32"/>
        </w:rPr>
        <w:t>。</w:t>
      </w:r>
    </w:p>
    <w:p>
      <w:pPr>
        <w:numPr>
          <w:ilvl w:val="0"/>
          <w:numId w:val="10"/>
        </w:numPr>
        <w:spacing w:line="580" w:lineRule="exact"/>
        <w:ind w:firstLine="640" w:firstLineChars="200"/>
        <w:rPr>
          <w:rFonts w:hint="eastAsia" w:eastAsia="方正仿宋简体"/>
          <w:sz w:val="32"/>
          <w:szCs w:val="32"/>
        </w:rPr>
      </w:pPr>
      <w:r>
        <w:rPr>
          <w:rFonts w:hint="eastAsia" w:eastAsia="方正仿宋简体"/>
          <w:sz w:val="32"/>
          <w:szCs w:val="32"/>
        </w:rPr>
        <w:t>实施情况（项目完成情况）</w:t>
      </w:r>
    </w:p>
    <w:p>
      <w:pPr>
        <w:numPr>
          <w:ilvl w:val="0"/>
          <w:numId w:val="0"/>
        </w:numPr>
        <w:spacing w:line="580" w:lineRule="exact"/>
        <w:rPr>
          <w:rFonts w:hint="default" w:ascii="仿宋_GB2312" w:hAnsi="仿宋_GB2312" w:eastAsia="仿宋_GB2312" w:cs="仿宋_GB2312"/>
          <w:sz w:val="32"/>
          <w:szCs w:val="32"/>
          <w:lang w:val="en-US" w:eastAsia="zh-CN"/>
        </w:rPr>
      </w:pPr>
      <w:r>
        <w:rPr>
          <w:rFonts w:hint="eastAsia" w:eastAsia="方正仿宋简体"/>
          <w:sz w:val="32"/>
          <w:szCs w:val="32"/>
          <w:lang w:val="en-US" w:eastAsia="zh-CN"/>
        </w:rPr>
        <w:t xml:space="preserve">    </w:t>
      </w:r>
      <w:r>
        <w:rPr>
          <w:rFonts w:hint="eastAsia" w:ascii="仿宋_GB2312" w:hAnsi="仿宋_GB2312" w:eastAsia="仿宋_GB2312" w:cs="仿宋_GB2312"/>
          <w:sz w:val="32"/>
          <w:szCs w:val="32"/>
          <w:lang w:val="en-US" w:eastAsia="zh-CN"/>
        </w:rPr>
        <w:t>已完成勘察设计、水土保持测算、工程造价咨询、临时用水用电设计安装、城市配套设施建设费申报测算、防空地下室异地建设费用申报测算、施工许可证、桩基验收及主体建筑封顶等相关工作。</w:t>
      </w:r>
    </w:p>
    <w:p>
      <w:pPr>
        <w:numPr>
          <w:ilvl w:val="0"/>
          <w:numId w:val="10"/>
        </w:numPr>
        <w:spacing w:line="580" w:lineRule="exact"/>
        <w:ind w:left="0" w:leftChars="0" w:firstLine="640" w:firstLineChars="200"/>
        <w:rPr>
          <w:rFonts w:hint="eastAsia" w:eastAsia="方正仿宋简体"/>
          <w:sz w:val="32"/>
          <w:szCs w:val="32"/>
        </w:rPr>
      </w:pPr>
      <w:r>
        <w:rPr>
          <w:rFonts w:hint="eastAsia" w:eastAsia="方正仿宋简体"/>
          <w:sz w:val="32"/>
          <w:szCs w:val="32"/>
        </w:rPr>
        <w:t>组织及管理（项目组织、管理流程及实际执行情况）</w:t>
      </w:r>
    </w:p>
    <w:p>
      <w:pPr>
        <w:spacing w:line="58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图纸由四川宏图都市建筑设计有限公司完成；审图由四川智力嘉信建筑技术咨询有限公司完成；项目由四川川泰众鑫建设工程有限公司承建；项目监理由四川三信建设咨询有限公司（后更名为三信建设咨询集团有限公司）；桩基验收工作由四川星宇天成建筑工程质量检测有限公司完成。施工过程中，我单位项目联系人加强与项目承建单位沟通，及时处理建设工程中遇到的各类问题，确保该项目有序推进。</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总投资4300万元。完成年度投资808.73万元。目前已完成勘察设计、水土保持测算、工程造价咨询、临时用水用电设计安装、城市配套设施建设费申报测算、防空地下室异地建设费用申报测算、施工许可证、桩基验收及主体5层建筑封顶等相关工作。</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spacing w:line="580" w:lineRule="exact"/>
        <w:ind w:firstLine="640" w:firstLineChars="200"/>
        <w:rPr>
          <w:rFonts w:eastAsia="方正楷体简体"/>
          <w:b/>
          <w:sz w:val="32"/>
          <w:szCs w:val="32"/>
        </w:rPr>
      </w:pPr>
      <w:r>
        <w:rPr>
          <w:rFonts w:hint="eastAsia" w:ascii="仿宋" w:hAnsi="仿宋" w:eastAsia="仿宋" w:cs="仿宋"/>
          <w:sz w:val="32"/>
          <w:szCs w:val="32"/>
          <w:lang w:val="en-US" w:eastAsia="zh-CN"/>
        </w:rPr>
        <w:t>大</w:t>
      </w:r>
      <w:r>
        <w:rPr>
          <w:rFonts w:hint="eastAsia" w:ascii="仿宋_GB2312" w:hAnsi="仿宋_GB2312" w:eastAsia="仿宋_GB2312" w:cs="仿宋_GB2312"/>
          <w:kern w:val="2"/>
          <w:sz w:val="32"/>
          <w:szCs w:val="32"/>
          <w:lang w:val="en-US" w:eastAsia="zh-CN" w:bidi="ar-SA"/>
        </w:rPr>
        <w:t>队成立了以大队长毛奎任组长，教导员倪小刚、副大队长吴成林、李韦兵、唐鹤镭为副组长，各部门负责人为成员的预算绩效管理工作考核自评领导小组。下设办公室，教导员李韦兵具体负责该项工作，办公室副主任黄勇波负责对各具体项目进行事前绩效评价，在打资金请示报告时一并向财政局业务股室提交相关佐证资料，办公室辅警雷文静负责收集汇报各类项目资料，并负责本单位整体绩效，以及按照财政要求及时上报各类绩效评价材料</w:t>
      </w:r>
      <w:r>
        <w:rPr>
          <w:rFonts w:hint="eastAsia" w:ascii="仿宋_GB2312" w:hAnsi="仿宋_GB2312" w:eastAsia="仿宋_GB2312" w:cs="仿宋_GB2312"/>
          <w:sz w:val="32"/>
          <w:szCs w:val="32"/>
          <w:lang w:val="en-US" w:eastAsia="zh-CN"/>
        </w:rPr>
        <w:t>。</w:t>
      </w:r>
    </w:p>
    <w:p>
      <w:pPr>
        <w:spacing w:line="580" w:lineRule="exact"/>
        <w:ind w:firstLine="643" w:firstLineChars="200"/>
        <w:rPr>
          <w:rFonts w:hint="eastAsia" w:eastAsia="方正楷体简体"/>
          <w:b/>
          <w:sz w:val="32"/>
          <w:szCs w:val="32"/>
        </w:rPr>
      </w:pPr>
      <w:r>
        <w:rPr>
          <w:rFonts w:hint="eastAsia" w:eastAsia="方正楷体简体"/>
          <w:b/>
          <w:sz w:val="32"/>
          <w:szCs w:val="32"/>
        </w:rPr>
        <w:t>（二）自评方式、方法、重点等</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本单位采取单位自评的方法对2022年所有纳入财政性支出的所有资金进行评价，重点侧重于对项目支出进行评价。</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eastAsia="方正仿宋简体"/>
          <w:sz w:val="32"/>
          <w:szCs w:val="32"/>
          <w:lang w:val="en-US" w:eastAsia="zh-CN"/>
        </w:rPr>
        <w:t xml:space="preserve"> </w:t>
      </w:r>
      <w:r>
        <w:rPr>
          <w:rFonts w:hint="eastAsia" w:ascii="仿宋_GB2312" w:hAnsi="仿宋_GB2312" w:eastAsia="仿宋_GB2312" w:cs="仿宋_GB2312"/>
          <w:kern w:val="2"/>
          <w:sz w:val="32"/>
          <w:szCs w:val="32"/>
          <w:lang w:val="en-US" w:eastAsia="zh-CN" w:bidi="ar-SA"/>
        </w:rPr>
        <w:t>2022年，大队严格遵循“统筹兼顾、勤俭节约、量力而行、讲求绩效和收支平衡”的原则，以及《预算管理办法》、政府采购等相关制度规定严格执行单位采购预算，严格执行专款专用，未发生截留、占用项目资金的情况。本年度本单位《部门整体支出绩效自评计分表》评分为82.7分，依据乐财规〔2021〕1号规定确定绩效等级：中。</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3" w:firstLineChars="200"/>
        <w:rPr>
          <w:rFonts w:eastAsia="方正楷体简体"/>
          <w:b/>
          <w:sz w:val="32"/>
          <w:szCs w:val="32"/>
        </w:rPr>
      </w:pPr>
      <w:r>
        <w:rPr>
          <w:rFonts w:hint="eastAsia" w:eastAsia="方正楷体简体"/>
          <w:b/>
          <w:sz w:val="32"/>
          <w:szCs w:val="32"/>
        </w:rPr>
        <w:t>（一）指标分析</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在职人员控制率（5分）扣1分，因为本单位在编实有数为13人，但实际民警28人（另外编制在县公安局），辅警及临聘人员90人，经费开支都在本单位，所以以“部门（单位）本年度实际在职人员数与编制数的比率”测算不太符合实际。</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二是项目的重大开支是否经过评估论证；（0.2分），扣0.2分。</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三是管理制度健全性（2分）扣0.5分，财务管理工作是一项常态化工作，财经秩序要求与时俱进，财政制度要求也应跟上步伐，但因单位小看，有时制度制定的及时性上存在滞后和不够健全完善的地方。</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四是资产管理安全性（2分）中资产配置合理性和覆盖性不足，因为地方财力有限，有些装备只能将就用，该项扣0.4分。</w:t>
      </w:r>
    </w:p>
    <w:p>
      <w:pPr>
        <w:pStyle w:val="2"/>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是完成及时率（4分）扣1分，质量达标率（8分）和重点工作办结率（10分）各扣2分，因为当年计划数大于实际完成数，因地方财力有限，有些项目早已完成验收，但因财力得不到及时保障，故有些重点工作的完成率不高。</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六是经济效益（5分）和生态效益（5分）各扣2分，因为本单位该项指标不适用。</w:t>
      </w:r>
    </w:p>
    <w:p>
      <w:pPr>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七是社会公众或服务对象满意度（5分）扣1分，人民群众对道路交通环境的要求越来越高，现有财力和警力暂时无法完全满足人民群众的需求。</w:t>
      </w:r>
    </w:p>
    <w:p>
      <w:pPr>
        <w:ind w:firstLine="643" w:firstLineChars="200"/>
        <w:rPr>
          <w:rFonts w:eastAsia="方正楷体简体"/>
          <w:b/>
          <w:sz w:val="32"/>
          <w:szCs w:val="32"/>
        </w:rPr>
      </w:pPr>
      <w:r>
        <w:rPr>
          <w:rFonts w:hint="eastAsia" w:eastAsia="方正楷体简体"/>
          <w:b/>
          <w:sz w:val="32"/>
          <w:szCs w:val="32"/>
        </w:rPr>
        <w:t>（二）综合绩效分析</w:t>
      </w:r>
    </w:p>
    <w:p>
      <w:pPr>
        <w:spacing w:line="580" w:lineRule="exact"/>
        <w:ind w:firstLine="640" w:firstLineChars="200"/>
        <w:rPr>
          <w:rFonts w:hint="eastAsia" w:ascii="仿宋_GB2312" w:hAnsi="黑体" w:eastAsia="仿宋_GB2312"/>
          <w:sz w:val="32"/>
          <w:szCs w:val="32"/>
        </w:rPr>
      </w:pPr>
      <w:r>
        <w:rPr>
          <w:rFonts w:hint="eastAsia" w:eastAsia="方正仿宋简体"/>
          <w:b/>
          <w:sz w:val="32"/>
          <w:szCs w:val="32"/>
        </w:rPr>
        <w:t>部门职能履行情况。</w:t>
      </w:r>
      <w:r>
        <w:rPr>
          <w:rFonts w:hint="eastAsia" w:ascii="仿宋_GB2312" w:hAnsi="黑体" w:eastAsia="仿宋_GB2312"/>
          <w:sz w:val="32"/>
          <w:szCs w:val="32"/>
        </w:rPr>
        <w:t>202</w:t>
      </w:r>
      <w:r>
        <w:rPr>
          <w:rFonts w:hint="eastAsia" w:ascii="仿宋_GB2312" w:hAnsi="黑体" w:eastAsia="仿宋_GB2312"/>
          <w:sz w:val="32"/>
          <w:szCs w:val="32"/>
          <w:lang w:val="en-US" w:eastAsia="zh-CN"/>
        </w:rPr>
        <w:t>2</w:t>
      </w:r>
      <w:r>
        <w:rPr>
          <w:rFonts w:hint="eastAsia" w:ascii="仿宋_GB2312" w:hAnsi="黑体" w:eastAsia="仿宋_GB2312"/>
          <w:sz w:val="32"/>
          <w:szCs w:val="32"/>
        </w:rPr>
        <w:t>年以来，乐至公安交警深入开展政法队伍教育整顿，不断提升队伍素质；在疫情防控常态化环境下，以“护旗”系列和“减量控大”专项行动为抓手，积极预防道路交通事故，202</w:t>
      </w:r>
      <w:r>
        <w:rPr>
          <w:rFonts w:hint="eastAsia" w:ascii="仿宋_GB2312" w:hAnsi="黑体" w:eastAsia="仿宋_GB2312"/>
          <w:sz w:val="32"/>
          <w:szCs w:val="32"/>
          <w:lang w:val="en-US" w:eastAsia="zh-CN"/>
        </w:rPr>
        <w:t>2</w:t>
      </w:r>
      <w:r>
        <w:rPr>
          <w:rFonts w:hint="eastAsia" w:ascii="仿宋_GB2312" w:hAnsi="黑体" w:eastAsia="仿宋_GB2312"/>
          <w:sz w:val="32"/>
          <w:szCs w:val="32"/>
        </w:rPr>
        <w:t>年，</w:t>
      </w:r>
      <w:r>
        <w:rPr>
          <w:rFonts w:hint="eastAsia" w:ascii="仿宋_GB2312" w:hAnsi="黑体" w:eastAsia="仿宋_GB2312"/>
          <w:sz w:val="32"/>
          <w:szCs w:val="32"/>
          <w:highlight w:val="none"/>
        </w:rPr>
        <w:t>辖区内道路交通事故</w:t>
      </w:r>
      <w:r>
        <w:rPr>
          <w:rFonts w:ascii="仿宋_GB2312" w:hAnsi="黑体" w:eastAsia="仿宋_GB2312"/>
          <w:sz w:val="32"/>
          <w:szCs w:val="32"/>
          <w:highlight w:val="none"/>
        </w:rPr>
        <w:t>接处警</w:t>
      </w:r>
      <w:r>
        <w:rPr>
          <w:rFonts w:hint="eastAsia" w:ascii="仿宋_GB2312" w:hAnsi="黑体" w:eastAsia="仿宋_GB2312"/>
          <w:sz w:val="32"/>
          <w:szCs w:val="32"/>
          <w:highlight w:val="none"/>
          <w:lang w:val="en-US" w:eastAsia="zh-CN"/>
        </w:rPr>
        <w:t>5282</w:t>
      </w:r>
      <w:r>
        <w:rPr>
          <w:rFonts w:hint="eastAsia" w:ascii="仿宋_GB2312" w:hAnsi="黑体" w:eastAsia="仿宋_GB2312"/>
          <w:sz w:val="32"/>
          <w:szCs w:val="32"/>
          <w:highlight w:val="none"/>
        </w:rPr>
        <w:t>起</w:t>
      </w:r>
      <w:r>
        <w:rPr>
          <w:rFonts w:ascii="仿宋_GB2312" w:hAnsi="黑体" w:eastAsia="仿宋_GB2312"/>
          <w:sz w:val="32"/>
          <w:szCs w:val="32"/>
          <w:highlight w:val="none"/>
        </w:rPr>
        <w:t>，死亡</w:t>
      </w:r>
      <w:r>
        <w:rPr>
          <w:rFonts w:hint="eastAsia" w:ascii="仿宋_GB2312" w:hAnsi="黑体" w:eastAsia="仿宋_GB2312"/>
          <w:sz w:val="32"/>
          <w:szCs w:val="32"/>
          <w:highlight w:val="none"/>
          <w:lang w:val="en-US" w:eastAsia="zh-CN"/>
        </w:rPr>
        <w:t>4</w:t>
      </w:r>
      <w:r>
        <w:rPr>
          <w:rFonts w:ascii="仿宋_GB2312" w:hAnsi="黑体" w:eastAsia="仿宋_GB2312"/>
          <w:sz w:val="32"/>
          <w:szCs w:val="32"/>
          <w:highlight w:val="none"/>
        </w:rPr>
        <w:t>3人、伤</w:t>
      </w:r>
      <w:r>
        <w:rPr>
          <w:rFonts w:hint="eastAsia" w:ascii="仿宋_GB2312" w:hAnsi="黑体" w:eastAsia="仿宋_GB2312"/>
          <w:sz w:val="32"/>
          <w:szCs w:val="32"/>
          <w:highlight w:val="none"/>
          <w:lang w:val="en-US" w:eastAsia="zh-CN"/>
        </w:rPr>
        <w:t>6247</w:t>
      </w:r>
      <w:r>
        <w:rPr>
          <w:rFonts w:ascii="仿宋_GB2312" w:hAnsi="黑体" w:eastAsia="仿宋_GB2312"/>
          <w:sz w:val="32"/>
          <w:szCs w:val="32"/>
          <w:highlight w:val="none"/>
        </w:rPr>
        <w:t>人、</w:t>
      </w:r>
      <w:r>
        <w:rPr>
          <w:rFonts w:hint="eastAsia" w:ascii="仿宋_GB2312" w:hAnsi="黑体" w:eastAsia="仿宋_GB2312"/>
          <w:sz w:val="32"/>
          <w:szCs w:val="32"/>
          <w:highlight w:val="none"/>
        </w:rPr>
        <w:t>财产损失</w:t>
      </w:r>
      <w:r>
        <w:rPr>
          <w:rFonts w:ascii="仿宋_GB2312" w:hAnsi="黑体" w:eastAsia="仿宋_GB2312"/>
          <w:sz w:val="32"/>
          <w:szCs w:val="32"/>
          <w:highlight w:val="none"/>
        </w:rPr>
        <w:t>5</w:t>
      </w:r>
      <w:r>
        <w:rPr>
          <w:rFonts w:hint="eastAsia" w:ascii="仿宋_GB2312" w:hAnsi="黑体" w:eastAsia="仿宋_GB2312"/>
          <w:sz w:val="32"/>
          <w:szCs w:val="32"/>
          <w:highlight w:val="none"/>
          <w:lang w:val="en-US" w:eastAsia="zh-CN"/>
        </w:rPr>
        <w:t>21118</w:t>
      </w:r>
      <w:r>
        <w:rPr>
          <w:rFonts w:ascii="仿宋_GB2312" w:hAnsi="黑体" w:eastAsia="仿宋_GB2312"/>
          <w:sz w:val="32"/>
          <w:szCs w:val="32"/>
          <w:highlight w:val="none"/>
        </w:rPr>
        <w:t>元；四项指数与去年同期比较：接处警</w:t>
      </w:r>
      <w:r>
        <w:rPr>
          <w:rFonts w:hint="eastAsia" w:ascii="仿宋_GB2312" w:hAnsi="黑体" w:eastAsia="仿宋_GB2312"/>
          <w:sz w:val="32"/>
          <w:szCs w:val="32"/>
          <w:highlight w:val="none"/>
        </w:rPr>
        <w:t>数</w:t>
      </w:r>
      <w:r>
        <w:rPr>
          <w:rFonts w:hint="eastAsia" w:ascii="仿宋_GB2312" w:hAnsi="黑体" w:eastAsia="仿宋_GB2312"/>
          <w:sz w:val="32"/>
          <w:szCs w:val="32"/>
          <w:highlight w:val="none"/>
          <w:lang w:val="en-US" w:eastAsia="zh-CN"/>
        </w:rPr>
        <w:t>下降11.64</w:t>
      </w:r>
      <w:r>
        <w:rPr>
          <w:rFonts w:ascii="仿宋_GB2312" w:hAnsi="黑体" w:eastAsia="仿宋_GB2312"/>
          <w:sz w:val="32"/>
          <w:szCs w:val="32"/>
          <w:highlight w:val="none"/>
        </w:rPr>
        <w:t>%、死亡</w:t>
      </w:r>
      <w:r>
        <w:rPr>
          <w:rFonts w:hint="eastAsia" w:ascii="仿宋_GB2312" w:hAnsi="黑体" w:eastAsia="仿宋_GB2312"/>
          <w:sz w:val="32"/>
          <w:szCs w:val="32"/>
          <w:highlight w:val="none"/>
        </w:rPr>
        <w:t>人数下降</w:t>
      </w:r>
      <w:r>
        <w:rPr>
          <w:rFonts w:hint="eastAsia" w:ascii="仿宋_GB2312" w:hAnsi="黑体" w:eastAsia="仿宋_GB2312"/>
          <w:sz w:val="32"/>
          <w:szCs w:val="32"/>
          <w:highlight w:val="none"/>
          <w:lang w:val="en-US" w:eastAsia="zh-CN"/>
        </w:rPr>
        <w:t>32.81</w:t>
      </w:r>
      <w:r>
        <w:rPr>
          <w:rFonts w:ascii="仿宋_GB2312" w:hAnsi="黑体" w:eastAsia="仿宋_GB2312"/>
          <w:sz w:val="32"/>
          <w:szCs w:val="32"/>
          <w:highlight w:val="none"/>
        </w:rPr>
        <w:t>%、</w:t>
      </w:r>
      <w:r>
        <w:rPr>
          <w:rFonts w:hint="eastAsia" w:ascii="仿宋_GB2312" w:hAnsi="黑体" w:eastAsia="仿宋_GB2312"/>
          <w:sz w:val="32"/>
          <w:szCs w:val="32"/>
          <w:highlight w:val="none"/>
        </w:rPr>
        <w:t>受伤人数上升</w:t>
      </w:r>
      <w:r>
        <w:rPr>
          <w:rFonts w:hint="eastAsia" w:ascii="仿宋_GB2312" w:hAnsi="黑体" w:eastAsia="仿宋_GB2312"/>
          <w:sz w:val="32"/>
          <w:szCs w:val="32"/>
          <w:highlight w:val="none"/>
          <w:lang w:val="en-US" w:eastAsia="zh-CN"/>
        </w:rPr>
        <w:t>268.12</w:t>
      </w:r>
      <w:r>
        <w:rPr>
          <w:rFonts w:ascii="仿宋_GB2312" w:hAnsi="黑体" w:eastAsia="仿宋_GB2312"/>
          <w:sz w:val="32"/>
          <w:szCs w:val="32"/>
          <w:highlight w:val="none"/>
        </w:rPr>
        <w:t>%、</w:t>
      </w:r>
      <w:r>
        <w:rPr>
          <w:rFonts w:hint="eastAsia" w:ascii="仿宋_GB2312" w:hAnsi="黑体" w:eastAsia="仿宋_GB2312"/>
          <w:sz w:val="32"/>
          <w:szCs w:val="32"/>
          <w:highlight w:val="none"/>
        </w:rPr>
        <w:t>财产损失</w:t>
      </w:r>
      <w:r>
        <w:rPr>
          <w:rFonts w:hint="eastAsia" w:ascii="仿宋_GB2312" w:hAnsi="黑体" w:eastAsia="仿宋_GB2312"/>
          <w:sz w:val="32"/>
          <w:szCs w:val="32"/>
          <w:highlight w:val="none"/>
          <w:lang w:val="en-US" w:eastAsia="zh-CN"/>
        </w:rPr>
        <w:t>下降18.52</w:t>
      </w:r>
      <w:r>
        <w:rPr>
          <w:rFonts w:ascii="仿宋_GB2312" w:hAnsi="黑体" w:eastAsia="仿宋_GB2312"/>
          <w:sz w:val="32"/>
          <w:szCs w:val="32"/>
          <w:highlight w:val="none"/>
        </w:rPr>
        <w:t>%。</w:t>
      </w:r>
      <w:r>
        <w:rPr>
          <w:rFonts w:hint="eastAsia" w:ascii="仿宋_GB2312" w:hAnsi="黑体" w:eastAsia="仿宋_GB2312"/>
          <w:sz w:val="32"/>
          <w:szCs w:val="32"/>
        </w:rPr>
        <w:t>未发生一次死亡3人以上的道路交通事故，未发生长时间交通拥堵，未发生涉及公安交警的重大负面舆情，辖区道路交通安全形势总体稳中向好。</w:t>
      </w:r>
    </w:p>
    <w:p>
      <w:pPr>
        <w:pStyle w:val="2"/>
        <w:ind w:firstLine="640" w:firstLineChars="200"/>
        <w:rPr>
          <w:rFonts w:hint="default" w:ascii="仿宋_GB2312" w:hAnsi="黑体" w:eastAsia="仿宋_GB2312" w:cs="Times New Roman"/>
          <w:kern w:val="2"/>
          <w:sz w:val="32"/>
          <w:szCs w:val="32"/>
          <w:lang w:val="en-US" w:eastAsia="zh-CN" w:bidi="ar-SA"/>
        </w:rPr>
      </w:pPr>
      <w:r>
        <w:rPr>
          <w:rFonts w:hint="eastAsia" w:ascii="仿宋_GB2312" w:hAnsi="黑体" w:eastAsia="仿宋_GB2312"/>
          <w:sz w:val="32"/>
          <w:szCs w:val="32"/>
          <w:lang w:val="en-US" w:eastAsia="zh-CN"/>
        </w:rPr>
        <w:t>六是</w:t>
      </w:r>
      <w:r>
        <w:rPr>
          <w:rFonts w:hint="eastAsia" w:ascii="仿宋_GB2312" w:hAnsi="黑体" w:eastAsia="仿宋_GB2312" w:cs="Times New Roman"/>
          <w:kern w:val="2"/>
          <w:sz w:val="32"/>
          <w:szCs w:val="32"/>
          <w:lang w:val="en-US" w:eastAsia="zh-CN" w:bidi="ar-SA"/>
        </w:rPr>
        <w:t>固定资产利用率（1分）扣0.2分，因为有些资产年久失修无法使用，故现有资产使用率低于固定资产总额。</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pStyle w:val="2"/>
        <w:ind w:firstLine="643" w:firstLineChars="200"/>
        <w:rPr>
          <w:rFonts w:hint="eastAsia" w:eastAsia="方正楷体简体"/>
          <w:b/>
          <w:sz w:val="32"/>
          <w:szCs w:val="32"/>
        </w:rPr>
      </w:pPr>
      <w:r>
        <w:rPr>
          <w:rFonts w:hint="eastAsia" w:eastAsia="方正楷体简体"/>
          <w:b/>
          <w:sz w:val="32"/>
          <w:szCs w:val="32"/>
        </w:rPr>
        <w:t>（一）主要经验及做法</w:t>
      </w:r>
    </w:p>
    <w:p>
      <w:pPr>
        <w:pStyle w:val="2"/>
        <w:ind w:firstLine="640" w:firstLineChars="200"/>
        <w:rPr>
          <w:rFonts w:hint="eastAsia" w:ascii="仿宋_GB2312" w:hAnsi="黑体" w:eastAsia="仿宋_GB2312" w:cs="Times New Roman"/>
          <w:kern w:val="2"/>
          <w:sz w:val="32"/>
          <w:szCs w:val="32"/>
          <w:lang w:val="en-US" w:eastAsia="zh-CN" w:bidi="ar-SA"/>
        </w:rPr>
      </w:pPr>
      <w:r>
        <w:rPr>
          <w:rFonts w:hint="eastAsia" w:ascii="仿宋_GB2312" w:hAnsi="黑体" w:eastAsia="仿宋_GB2312" w:cs="Times New Roman"/>
          <w:kern w:val="2"/>
          <w:sz w:val="32"/>
          <w:szCs w:val="32"/>
          <w:lang w:val="en-US" w:eastAsia="zh-CN" w:bidi="ar-SA"/>
        </w:rPr>
        <w:t>一是本单位结合公安交管工作实际，认真履行项目推进过程监督管理职责，并做好与相关职能部门的沟通协调，确保项目有序推行，顺利完工，同时按照节约成本的原则，针对物价上涨的现状，在验收时严格把控价格关。</w:t>
      </w:r>
    </w:p>
    <w:p>
      <w:pPr>
        <w:spacing w:line="580" w:lineRule="exact"/>
        <w:ind w:firstLine="640" w:firstLineChars="200"/>
        <w:rPr>
          <w:rFonts w:eastAsia="方正楷体简体"/>
          <w:b/>
          <w:sz w:val="32"/>
          <w:szCs w:val="32"/>
        </w:rPr>
      </w:pPr>
      <w:r>
        <w:rPr>
          <w:rFonts w:hint="eastAsia" w:ascii="仿宋_GB2312" w:hAnsi="黑体" w:eastAsia="仿宋_GB2312" w:cs="Times New Roman"/>
          <w:kern w:val="2"/>
          <w:sz w:val="32"/>
          <w:szCs w:val="32"/>
          <w:lang w:val="en-US" w:eastAsia="zh-CN" w:bidi="ar-SA"/>
        </w:rPr>
        <w:t>二是本单位结合公安交管工作实际，认真履职，顺利完成车辆管理所土石方建设项目监督工作，并做好与相关职能部门沟通协调工作。</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600" w:lineRule="exact"/>
        <w:ind w:firstLine="640" w:firstLineChars="200"/>
        <w:rPr>
          <w:rFonts w:hint="default" w:eastAsia="方正仿宋简体"/>
          <w:sz w:val="32"/>
          <w:szCs w:val="32"/>
          <w:lang w:val="en-US" w:eastAsia="zh-CN"/>
        </w:rPr>
      </w:pPr>
      <w:r>
        <w:rPr>
          <w:rFonts w:hint="eastAsia" w:ascii="仿宋_GB2312" w:hAnsi="仿宋_GB2312" w:eastAsia="仿宋_GB2312" w:cs="仿宋_GB2312"/>
          <w:sz w:val="32"/>
          <w:szCs w:val="32"/>
          <w:lang w:val="en-US" w:eastAsia="zh-CN"/>
        </w:rPr>
        <w:t>一是地方财力有限，工程款给付周期长，二是财经纪律与时俱进，本单位制度较国家层面的要求有滞后，制度更新不是很及时。三是</w:t>
      </w:r>
      <w:r>
        <w:rPr>
          <w:rFonts w:hint="eastAsia" w:ascii="仿宋_GB2312" w:eastAsia="仿宋_GB2312"/>
          <w:b w:val="0"/>
          <w:bCs/>
          <w:sz w:val="32"/>
          <w:szCs w:val="32"/>
          <w:lang w:val="en-US" w:eastAsia="zh-CN"/>
        </w:rPr>
        <w:t>城市管理方面的专业人才缺失，在红绿灯及电子监控设备、城市信息化建设等专业项目上，因业务知识匮乏，对相关技术参数不能做到胸有成竹，许多时候工程类项目工作很被动，专业类问题只能花钱委托其他单位专业人员做评估，在一定程度上增加了单位经费开支。</w:t>
      </w:r>
    </w:p>
    <w:p>
      <w:pPr>
        <w:numPr>
          <w:ilvl w:val="0"/>
          <w:numId w:val="11"/>
        </w:numPr>
        <w:spacing w:line="580" w:lineRule="exact"/>
        <w:ind w:firstLine="643" w:firstLineChars="200"/>
        <w:rPr>
          <w:rFonts w:hint="eastAsia" w:eastAsia="方正楷体简体"/>
          <w:b/>
          <w:sz w:val="32"/>
          <w:szCs w:val="32"/>
        </w:rPr>
      </w:pPr>
      <w:r>
        <w:rPr>
          <w:rFonts w:hint="eastAsia" w:eastAsia="方正楷体简体"/>
          <w:b/>
          <w:sz w:val="32"/>
          <w:szCs w:val="32"/>
        </w:rPr>
        <w:t>建议和改进措施</w:t>
      </w:r>
    </w:p>
    <w:p>
      <w:pPr>
        <w:pStyle w:val="2"/>
        <w:numPr>
          <w:ilvl w:val="0"/>
          <w:numId w:val="0"/>
        </w:numPr>
        <w:ind w:firstLine="640" w:firstLineChars="200"/>
        <w:rPr>
          <w:rFonts w:hint="eastAsia" w:ascii="仿宋_GB2312" w:eastAsia="仿宋_GB2312"/>
          <w:b w:val="0"/>
          <w:bCs/>
          <w:sz w:val="32"/>
          <w:szCs w:val="32"/>
          <w:lang w:val="en-US" w:eastAsia="zh-CN"/>
        </w:rPr>
      </w:pPr>
      <w:r>
        <w:rPr>
          <w:rFonts w:hint="eastAsia" w:ascii="仿宋_GB2312" w:hAnsi="仿宋_GB2312" w:eastAsia="仿宋_GB2312" w:cs="仿宋_GB2312"/>
          <w:sz w:val="32"/>
          <w:szCs w:val="32"/>
          <w:lang w:val="en-US" w:eastAsia="zh-CN"/>
        </w:rPr>
        <w:t>一是争取上级财力支持，确保车管所建设项目有序推进，圆满完成车管所建设进度有序推行。二是加强对财政制度的学习，确保进一步建立健全本单位制度。三是</w:t>
      </w:r>
      <w:r>
        <w:rPr>
          <w:rFonts w:hint="eastAsia" w:ascii="仿宋_GB2312" w:eastAsia="仿宋_GB2312"/>
          <w:b w:val="0"/>
          <w:bCs/>
          <w:sz w:val="32"/>
          <w:szCs w:val="32"/>
          <w:lang w:val="en-US" w:eastAsia="zh-CN"/>
        </w:rPr>
        <w:t>主动汇报，积极招揽信息化、科技化、城市管理智能化方面的专业人才，为乐至公安交管工作不断注入新鲜血液，以便迎接公安交管工作新挑战。</w:t>
      </w:r>
    </w:p>
    <w:p>
      <w:pPr>
        <w:spacing w:line="580" w:lineRule="exact"/>
        <w:rPr>
          <w:rFonts w:eastAsia="方正黑体简体"/>
          <w:sz w:val="32"/>
          <w:szCs w:val="32"/>
        </w:rPr>
      </w:pPr>
      <w:r>
        <w:rPr>
          <w:rFonts w:hint="eastAsia" w:eastAsia="方正黑体简体"/>
          <w:sz w:val="32"/>
          <w:szCs w:val="32"/>
        </w:rPr>
        <w:t>附件</w:t>
      </w:r>
      <w:r>
        <w:rPr>
          <w:rFonts w:eastAsia="方正黑体简体"/>
          <w:sz w:val="32"/>
          <w:szCs w:val="32"/>
        </w:rPr>
        <w:t>4</w:t>
      </w:r>
    </w:p>
    <w:p>
      <w:pPr>
        <w:spacing w:line="580" w:lineRule="exact"/>
        <w:jc w:val="center"/>
        <w:rPr>
          <w:rFonts w:hint="eastAsia"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治理城区部分道路交通安全隐患</w:t>
      </w:r>
      <w:r>
        <w:rPr>
          <w:rFonts w:hint="eastAsia" w:eastAsia="方正楷体简体"/>
          <w:b/>
          <w:sz w:val="32"/>
          <w:szCs w:val="32"/>
        </w:rPr>
        <w:t>项目）</w:t>
      </w:r>
    </w:p>
    <w:p>
      <w:pPr>
        <w:spacing w:line="580" w:lineRule="exact"/>
        <w:ind w:firstLine="640" w:firstLineChars="200"/>
        <w:rPr>
          <w:rFonts w:eastAsia="方正仿宋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pStyle w:val="7"/>
        <w:keepNext w:val="0"/>
        <w:keepLines w:val="0"/>
        <w:pageBreakBefore w:val="0"/>
        <w:widowControl w:val="0"/>
        <w:kinsoku/>
        <w:wordWrap/>
        <w:overflowPunct/>
        <w:topLinePunct w:val="0"/>
        <w:autoSpaceDE/>
        <w:autoSpaceDN/>
        <w:bidi w:val="0"/>
        <w:spacing w:line="640" w:lineRule="exact"/>
        <w:ind w:firstLine="628" w:firstLineChars="196"/>
        <w:textAlignment w:val="auto"/>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pStyle w:val="7"/>
        <w:keepNext w:val="0"/>
        <w:keepLines w:val="0"/>
        <w:pageBreakBefore w:val="0"/>
        <w:widowControl w:val="0"/>
        <w:kinsoku/>
        <w:wordWrap/>
        <w:overflowPunct/>
        <w:topLinePunct w:val="0"/>
        <w:autoSpaceDE/>
        <w:autoSpaceDN/>
        <w:bidi w:val="0"/>
        <w:spacing w:line="640" w:lineRule="exact"/>
        <w:ind w:firstLine="627" w:firstLineChars="196"/>
        <w:textAlignment w:val="auto"/>
        <w:rPr>
          <w:rFonts w:eastAsia="方正仿宋简体"/>
          <w:sz w:val="32"/>
          <w:szCs w:val="32"/>
        </w:rPr>
      </w:pPr>
      <w:r>
        <w:rPr>
          <w:rFonts w:hint="eastAsia" w:ascii="仿宋_GB2312" w:hAnsi="Times New Roman" w:eastAsia="仿宋_GB2312" w:cs="Times New Roman"/>
          <w:kern w:val="2"/>
          <w:sz w:val="32"/>
          <w:szCs w:val="32"/>
          <w:lang w:val="en-US" w:eastAsia="zh-CN" w:bidi="ar-SA"/>
        </w:rPr>
        <w:t>因城区车行道内机动车随意掉头、行人随意横穿马路、行人有人行道不走走机动车道的“人车混行”情况屡禁不止，存在较大安全隐患。为有效</w:t>
      </w:r>
      <w:r>
        <w:rPr>
          <w:rFonts w:hint="eastAsia" w:ascii="仿宋_GB2312" w:eastAsia="仿宋_GB2312" w:cs="Times New Roman"/>
          <w:kern w:val="2"/>
          <w:sz w:val="32"/>
          <w:szCs w:val="32"/>
          <w:lang w:val="en-US" w:eastAsia="zh-CN" w:bidi="ar-SA"/>
        </w:rPr>
        <w:t>减少上述交通陋习引发的道路交通事故，保障辖区民众出行安全，特申请对该项目进行立项。</w:t>
      </w:r>
    </w:p>
    <w:p>
      <w:pPr>
        <w:numPr>
          <w:ilvl w:val="0"/>
          <w:numId w:val="8"/>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pPr>
        <w:pStyle w:val="7"/>
        <w:keepNext w:val="0"/>
        <w:keepLines w:val="0"/>
        <w:pageBreakBefore w:val="0"/>
        <w:widowControl w:val="0"/>
        <w:kinsoku/>
        <w:wordWrap/>
        <w:overflowPunct/>
        <w:topLinePunct w:val="0"/>
        <w:autoSpaceDE/>
        <w:autoSpaceDN/>
        <w:bidi w:val="0"/>
        <w:spacing w:line="640" w:lineRule="exact"/>
        <w:ind w:firstLine="627" w:firstLineChars="196"/>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预算资金来源：县财政拨款，项目</w:t>
      </w:r>
      <w:r>
        <w:rPr>
          <w:rFonts w:hint="eastAsia" w:ascii="仿宋_GB2312" w:eastAsia="仿宋_GB2312" w:cs="Times New Roman"/>
          <w:kern w:val="2"/>
          <w:sz w:val="32"/>
          <w:szCs w:val="32"/>
          <w:lang w:val="en-US" w:eastAsia="zh-CN" w:bidi="ar-SA"/>
        </w:rPr>
        <w:t>验收</w:t>
      </w:r>
      <w:r>
        <w:rPr>
          <w:rFonts w:hint="eastAsia" w:ascii="仿宋_GB2312" w:hAnsi="Times New Roman" w:eastAsia="仿宋_GB2312" w:cs="Times New Roman"/>
          <w:kern w:val="2"/>
          <w:sz w:val="32"/>
          <w:szCs w:val="32"/>
          <w:lang w:val="en-US" w:eastAsia="zh-CN" w:bidi="ar-SA"/>
        </w:rPr>
        <w:t>金额：2866600元</w:t>
      </w:r>
      <w:r>
        <w:rPr>
          <w:rFonts w:hint="eastAsia" w:ascii="仿宋_GB2312" w:eastAsia="仿宋_GB2312" w:cs="Times New Roman"/>
          <w:kern w:val="2"/>
          <w:sz w:val="32"/>
          <w:szCs w:val="32"/>
          <w:lang w:val="en-US" w:eastAsia="zh-CN" w:bidi="ar-SA"/>
        </w:rPr>
        <w:t>，2022年9月财政拨款14.66万元，收到财政拨款后我单位及时按照付款流程向施工方付款</w:t>
      </w:r>
      <w:r>
        <w:rPr>
          <w:rFonts w:hint="eastAsia" w:ascii="仿宋_GB2312" w:hAnsi="Times New Roman" w:eastAsia="仿宋_GB2312" w:cs="Times New Roman"/>
          <w:kern w:val="2"/>
          <w:sz w:val="32"/>
          <w:szCs w:val="32"/>
          <w:lang w:val="en-US" w:eastAsia="zh-CN" w:bidi="ar-SA"/>
        </w:rPr>
        <w:t>。支付依据合规合法，资金支付与预算相符。</w:t>
      </w:r>
    </w:p>
    <w:p>
      <w:pPr>
        <w:numPr>
          <w:ilvl w:val="0"/>
          <w:numId w:val="8"/>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实施情况（项目完成情况）</w:t>
      </w:r>
    </w:p>
    <w:p>
      <w:pPr>
        <w:pStyle w:val="7"/>
        <w:keepNext w:val="0"/>
        <w:keepLines w:val="0"/>
        <w:pageBreakBefore w:val="0"/>
        <w:widowControl w:val="0"/>
        <w:kinsoku/>
        <w:wordWrap/>
        <w:overflowPunct/>
        <w:topLinePunct w:val="0"/>
        <w:autoSpaceDE/>
        <w:autoSpaceDN/>
        <w:bidi w:val="0"/>
        <w:spacing w:line="640" w:lineRule="exact"/>
        <w:ind w:firstLine="627" w:firstLineChars="196"/>
        <w:textAlignment w:val="auto"/>
        <w:rPr>
          <w:rFonts w:hint="default" w:ascii="仿宋_GB2312" w:hAnsi="Times New Roman" w:eastAsia="仿宋_GB2312" w:cs="Times New Roman"/>
          <w:kern w:val="2"/>
          <w:sz w:val="32"/>
          <w:szCs w:val="32"/>
          <w:lang w:val="en-US" w:eastAsia="zh-CN" w:bidi="ar-SA"/>
        </w:rPr>
      </w:pPr>
      <w:r>
        <w:rPr>
          <w:rFonts w:hint="eastAsia" w:ascii="仿宋_GB2312" w:eastAsia="仿宋_GB2312"/>
          <w:sz w:val="32"/>
          <w:szCs w:val="32"/>
          <w:lang w:val="en-US" w:eastAsia="zh-CN"/>
        </w:rPr>
        <w:t>对</w:t>
      </w:r>
      <w:r>
        <w:rPr>
          <w:rFonts w:hint="eastAsia" w:ascii="仿宋_GB2312" w:eastAsia="仿宋_GB2312"/>
          <w:sz w:val="32"/>
          <w:szCs w:val="32"/>
        </w:rPr>
        <w:t>陈毅故居天池大道路口的部分信号灯杆、电箱、高杆灯、标志标线、反光标识等设施设备进行优化整改</w:t>
      </w:r>
      <w:r>
        <w:rPr>
          <w:rFonts w:hint="eastAsia" w:ascii="仿宋_GB2312" w:eastAsia="仿宋_GB2312"/>
          <w:sz w:val="32"/>
          <w:szCs w:val="32"/>
          <w:lang w:eastAsia="zh-CN"/>
        </w:rPr>
        <w:t>；</w:t>
      </w:r>
      <w:r>
        <w:rPr>
          <w:rFonts w:hint="eastAsia" w:ascii="仿宋_GB2312" w:eastAsia="仿宋_GB2312"/>
          <w:sz w:val="32"/>
          <w:szCs w:val="32"/>
        </w:rPr>
        <w:t>拟在文峰大道、天池大道沿线安置房及新人民法院外增设斑马线及二次过街等候区标线，在帅乡大道现有斑马线上增设二次等候区标线，共计600平方</w:t>
      </w:r>
      <w:r>
        <w:rPr>
          <w:rFonts w:hint="eastAsia" w:ascii="仿宋_GB2312" w:eastAsia="仿宋_GB2312"/>
          <w:sz w:val="32"/>
          <w:szCs w:val="32"/>
          <w:lang w:eastAsia="zh-CN"/>
        </w:rPr>
        <w:t>；</w:t>
      </w:r>
      <w:r>
        <w:rPr>
          <w:rFonts w:hint="eastAsia" w:ascii="仿宋_GB2312" w:eastAsia="仿宋_GB2312"/>
          <w:sz w:val="32"/>
          <w:szCs w:val="32"/>
        </w:rPr>
        <w:t>拟</w:t>
      </w:r>
      <w:r>
        <w:rPr>
          <w:rFonts w:hint="eastAsia" w:ascii="仿宋_GB2312" w:eastAsia="仿宋_GB2312"/>
          <w:sz w:val="32"/>
          <w:szCs w:val="32"/>
          <w:lang w:val="en-US" w:eastAsia="zh-CN"/>
        </w:rPr>
        <w:t>在</w:t>
      </w:r>
      <w:r>
        <w:rPr>
          <w:rFonts w:hint="eastAsia" w:ascii="仿宋_GB2312" w:eastAsia="仿宋_GB2312"/>
          <w:sz w:val="32"/>
          <w:szCs w:val="32"/>
        </w:rPr>
        <w:t>老县医院门口人行道、城东小学八一小区名景路加装简易人行隔离护栏149米</w:t>
      </w:r>
      <w:r>
        <w:rPr>
          <w:rFonts w:hint="eastAsia" w:ascii="仿宋_GB2312" w:eastAsia="仿宋_GB2312" w:cs="Times New Roman"/>
          <w:kern w:val="2"/>
          <w:sz w:val="32"/>
          <w:szCs w:val="32"/>
          <w:lang w:val="en-US" w:eastAsia="zh-CN" w:bidi="ar-SA"/>
        </w:rPr>
        <w:t>。该项目按照合同约定完工并完成项目验收工作，在给付</w:t>
      </w:r>
      <w:r>
        <w:rPr>
          <w:rFonts w:hint="eastAsia" w:ascii="仿宋_GB2312" w:hAnsi="Times New Roman" w:eastAsia="仿宋_GB2312" w:cs="Times New Roman"/>
          <w:kern w:val="2"/>
          <w:sz w:val="32"/>
          <w:szCs w:val="32"/>
          <w:lang w:val="en-US" w:eastAsia="zh-CN" w:bidi="ar-SA"/>
        </w:rPr>
        <w:t>该项目资金</w:t>
      </w:r>
      <w:r>
        <w:rPr>
          <w:rFonts w:hint="eastAsia" w:ascii="仿宋_GB2312" w:eastAsia="仿宋_GB2312" w:cs="Times New Roman"/>
          <w:kern w:val="2"/>
          <w:sz w:val="32"/>
          <w:szCs w:val="32"/>
          <w:lang w:val="en-US" w:eastAsia="zh-CN" w:bidi="ar-SA"/>
        </w:rPr>
        <w:t>时，按照专款专用原则使用，</w:t>
      </w:r>
      <w:r>
        <w:rPr>
          <w:rFonts w:hint="eastAsia" w:ascii="仿宋_GB2312" w:hAnsi="Times New Roman" w:eastAsia="仿宋_GB2312" w:cs="Times New Roman"/>
          <w:kern w:val="2"/>
          <w:sz w:val="32"/>
          <w:szCs w:val="32"/>
          <w:lang w:val="en-US" w:eastAsia="zh-CN" w:bidi="ar-SA"/>
        </w:rPr>
        <w:t>符合资金管理办法等相关规定。</w:t>
      </w:r>
    </w:p>
    <w:p>
      <w:pPr>
        <w:numPr>
          <w:ilvl w:val="0"/>
          <w:numId w:val="8"/>
        </w:numPr>
        <w:spacing w:line="580" w:lineRule="exact"/>
        <w:ind w:left="0" w:leftChars="0" w:firstLine="640" w:firstLineChars="200"/>
        <w:rPr>
          <w:rFonts w:hint="eastAsia" w:eastAsia="方正仿宋简体"/>
          <w:sz w:val="32"/>
          <w:szCs w:val="32"/>
        </w:rPr>
      </w:pPr>
      <w:r>
        <w:rPr>
          <w:rFonts w:hint="eastAsia" w:eastAsia="方正仿宋简体"/>
          <w:sz w:val="32"/>
          <w:szCs w:val="32"/>
        </w:rPr>
        <w:t>组织及管理</w:t>
      </w:r>
    </w:p>
    <w:p>
      <w:pPr>
        <w:spacing w:line="600" w:lineRule="exact"/>
        <w:ind w:firstLine="640" w:firstLineChars="200"/>
        <w:rPr>
          <w:rFonts w:hint="default" w:eastAsia="仿宋_GB2312"/>
          <w:sz w:val="32"/>
          <w:szCs w:val="32"/>
          <w:lang w:val="en-US" w:eastAsia="zh-CN"/>
        </w:rPr>
      </w:pPr>
      <w:r>
        <w:rPr>
          <w:rFonts w:hint="eastAsia" w:ascii="仿宋_GB2312" w:eastAsia="仿宋_GB2312"/>
          <w:sz w:val="32"/>
          <w:szCs w:val="32"/>
        </w:rPr>
        <w:t>2021年3月18日下午，江应登常委在陈毅故居天池大道路口召集相关部门现场办公议定由交警大队负责对该路口的部分信号灯杆、电箱、高杆灯、标志标线、反光标识等设施设备进行优化整改,进一步消除安全隐患。</w:t>
      </w:r>
      <w:r>
        <w:rPr>
          <w:rFonts w:hint="eastAsia" w:ascii="仿宋_GB2312" w:eastAsia="仿宋_GB2312"/>
          <w:sz w:val="32"/>
          <w:szCs w:val="32"/>
          <w:lang w:val="en-US" w:eastAsia="zh-CN"/>
        </w:rPr>
        <w:t>以及</w:t>
      </w:r>
      <w:r>
        <w:rPr>
          <w:rFonts w:hint="eastAsia" w:ascii="仿宋_GB2312" w:eastAsia="仿宋_GB2312"/>
          <w:sz w:val="32"/>
          <w:szCs w:val="32"/>
        </w:rPr>
        <w:t>根据2021年县人大代表建议和政协委员提案及交通安全管理需要，交警大队负责</w:t>
      </w:r>
      <w:r>
        <w:rPr>
          <w:rFonts w:hint="eastAsia" w:ascii="仿宋_GB2312" w:eastAsia="仿宋_GB2312"/>
          <w:sz w:val="32"/>
          <w:szCs w:val="32"/>
          <w:lang w:val="en-US" w:eastAsia="zh-CN"/>
        </w:rPr>
        <w:t>上述项目的组织实施。</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eastAsia" w:eastAsia="方正仿宋简体"/>
          <w:sz w:val="32"/>
          <w:szCs w:val="32"/>
        </w:rPr>
      </w:pPr>
      <w:r>
        <w:rPr>
          <w:rFonts w:hint="eastAsia" w:eastAsia="方正仿宋简体"/>
          <w:sz w:val="32"/>
          <w:szCs w:val="32"/>
        </w:rPr>
        <w:t>绩效目标分别表述绩效总目标和具体绩效目标，具体绩效目标为具体量化的产出目标结果目标。</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ascii="仿宋_GB2312" w:hAnsi="Calibri" w:eastAsia="仿宋_GB2312" w:cs="Times New Roman"/>
          <w:kern w:val="2"/>
          <w:sz w:val="32"/>
          <w:szCs w:val="32"/>
          <w:lang w:val="zh-CN" w:eastAsia="zh-CN" w:bidi="ar-SA"/>
        </w:rPr>
      </w:pPr>
      <w:r>
        <w:rPr>
          <w:rFonts w:hint="eastAsia" w:ascii="仿宋_GB2312" w:hAnsi="Calibri" w:eastAsia="仿宋_GB2312" w:cs="Times New Roman"/>
          <w:kern w:val="2"/>
          <w:sz w:val="32"/>
          <w:szCs w:val="32"/>
          <w:lang w:val="en-US" w:eastAsia="zh-CN" w:bidi="ar-SA"/>
        </w:rPr>
        <w:t>该项目通过</w:t>
      </w:r>
      <w:r>
        <w:rPr>
          <w:rFonts w:hint="eastAsia" w:ascii="仿宋_GB2312" w:eastAsia="仿宋_GB2312"/>
          <w:sz w:val="32"/>
          <w:szCs w:val="32"/>
          <w:lang w:val="en-US" w:eastAsia="zh-CN"/>
        </w:rPr>
        <w:t>对</w:t>
      </w:r>
      <w:r>
        <w:rPr>
          <w:rFonts w:hint="eastAsia" w:ascii="仿宋_GB2312" w:eastAsia="仿宋_GB2312"/>
          <w:sz w:val="32"/>
          <w:szCs w:val="32"/>
        </w:rPr>
        <w:t>陈毅故居天池大道路口的部分信号灯杆、电箱、高杆灯、标志标线、反光标识等设施设备进行优化整改</w:t>
      </w:r>
      <w:r>
        <w:rPr>
          <w:rFonts w:hint="eastAsia" w:ascii="仿宋_GB2312" w:eastAsia="仿宋_GB2312"/>
          <w:sz w:val="32"/>
          <w:szCs w:val="32"/>
          <w:lang w:eastAsia="zh-CN"/>
        </w:rPr>
        <w:t>；</w:t>
      </w:r>
      <w:r>
        <w:rPr>
          <w:rFonts w:hint="eastAsia" w:ascii="仿宋_GB2312" w:eastAsia="仿宋_GB2312"/>
          <w:sz w:val="32"/>
          <w:szCs w:val="32"/>
        </w:rPr>
        <w:t>在文峰大道、天池大道沿线安置房及新人民法院外增设斑马线及二次过街等候区标线，在帅乡大道现有斑马线上增设二次等候区标线，共计600平方</w:t>
      </w:r>
      <w:r>
        <w:rPr>
          <w:rFonts w:hint="eastAsia" w:ascii="仿宋_GB2312" w:eastAsia="仿宋_GB2312"/>
          <w:sz w:val="32"/>
          <w:szCs w:val="32"/>
          <w:lang w:eastAsia="zh-CN"/>
        </w:rPr>
        <w:t>；</w:t>
      </w:r>
      <w:r>
        <w:rPr>
          <w:rFonts w:hint="eastAsia" w:ascii="仿宋_GB2312" w:eastAsia="仿宋_GB2312"/>
          <w:sz w:val="32"/>
          <w:szCs w:val="32"/>
          <w:lang w:val="en-US" w:eastAsia="zh-CN"/>
        </w:rPr>
        <w:t>在</w:t>
      </w:r>
      <w:r>
        <w:rPr>
          <w:rFonts w:hint="eastAsia" w:ascii="仿宋_GB2312" w:eastAsia="仿宋_GB2312"/>
          <w:sz w:val="32"/>
          <w:szCs w:val="32"/>
        </w:rPr>
        <w:t>老县医院门口人行道、城东小学八一小区名景路加装简易人行隔离护栏149米</w:t>
      </w:r>
      <w:r>
        <w:rPr>
          <w:rFonts w:hint="eastAsia" w:ascii="仿宋_GB2312" w:hAnsi="Calibri" w:eastAsia="仿宋_GB2312" w:cs="Times New Roman"/>
          <w:kern w:val="2"/>
          <w:sz w:val="32"/>
          <w:szCs w:val="32"/>
          <w:lang w:val="en-US" w:eastAsia="zh-CN" w:bidi="ar-SA"/>
        </w:rPr>
        <w:t>后，辖区人车混行、机动车随意掉头、行人横穿马路、驾驶员不礼让斑马线行人等违法行为明显减少，辖区</w:t>
      </w:r>
      <w:r>
        <w:rPr>
          <w:rFonts w:hint="eastAsia" w:ascii="仿宋_GB2312" w:hAnsi="Calibri" w:eastAsia="仿宋_GB2312" w:cs="Times New Roman"/>
          <w:kern w:val="2"/>
          <w:sz w:val="32"/>
          <w:szCs w:val="32"/>
          <w:lang w:val="zh-CN" w:eastAsia="zh-CN" w:bidi="ar-SA"/>
        </w:rPr>
        <w:t>交通秩序得到有效改善，过往车辆和行人各行其道，有效减少了</w:t>
      </w:r>
      <w:r>
        <w:rPr>
          <w:rFonts w:hint="eastAsia" w:ascii="仿宋_GB2312" w:hAnsi="Calibri" w:eastAsia="仿宋_GB2312" w:cs="Times New Roman"/>
          <w:kern w:val="2"/>
          <w:sz w:val="32"/>
          <w:szCs w:val="32"/>
          <w:lang w:val="en-US" w:eastAsia="zh-CN" w:bidi="ar-SA"/>
        </w:rPr>
        <w:t>道路</w:t>
      </w:r>
      <w:r>
        <w:rPr>
          <w:rFonts w:hint="eastAsia" w:ascii="仿宋_GB2312" w:hAnsi="Calibri" w:eastAsia="仿宋_GB2312" w:cs="Times New Roman"/>
          <w:kern w:val="2"/>
          <w:sz w:val="32"/>
          <w:szCs w:val="32"/>
          <w:lang w:val="zh-CN" w:eastAsia="zh-CN" w:bidi="ar-SA"/>
        </w:rPr>
        <w:t>交通事故发生。</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eastAsia="方正楷体简体"/>
          <w:b/>
          <w:sz w:val="32"/>
          <w:szCs w:val="32"/>
        </w:rPr>
      </w:pPr>
      <w:r>
        <w:rPr>
          <w:rFonts w:hint="eastAsia" w:ascii="仿宋_GB2312" w:hAnsi="Calibri" w:eastAsia="仿宋_GB2312" w:cs="Times New Roman"/>
          <w:kern w:val="2"/>
          <w:sz w:val="32"/>
          <w:szCs w:val="32"/>
          <w:lang w:val="en-US" w:eastAsia="zh-CN" w:bidi="ar-SA"/>
        </w:rPr>
        <w:t>大队成立以大队长毛奎任组长，教导员倪小刚、副大队长吴成林、李韦兵、唐鹤镭为副组长，各部门负责人为成员的绩效评价领导小组。下设办公室，教导员倪小刚负责组织工作具体实施。</w:t>
      </w:r>
    </w:p>
    <w:p>
      <w:pPr>
        <w:numPr>
          <w:ilvl w:val="0"/>
          <w:numId w:val="9"/>
        </w:numPr>
        <w:spacing w:line="580" w:lineRule="exact"/>
        <w:ind w:firstLine="643" w:firstLineChars="200"/>
        <w:rPr>
          <w:rFonts w:hint="eastAsia" w:eastAsia="方正楷体简体"/>
          <w:b/>
          <w:sz w:val="32"/>
          <w:szCs w:val="32"/>
        </w:rPr>
      </w:pPr>
      <w:r>
        <w:rPr>
          <w:rFonts w:hint="eastAsia" w:eastAsia="方正楷体简体"/>
          <w:b/>
          <w:sz w:val="32"/>
          <w:szCs w:val="32"/>
        </w:rPr>
        <w:t>自评方式、方法、重点等</w:t>
      </w:r>
    </w:p>
    <w:p>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eastAsia="方正楷体简体"/>
          <w:b/>
          <w:sz w:val="32"/>
          <w:szCs w:val="32"/>
        </w:rPr>
      </w:pPr>
      <w:r>
        <w:rPr>
          <w:rFonts w:hint="eastAsia" w:ascii="仿宋_GB2312" w:hAnsi="Calibri" w:eastAsia="仿宋_GB2312" w:cs="Times New Roman"/>
          <w:kern w:val="2"/>
          <w:sz w:val="32"/>
          <w:szCs w:val="32"/>
          <w:lang w:val="en-US" w:eastAsia="zh-CN" w:bidi="ar-SA"/>
        </w:rPr>
        <w:t>本单位采取单位自评的方法对2022年所有纳入政府财政性支出的所有资金进行评价，重点侧重于对项目支出进行评价。</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eastAsia="方正仿宋简体"/>
        </w:rPr>
      </w:pPr>
      <w:r>
        <w:rPr>
          <w:rFonts w:hint="eastAsia" w:eastAsia="方正仿宋简体"/>
          <w:sz w:val="32"/>
          <w:szCs w:val="32"/>
          <w:lang w:val="en-US" w:eastAsia="zh-CN"/>
        </w:rPr>
        <w:t xml:space="preserve"> </w:t>
      </w:r>
      <w:r>
        <w:rPr>
          <w:rFonts w:hint="eastAsia" w:ascii="仿宋_GB2312" w:eastAsia="仿宋_GB2312"/>
          <w:b w:val="0"/>
          <w:bCs/>
          <w:sz w:val="32"/>
          <w:szCs w:val="32"/>
        </w:rPr>
        <w:t>20</w:t>
      </w:r>
      <w:r>
        <w:rPr>
          <w:rFonts w:hint="eastAsia" w:ascii="仿宋_GB2312"/>
          <w:b w:val="0"/>
          <w:bCs/>
          <w:sz w:val="32"/>
          <w:szCs w:val="32"/>
          <w:lang w:val="en-US" w:eastAsia="zh-CN"/>
        </w:rPr>
        <w:t>22年</w:t>
      </w:r>
      <w:r>
        <w:rPr>
          <w:rFonts w:hint="eastAsia" w:ascii="仿宋_GB2312" w:eastAsia="仿宋_GB2312"/>
          <w:b w:val="0"/>
          <w:bCs/>
          <w:sz w:val="32"/>
          <w:szCs w:val="32"/>
        </w:rPr>
        <w:t>，大队严格遵循“统筹兼顾、勤俭节约、量力而行、讲求绩效和收支平衡”的原则，以及《预算管理办法》</w:t>
      </w:r>
      <w:r>
        <w:rPr>
          <w:rFonts w:hint="eastAsia" w:ascii="仿宋_GB2312"/>
          <w:b w:val="0"/>
          <w:bCs/>
          <w:sz w:val="32"/>
          <w:szCs w:val="32"/>
          <w:lang w:eastAsia="zh-CN"/>
        </w:rPr>
        <w:t>、</w:t>
      </w:r>
      <w:r>
        <w:rPr>
          <w:rFonts w:hint="eastAsia" w:ascii="仿宋_GB2312"/>
          <w:b w:val="0"/>
          <w:bCs/>
          <w:sz w:val="32"/>
          <w:szCs w:val="32"/>
          <w:lang w:val="en-US" w:eastAsia="zh-CN"/>
        </w:rPr>
        <w:t>政府采购</w:t>
      </w:r>
      <w:r>
        <w:rPr>
          <w:rFonts w:hint="eastAsia" w:ascii="仿宋_GB2312" w:eastAsia="仿宋_GB2312"/>
          <w:b w:val="0"/>
          <w:bCs/>
          <w:sz w:val="32"/>
          <w:szCs w:val="32"/>
        </w:rPr>
        <w:t>等相关制度规定严格执行单位</w:t>
      </w:r>
      <w:r>
        <w:rPr>
          <w:rFonts w:hint="eastAsia" w:ascii="仿宋_GB2312"/>
          <w:b w:val="0"/>
          <w:bCs/>
          <w:sz w:val="32"/>
          <w:szCs w:val="32"/>
          <w:lang w:val="en-US" w:eastAsia="zh-CN"/>
        </w:rPr>
        <w:t>采购</w:t>
      </w:r>
      <w:r>
        <w:rPr>
          <w:rFonts w:hint="eastAsia" w:ascii="仿宋_GB2312" w:eastAsia="仿宋_GB2312"/>
          <w:b w:val="0"/>
          <w:bCs/>
          <w:sz w:val="32"/>
          <w:szCs w:val="32"/>
        </w:rPr>
        <w:t>预算，</w:t>
      </w:r>
      <w:r>
        <w:rPr>
          <w:rFonts w:hint="eastAsia" w:ascii="仿宋_GB2312"/>
          <w:b w:val="0"/>
          <w:bCs/>
          <w:sz w:val="32"/>
          <w:szCs w:val="32"/>
          <w:lang w:val="en-US" w:eastAsia="zh-CN"/>
        </w:rPr>
        <w:t>严格执行专款专用，未发生截留、占用项目资金的情况</w:t>
      </w:r>
      <w:r>
        <w:rPr>
          <w:rFonts w:hint="eastAsia" w:ascii="仿宋_GB2312" w:eastAsia="仿宋_GB2312"/>
          <w:b w:val="0"/>
          <w:bCs/>
          <w:sz w:val="32"/>
          <w:szCs w:val="32"/>
        </w:rPr>
        <w:t>。</w:t>
      </w:r>
      <w:r>
        <w:rPr>
          <w:rFonts w:hint="eastAsia" w:ascii="仿宋_GB2312"/>
          <w:b w:val="0"/>
          <w:bCs/>
          <w:sz w:val="32"/>
          <w:szCs w:val="32"/>
          <w:lang w:val="en-US" w:eastAsia="zh-CN"/>
        </w:rPr>
        <w:t>本年度本单位《部门整体支出绩效自评计分表》评分为82.7分，依据乐财规〔2021〕1号规定确定绩效等级：中。</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hint="eastAsia" w:eastAsia="方正仿宋简体"/>
          <w:sz w:val="32"/>
          <w:szCs w:val="32"/>
        </w:rPr>
      </w:pPr>
      <w:r>
        <w:rPr>
          <w:rFonts w:hint="eastAsia" w:eastAsia="方正仿宋简体"/>
          <w:sz w:val="32"/>
          <w:szCs w:val="32"/>
        </w:rPr>
        <w:t>对照项目实施情况，对各评价指标目标值与实际值的差异程度及产生原因进行分析。</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在职人员控制率（5分）扣1分，因为本单位在编实有数为13人，但实际民警28人（另外编制在县公安局），辅警及临聘人员90人，经费开支都在本单位，所以以“部门（单位）本年度实际在职人员数与编制数的比率”测算不太符合实际。</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二是项目的重大开支是否经过评估论证；（0.2分），扣0.2分。</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三是管理制度健全性（2分）扣0.5分，财务管理工作是一项常态化工作，财经秩序要求与时俱进，财政制度要求也应跟上步伐，但因单位小看，有时制度制定的及时性上存在滞后和不够健全完善的地方。</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四是资产管理安全性（2分）中资产配置合理性和覆盖性不足，因为地方财力有限，有些装备只能将就用，该项扣0.4分。</w:t>
      </w:r>
    </w:p>
    <w:p>
      <w:pPr>
        <w:pStyle w:val="2"/>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是完成及时率（4分）扣1分，质量达标率（8分）和重点工作办结率（10分）各扣2分，因为当年计划数大于实际完成数，因地方财力有限，有些项目早已完成验收，但因财力得不到及时保障，故有些重点工作的完成率不高。</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六是经济效益（5分）和生态效益（5分）各扣2分，因为本单位该项指标不适用。</w:t>
      </w:r>
    </w:p>
    <w:p>
      <w:pPr>
        <w:spacing w:line="58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七是社会公众或服务对象满意度（5分）扣1分，人民群众对道路交通环境的要求越来越高，现有财力和警力暂时无法完全满足人民群众的需求。</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三是项目的重大开支是否经过评估论证；（0.2分），扣0.2分。</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四是管理制度健全性（2分）扣0.5分，财务管理工作是一项常态化工作，财经秩序要求与时俱进，财政制度要求也应跟上步伐，但因单位小看，有时制度制定的及时性上存在滞后和不够健全完善的地方。</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五是资产管理安全性（2分）中资产配置合理性和覆盖性不足，因为地方财力有限，有些装备只能将就用，该项扣0.4分。</w:t>
      </w:r>
    </w:p>
    <w:p>
      <w:pPr>
        <w:pStyle w:val="2"/>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是完成及时率（4分）扣1分，质量达标率（8分）和重点工作办结率（10分）各扣2分，因为当年计划数大于实际完成数，因地方财力有限，有些项目早已完成验收，但因财力得不到及时保障，故有些重点工作的完成率不高。</w:t>
      </w:r>
    </w:p>
    <w:p>
      <w:pPr>
        <w:pStyle w:val="2"/>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七是经济效益（5分）和生态效益（5分）各扣2分，因为本单位该项指标不适用。</w:t>
      </w:r>
    </w:p>
    <w:p>
      <w:pPr>
        <w:spacing w:line="580" w:lineRule="exact"/>
        <w:ind w:firstLine="640" w:firstLineChars="200"/>
        <w:rPr>
          <w:rFonts w:eastAsia="方正仿宋简体"/>
          <w:sz w:val="32"/>
          <w:szCs w:val="32"/>
        </w:rPr>
      </w:pPr>
      <w:r>
        <w:rPr>
          <w:rFonts w:hint="eastAsia" w:ascii="仿宋_GB2312" w:hAnsi="仿宋_GB2312" w:eastAsia="仿宋_GB2312" w:cs="仿宋_GB2312"/>
          <w:kern w:val="2"/>
          <w:sz w:val="32"/>
          <w:szCs w:val="32"/>
          <w:lang w:val="en-US" w:eastAsia="zh-CN" w:bidi="ar-SA"/>
        </w:rPr>
        <w:t>八是社会公众或服务对象满意度（5分）扣1分，人民群众对道路交通环境的要求越来越高，现有财力和警力暂时无法完全满足人民群众的需求。</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pStyle w:val="7"/>
        <w:keepNext w:val="0"/>
        <w:keepLines w:val="0"/>
        <w:pageBreakBefore w:val="0"/>
        <w:widowControl w:val="0"/>
        <w:kinsoku/>
        <w:wordWrap/>
        <w:overflowPunct/>
        <w:topLinePunct w:val="0"/>
        <w:autoSpaceDE/>
        <w:autoSpaceDN/>
        <w:bidi w:val="0"/>
        <w:spacing w:line="640" w:lineRule="exact"/>
        <w:ind w:firstLine="630" w:firstLineChars="196"/>
        <w:textAlignment w:val="auto"/>
        <w:rPr>
          <w:rFonts w:hint="eastAsia" w:eastAsia="方正楷体简体"/>
          <w:b/>
          <w:sz w:val="32"/>
          <w:szCs w:val="32"/>
        </w:rPr>
      </w:pPr>
      <w:r>
        <w:rPr>
          <w:rFonts w:hint="eastAsia" w:eastAsia="方正楷体简体"/>
          <w:b/>
          <w:sz w:val="32"/>
          <w:szCs w:val="32"/>
        </w:rPr>
        <w:t>（一）主要经验及做法</w:t>
      </w:r>
    </w:p>
    <w:p>
      <w:pPr>
        <w:pStyle w:val="7"/>
        <w:keepNext w:val="0"/>
        <w:keepLines w:val="0"/>
        <w:pageBreakBefore w:val="0"/>
        <w:widowControl w:val="0"/>
        <w:kinsoku/>
        <w:wordWrap/>
        <w:overflowPunct/>
        <w:topLinePunct w:val="0"/>
        <w:autoSpaceDE/>
        <w:autoSpaceDN/>
        <w:bidi w:val="0"/>
        <w:spacing w:line="640" w:lineRule="exact"/>
        <w:ind w:firstLine="627" w:firstLineChars="196"/>
        <w:textAlignment w:val="auto"/>
        <w:rPr>
          <w:rFonts w:eastAsia="方正楷体简体"/>
          <w:b/>
          <w:sz w:val="32"/>
          <w:szCs w:val="32"/>
        </w:rPr>
      </w:pPr>
      <w:r>
        <w:rPr>
          <w:rFonts w:hint="eastAsia" w:ascii="仿宋_GB2312" w:eastAsia="仿宋_GB2312"/>
          <w:b w:val="0"/>
          <w:bCs/>
          <w:sz w:val="32"/>
          <w:szCs w:val="32"/>
          <w:lang w:val="en-US" w:eastAsia="zh-CN"/>
        </w:rPr>
        <w:t>一是加强对</w:t>
      </w:r>
      <w:r>
        <w:rPr>
          <w:rFonts w:hint="eastAsia" w:ascii="仿宋_GB2312" w:eastAsia="仿宋_GB2312"/>
          <w:b w:val="0"/>
          <w:bCs/>
          <w:sz w:val="32"/>
          <w:szCs w:val="32"/>
        </w:rPr>
        <w:t>《预算管理办法》</w:t>
      </w:r>
      <w:r>
        <w:rPr>
          <w:rFonts w:hint="eastAsia" w:ascii="仿宋_GB2312"/>
          <w:b w:val="0"/>
          <w:bCs/>
          <w:sz w:val="32"/>
          <w:szCs w:val="32"/>
          <w:lang w:eastAsia="zh-CN"/>
        </w:rPr>
        <w:t>、</w:t>
      </w:r>
      <w:r>
        <w:rPr>
          <w:rFonts w:hint="eastAsia" w:ascii="仿宋_GB2312"/>
          <w:b w:val="0"/>
          <w:bCs/>
          <w:sz w:val="32"/>
          <w:szCs w:val="32"/>
          <w:lang w:val="en-US" w:eastAsia="zh-CN"/>
        </w:rPr>
        <w:t>政府采购</w:t>
      </w:r>
      <w:r>
        <w:rPr>
          <w:rFonts w:hint="eastAsia" w:ascii="仿宋_GB2312" w:eastAsia="仿宋_GB2312"/>
          <w:b w:val="0"/>
          <w:bCs/>
          <w:sz w:val="32"/>
          <w:szCs w:val="32"/>
        </w:rPr>
        <w:t>等相关制度规定</w:t>
      </w:r>
      <w:r>
        <w:rPr>
          <w:rFonts w:hint="eastAsia" w:ascii="仿宋_GB2312" w:eastAsia="仿宋_GB2312"/>
          <w:b w:val="0"/>
          <w:bCs/>
          <w:sz w:val="32"/>
          <w:szCs w:val="32"/>
          <w:lang w:val="en-US" w:eastAsia="zh-CN"/>
        </w:rPr>
        <w:t>的学习，吃透文件精神，并严格执行到位，确保单位决策不偏不倚、不等不靠，严厉杜绝违反财经纪律的事件。二是主动汇报，加大城市管理方面的专业人才引进，确保乐至公安交管工作紧跟新时代公安交管工作发展趋势。</w:t>
      </w:r>
    </w:p>
    <w:p>
      <w:pPr>
        <w:numPr>
          <w:ilvl w:val="0"/>
          <w:numId w:val="0"/>
        </w:numPr>
        <w:spacing w:line="580" w:lineRule="exact"/>
        <w:ind w:leftChars="200" w:firstLine="321" w:firstLineChars="100"/>
        <w:rPr>
          <w:rFonts w:hint="eastAsia" w:eastAsia="方正楷体简体"/>
          <w:b/>
          <w:sz w:val="32"/>
          <w:szCs w:val="32"/>
        </w:rPr>
      </w:pPr>
      <w:r>
        <w:rPr>
          <w:rFonts w:hint="eastAsia" w:eastAsia="方正楷体简体"/>
          <w:b/>
          <w:sz w:val="32"/>
          <w:szCs w:val="32"/>
          <w:lang w:val="en-US" w:eastAsia="zh-CN"/>
        </w:rPr>
        <w:t>(二）</w:t>
      </w:r>
      <w:r>
        <w:rPr>
          <w:rFonts w:hint="eastAsia" w:eastAsia="方正楷体简体"/>
          <w:b/>
          <w:sz w:val="32"/>
          <w:szCs w:val="32"/>
        </w:rPr>
        <w:t>存在的问题</w:t>
      </w:r>
    </w:p>
    <w:p>
      <w:pPr>
        <w:pStyle w:val="7"/>
        <w:keepNext w:val="0"/>
        <w:keepLines w:val="0"/>
        <w:pageBreakBefore w:val="0"/>
        <w:widowControl w:val="0"/>
        <w:numPr>
          <w:ilvl w:val="0"/>
          <w:numId w:val="0"/>
        </w:numPr>
        <w:kinsoku/>
        <w:wordWrap/>
        <w:overflowPunct/>
        <w:topLinePunct w:val="0"/>
        <w:autoSpaceDE/>
        <w:autoSpaceDN/>
        <w:bidi w:val="0"/>
        <w:spacing w:line="640" w:lineRule="exact"/>
        <w:ind w:firstLine="640" w:firstLineChars="200"/>
        <w:textAlignment w:val="auto"/>
        <w:rPr>
          <w:rFonts w:hint="eastAsia" w:eastAsia="方正楷体简体"/>
          <w:b/>
          <w:sz w:val="32"/>
          <w:szCs w:val="32"/>
        </w:rPr>
      </w:pPr>
      <w:r>
        <w:rPr>
          <w:rFonts w:hint="eastAsia" w:ascii="仿宋_GB2312" w:eastAsia="仿宋_GB2312"/>
          <w:b w:val="0"/>
          <w:bCs/>
          <w:sz w:val="32"/>
          <w:szCs w:val="32"/>
          <w:lang w:val="en-US" w:eastAsia="zh-CN"/>
        </w:rPr>
        <w:t>一是因单位负责项目采购、财务经办人员等多是兼职，除了日常繁重的交管任务，想在学习新事物、新技能方面找突破，往往心有余力不足。二是城市管理方面的专业人才缺失，在红绿灯及电子监控设备、城市信息化建设等专业项目上，因业务知识匮乏，对相关技术参数不能做到胸有成竹，许多时候项目采购只能花钱委托其他单位专业人员做评估，在一定程度上增加了单位经费开支。</w:t>
      </w:r>
    </w:p>
    <w:p>
      <w:pPr>
        <w:numPr>
          <w:ilvl w:val="0"/>
          <w:numId w:val="9"/>
        </w:numPr>
        <w:spacing w:line="580" w:lineRule="exact"/>
        <w:ind w:left="0" w:leftChars="0" w:firstLine="643" w:firstLineChars="200"/>
        <w:rPr>
          <w:rFonts w:hint="eastAsia" w:eastAsia="方正楷体简体"/>
          <w:b/>
          <w:sz w:val="32"/>
          <w:szCs w:val="32"/>
        </w:rPr>
      </w:pPr>
      <w:r>
        <w:rPr>
          <w:rFonts w:hint="eastAsia" w:eastAsia="方正楷体简体"/>
          <w:b/>
          <w:sz w:val="32"/>
          <w:szCs w:val="32"/>
        </w:rPr>
        <w:t>建议和改进措施</w:t>
      </w:r>
    </w:p>
    <w:p>
      <w:pPr>
        <w:pStyle w:val="7"/>
        <w:keepNext w:val="0"/>
        <w:keepLines w:val="0"/>
        <w:pageBreakBefore w:val="0"/>
        <w:widowControl w:val="0"/>
        <w:numPr>
          <w:ilvl w:val="0"/>
          <w:numId w:val="0"/>
        </w:numPr>
        <w:kinsoku/>
        <w:wordWrap/>
        <w:overflowPunct/>
        <w:topLinePunct w:val="0"/>
        <w:autoSpaceDE/>
        <w:autoSpaceDN/>
        <w:bidi w:val="0"/>
        <w:spacing w:line="640" w:lineRule="exact"/>
        <w:ind w:firstLine="640" w:firstLineChars="200"/>
        <w:textAlignment w:val="auto"/>
        <w:rPr>
          <w:rFonts w:hint="eastAsia" w:ascii="仿宋_GB2312" w:eastAsia="仿宋_GB2312"/>
          <w:b w:val="0"/>
          <w:bCs/>
          <w:sz w:val="32"/>
          <w:szCs w:val="32"/>
          <w:lang w:val="en-US" w:eastAsia="zh-CN"/>
        </w:rPr>
      </w:pPr>
      <w:r>
        <w:rPr>
          <w:rFonts w:hint="eastAsia" w:ascii="仿宋_GB2312" w:eastAsia="仿宋_GB2312"/>
          <w:b w:val="0"/>
          <w:bCs/>
          <w:sz w:val="32"/>
          <w:szCs w:val="32"/>
          <w:lang w:val="en-US" w:eastAsia="zh-CN"/>
        </w:rPr>
        <w:t>一是争取地方财力支持，保障公安交管信息化建设工作提档升级。二是主动汇报，加大信息化、科技化、城市管理智能化方面的专业人才引进，为乐至公安交管工作不断注入新鲜血液，以便迎接公安交管工作新挑战。三是及时补充警力，确保项目决策、项目采购、财务管理、审计验收等重要岗位定岗定责，以满足本单位内控制度建设工作良续发展。</w:t>
      </w:r>
    </w:p>
    <w:p>
      <w:pPr>
        <w:rPr>
          <w:rFonts w:hint="eastAsia" w:ascii="仿宋_GB2312" w:eastAsia="仿宋_GB2312"/>
          <w:b w:val="0"/>
          <w:bCs/>
          <w:sz w:val="32"/>
          <w:szCs w:val="32"/>
          <w:lang w:val="en-US" w:eastAsia="zh-CN"/>
        </w:rPr>
      </w:pPr>
    </w:p>
    <w:p>
      <w:pPr>
        <w:spacing w:line="620" w:lineRule="exact"/>
        <w:jc w:val="left"/>
        <w:rPr>
          <w:rFonts w:hint="eastAsia" w:eastAsia="方正黑体简体"/>
          <w:bCs/>
          <w:kern w:val="0"/>
          <w:sz w:val="32"/>
          <w:szCs w:val="32"/>
        </w:r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4-1</w:t>
      </w:r>
    </w:p>
    <w:p>
      <w:pPr>
        <w:spacing w:line="620" w:lineRule="exact"/>
        <w:jc w:val="center"/>
        <w:rPr>
          <w:rFonts w:eastAsia="方正小标宋简体"/>
          <w:bCs/>
          <w:kern w:val="0"/>
          <w:sz w:val="36"/>
          <w:szCs w:val="36"/>
        </w:rPr>
      </w:pPr>
      <w:r>
        <w:rPr>
          <w:rFonts w:eastAsia="方正小标宋简体"/>
          <w:bCs/>
          <w:kern w:val="0"/>
          <w:sz w:val="36"/>
          <w:szCs w:val="36"/>
        </w:rPr>
        <w:t>202</w:t>
      </w:r>
      <w:r>
        <w:rPr>
          <w:rFonts w:hint="eastAsia" w:eastAsia="方正小标宋简体"/>
          <w:bCs/>
          <w:kern w:val="0"/>
          <w:sz w:val="36"/>
          <w:szCs w:val="36"/>
          <w:lang w:val="en-US" w:eastAsia="zh-CN"/>
        </w:rPr>
        <w:t>2</w:t>
      </w:r>
      <w:r>
        <w:rPr>
          <w:rFonts w:hint="eastAsia" w:eastAsia="方正小标宋简体"/>
          <w:bCs/>
          <w:kern w:val="0"/>
          <w:sz w:val="36"/>
          <w:szCs w:val="36"/>
        </w:rPr>
        <w:t>年度乐至县项目</w:t>
      </w:r>
      <w:r>
        <w:rPr>
          <w:rFonts w:hint="eastAsia" w:eastAsia="方正小标宋简体"/>
          <w:bCs/>
          <w:kern w:val="0"/>
          <w:sz w:val="36"/>
          <w:szCs w:val="36"/>
          <w:lang w:val="en-US" w:eastAsia="zh-CN"/>
        </w:rPr>
        <w:t>整体</w:t>
      </w:r>
      <w:r>
        <w:rPr>
          <w:rFonts w:hint="eastAsia" w:eastAsia="方正小标宋简体"/>
          <w:bCs/>
          <w:kern w:val="0"/>
          <w:sz w:val="36"/>
          <w:szCs w:val="36"/>
        </w:rPr>
        <w:t>支出绩效自评计分表</w:t>
      </w:r>
    </w:p>
    <w:p>
      <w:pPr>
        <w:pStyle w:val="2"/>
      </w:pPr>
    </w:p>
    <w:p>
      <w:pPr>
        <w:spacing w:line="620" w:lineRule="exact"/>
        <w:rPr>
          <w:rFonts w:hint="eastAsia" w:ascii="仿宋_GB2312" w:eastAsia="仿宋_GB2312"/>
          <w:b w:val="0"/>
          <w:bCs/>
          <w:sz w:val="32"/>
          <w:szCs w:val="32"/>
          <w:lang w:val="en-US" w:eastAsia="zh-CN"/>
        </w:rPr>
      </w:pPr>
      <w:r>
        <w:rPr>
          <w:rFonts w:hint="eastAsia"/>
          <w:color w:val="000000"/>
          <w:kern w:val="0"/>
          <w:sz w:val="24"/>
        </w:rPr>
        <w:t>单位名称：</w:t>
      </w:r>
      <w:r>
        <w:rPr>
          <w:rFonts w:hint="eastAsia"/>
          <w:color w:val="000000"/>
          <w:kern w:val="0"/>
          <w:sz w:val="24"/>
          <w:lang w:val="en-US" w:eastAsia="zh-CN"/>
        </w:rPr>
        <w:t xml:space="preserve">乐至县公安局交通警察大队  </w:t>
      </w:r>
      <w:r>
        <w:rPr>
          <w:rFonts w:hint="eastAsia"/>
          <w:color w:val="000000"/>
          <w:kern w:val="0"/>
          <w:sz w:val="24"/>
        </w:rPr>
        <w:t>预算单位编码：</w:t>
      </w:r>
      <w:r>
        <w:rPr>
          <w:rFonts w:hint="eastAsia"/>
          <w:color w:val="000000"/>
          <w:kern w:val="0"/>
          <w:sz w:val="24"/>
          <w:lang w:val="en-US" w:eastAsia="zh-CN"/>
        </w:rPr>
        <w:t>410001</w:t>
      </w:r>
      <w:r>
        <w:rPr>
          <w:color w:val="000000"/>
          <w:kern w:val="0"/>
          <w:sz w:val="24"/>
        </w:rPr>
        <w:t xml:space="preserve">  </w:t>
      </w:r>
      <w:r>
        <w:rPr>
          <w:rFonts w:hint="eastAsia"/>
          <w:color w:val="000000"/>
          <w:kern w:val="0"/>
          <w:sz w:val="24"/>
        </w:rPr>
        <w:t>自评等级：</w:t>
      </w:r>
      <w:r>
        <w:rPr>
          <w:rFonts w:hint="eastAsia"/>
          <w:color w:val="000000"/>
          <w:kern w:val="0"/>
          <w:sz w:val="24"/>
          <w:lang w:val="en-US" w:eastAsia="zh-CN"/>
        </w:rPr>
        <w:t>中</w:t>
      </w:r>
    </w:p>
    <w:tbl>
      <w:tblPr>
        <w:tblStyle w:val="16"/>
        <w:tblW w:w="5129" w:type="pct"/>
        <w:jc w:val="center"/>
        <w:tblLayout w:type="autofit"/>
        <w:tblCellMar>
          <w:top w:w="0" w:type="dxa"/>
          <w:left w:w="28" w:type="dxa"/>
          <w:bottom w:w="0" w:type="dxa"/>
          <w:right w:w="28" w:type="dxa"/>
        </w:tblCellMar>
      </w:tblPr>
      <w:tblGrid>
        <w:gridCol w:w="605"/>
        <w:gridCol w:w="553"/>
        <w:gridCol w:w="982"/>
        <w:gridCol w:w="2109"/>
        <w:gridCol w:w="2767"/>
        <w:gridCol w:w="805"/>
        <w:gridCol w:w="757"/>
      </w:tblGrid>
      <w:tr>
        <w:tblPrEx>
          <w:tblCellMar>
            <w:top w:w="0" w:type="dxa"/>
            <w:left w:w="28" w:type="dxa"/>
            <w:bottom w:w="0" w:type="dxa"/>
            <w:right w:w="28" w:type="dxa"/>
          </w:tblCellMar>
        </w:tblPrEx>
        <w:trPr>
          <w:trHeight w:val="518" w:hRule="atLeast"/>
          <w:tblHeader/>
          <w:jc w:val="center"/>
        </w:trPr>
        <w:tc>
          <w:tcPr>
            <w:tcW w:w="353" w:type="pct"/>
            <w:tcBorders>
              <w:top w:val="single" w:color="auto" w:sz="12" w:space="0"/>
              <w:left w:val="single" w:color="auto" w:sz="12" w:space="0"/>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一级指标</w:t>
            </w:r>
          </w:p>
        </w:tc>
        <w:tc>
          <w:tcPr>
            <w:tcW w:w="322"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二级指标</w:t>
            </w:r>
          </w:p>
        </w:tc>
        <w:tc>
          <w:tcPr>
            <w:tcW w:w="572"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三级指标</w:t>
            </w:r>
          </w:p>
        </w:tc>
        <w:tc>
          <w:tcPr>
            <w:tcW w:w="1229"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指标解释</w:t>
            </w:r>
          </w:p>
        </w:tc>
        <w:tc>
          <w:tcPr>
            <w:tcW w:w="1611"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指标说明</w:t>
            </w:r>
            <w:r>
              <w:rPr>
                <w:rFonts w:eastAsia="方正黑体简体"/>
                <w:szCs w:val="21"/>
              </w:rPr>
              <w:t>(</w:t>
            </w:r>
            <w:r>
              <w:rPr>
                <w:rFonts w:hint="eastAsia" w:eastAsia="方正黑体简体"/>
                <w:szCs w:val="21"/>
              </w:rPr>
              <w:t>评价计分标准）</w:t>
            </w:r>
          </w:p>
        </w:tc>
        <w:tc>
          <w:tcPr>
            <w:tcW w:w="469"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自评</w:t>
            </w:r>
          </w:p>
          <w:p>
            <w:pPr>
              <w:spacing w:line="240" w:lineRule="exact"/>
              <w:jc w:val="center"/>
              <w:rPr>
                <w:rFonts w:eastAsia="方正黑体简体"/>
                <w:szCs w:val="21"/>
              </w:rPr>
            </w:pPr>
            <w:r>
              <w:rPr>
                <w:rFonts w:hint="eastAsia" w:eastAsia="方正黑体简体"/>
                <w:szCs w:val="21"/>
              </w:rPr>
              <w:t>分数</w:t>
            </w:r>
          </w:p>
        </w:tc>
        <w:tc>
          <w:tcPr>
            <w:tcW w:w="441" w:type="pct"/>
            <w:tcBorders>
              <w:top w:val="single" w:color="auto" w:sz="12" w:space="0"/>
              <w:left w:val="nil"/>
              <w:bottom w:val="single" w:color="auto" w:sz="4" w:space="0"/>
              <w:right w:val="single" w:color="auto" w:sz="12" w:space="0"/>
            </w:tcBorders>
            <w:noWrap w:val="0"/>
            <w:vAlign w:val="center"/>
          </w:tcPr>
          <w:p>
            <w:pPr>
              <w:spacing w:line="240" w:lineRule="exact"/>
              <w:jc w:val="center"/>
              <w:rPr>
                <w:rFonts w:eastAsia="方正黑体简体"/>
                <w:szCs w:val="21"/>
              </w:rPr>
            </w:pPr>
            <w:r>
              <w:rPr>
                <w:rFonts w:hint="eastAsia" w:eastAsia="方正黑体简体"/>
                <w:szCs w:val="21"/>
              </w:rPr>
              <w:t>自评</w:t>
            </w:r>
          </w:p>
          <w:p>
            <w:pPr>
              <w:spacing w:line="240" w:lineRule="exact"/>
              <w:jc w:val="center"/>
              <w:rPr>
                <w:rFonts w:eastAsia="方正黑体简体"/>
                <w:szCs w:val="21"/>
              </w:rPr>
            </w:pPr>
            <w:r>
              <w:rPr>
                <w:rFonts w:hint="eastAsia" w:eastAsia="方正黑体简体"/>
                <w:szCs w:val="21"/>
              </w:rPr>
              <w:t>依据及说明</w:t>
            </w:r>
          </w:p>
        </w:tc>
      </w:tr>
      <w:tr>
        <w:tblPrEx>
          <w:tblCellMar>
            <w:top w:w="0" w:type="dxa"/>
            <w:left w:w="28" w:type="dxa"/>
            <w:bottom w:w="0" w:type="dxa"/>
            <w:right w:w="28" w:type="dxa"/>
          </w:tblCellMar>
        </w:tblPrEx>
        <w:trPr>
          <w:trHeight w:val="1330" w:hRule="atLeast"/>
          <w:jc w:val="center"/>
        </w:trPr>
        <w:tc>
          <w:tcPr>
            <w:tcW w:w="353" w:type="pct"/>
            <w:vMerge w:val="restart"/>
            <w:tcBorders>
              <w:top w:val="nil"/>
              <w:left w:val="single" w:color="auto" w:sz="12" w:space="0"/>
              <w:bottom w:val="single" w:color="000000" w:sz="4" w:space="0"/>
              <w:right w:val="single" w:color="auto" w:sz="4" w:space="0"/>
            </w:tcBorders>
            <w:noWrap/>
            <w:textDirection w:val="tbRlV"/>
            <w:vAlign w:val="center"/>
          </w:tcPr>
          <w:p>
            <w:pPr>
              <w:spacing w:line="240" w:lineRule="exact"/>
              <w:jc w:val="center"/>
              <w:rPr>
                <w:szCs w:val="21"/>
              </w:rPr>
            </w:pPr>
            <w:r>
              <w:rPr>
                <w:rFonts w:hint="eastAsia"/>
                <w:szCs w:val="21"/>
              </w:rPr>
              <w:t>投入（</w:t>
            </w:r>
            <w:r>
              <w:rPr>
                <w:szCs w:val="21"/>
              </w:rPr>
              <w:t>20</w:t>
            </w:r>
            <w:r>
              <w:rPr>
                <w:rFonts w:hint="eastAsia"/>
                <w:szCs w:val="21"/>
              </w:rPr>
              <w:t>分）</w:t>
            </w:r>
          </w:p>
        </w:tc>
        <w:tc>
          <w:tcPr>
            <w:tcW w:w="322"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目标设定（</w:t>
            </w:r>
            <w:r>
              <w:rPr>
                <w:szCs w:val="21"/>
              </w:rPr>
              <w:t>5</w:t>
            </w:r>
            <w:r>
              <w:rPr>
                <w:rFonts w:hint="eastAsia"/>
                <w:szCs w:val="21"/>
              </w:rPr>
              <w:t>分）</w:t>
            </w: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绩效目标合理性（</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部门（单位）所设立的整体绩效目标依据是否充分，是否符合客观实际，用以反映和考核部门（单位）整体绩效目标与部门履职、年度工作任务的相符性情况。</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①是否符合国家法律法规、国民经济和社会发展总体规划；</w:t>
            </w:r>
            <w:r>
              <w:rPr>
                <w:szCs w:val="21"/>
              </w:rPr>
              <w:t>(1</w:t>
            </w:r>
            <w:r>
              <w:rPr>
                <w:rFonts w:hint="eastAsia"/>
                <w:szCs w:val="21"/>
              </w:rPr>
              <w:t>分）</w:t>
            </w:r>
          </w:p>
          <w:p>
            <w:pPr>
              <w:spacing w:line="240" w:lineRule="exact"/>
              <w:rPr>
                <w:szCs w:val="21"/>
              </w:rPr>
            </w:pPr>
            <w:r>
              <w:rPr>
                <w:rFonts w:hint="eastAsia"/>
                <w:szCs w:val="21"/>
              </w:rPr>
              <w:t>②是否符合部门“三定”方案确定的职责；（</w:t>
            </w:r>
            <w:r>
              <w:rPr>
                <w:szCs w:val="21"/>
              </w:rPr>
              <w:t>0.5</w:t>
            </w:r>
            <w:r>
              <w:rPr>
                <w:rFonts w:hint="eastAsia"/>
                <w:szCs w:val="21"/>
              </w:rPr>
              <w:t>分）</w:t>
            </w:r>
          </w:p>
          <w:p>
            <w:pPr>
              <w:spacing w:line="240" w:lineRule="exact"/>
              <w:rPr>
                <w:szCs w:val="21"/>
              </w:rPr>
            </w:pPr>
            <w:r>
              <w:rPr>
                <w:rFonts w:hint="eastAsia"/>
                <w:szCs w:val="21"/>
              </w:rPr>
              <w:t>③是否符合部门制定的中长期实施规划。（</w:t>
            </w:r>
            <w:r>
              <w:rPr>
                <w:szCs w:val="21"/>
              </w:rPr>
              <w:t>0.5</w:t>
            </w:r>
            <w:r>
              <w:rPr>
                <w:rFonts w:hint="eastAsia"/>
                <w:szCs w:val="21"/>
              </w:rPr>
              <w:t>分）</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447"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绩效指标明确性（</w:t>
            </w:r>
            <w:r>
              <w:rPr>
                <w:szCs w:val="21"/>
              </w:rPr>
              <w:t>3</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部门（单位）依据整体绩效目标所设定的绩效指标是否清晰、细化、可衡量，用以反映和考核部门（单位）整体绩效目标的明细化情况。</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①是否将部门整体的绩效目标细化分解为具体的工作任务；（</w:t>
            </w:r>
            <w:r>
              <w:rPr>
                <w:szCs w:val="21"/>
              </w:rPr>
              <w:t>1</w:t>
            </w:r>
            <w:r>
              <w:rPr>
                <w:rFonts w:hint="eastAsia"/>
                <w:szCs w:val="21"/>
              </w:rPr>
              <w:t>分）</w:t>
            </w:r>
          </w:p>
          <w:p>
            <w:pPr>
              <w:spacing w:line="240" w:lineRule="exact"/>
              <w:rPr>
                <w:szCs w:val="21"/>
              </w:rPr>
            </w:pPr>
            <w:r>
              <w:rPr>
                <w:rFonts w:hint="eastAsia"/>
                <w:szCs w:val="21"/>
              </w:rPr>
              <w:t>②是否通过清晰、可衡量的指标值予以体现</w:t>
            </w:r>
            <w:r>
              <w:rPr>
                <w:szCs w:val="21"/>
              </w:rPr>
              <w:t>;(0.5</w:t>
            </w:r>
            <w:r>
              <w:rPr>
                <w:rFonts w:hint="eastAsia"/>
                <w:szCs w:val="21"/>
              </w:rPr>
              <w:t>分）</w:t>
            </w:r>
            <w:r>
              <w:rPr>
                <w:szCs w:val="21"/>
              </w:rPr>
              <w:t xml:space="preserve">    </w:t>
            </w:r>
            <w:r>
              <w:rPr>
                <w:rFonts w:hint="eastAsia"/>
                <w:szCs w:val="21"/>
              </w:rPr>
              <w:t>③是否与部门年度的任务数或计划数相对应；（</w:t>
            </w:r>
            <w:r>
              <w:rPr>
                <w:szCs w:val="21"/>
              </w:rPr>
              <w:t>0.5</w:t>
            </w:r>
            <w:r>
              <w:rPr>
                <w:rFonts w:hint="eastAsia"/>
                <w:szCs w:val="21"/>
              </w:rPr>
              <w:t>分）</w:t>
            </w:r>
          </w:p>
          <w:p>
            <w:pPr>
              <w:spacing w:line="240" w:lineRule="exact"/>
              <w:rPr>
                <w:szCs w:val="21"/>
              </w:rPr>
            </w:pPr>
            <w:r>
              <w:rPr>
                <w:rFonts w:hint="eastAsia"/>
                <w:szCs w:val="21"/>
              </w:rPr>
              <w:t>④是否与本年度部门预算资金相匹配。（</w:t>
            </w:r>
            <w:r>
              <w:rPr>
                <w:szCs w:val="21"/>
              </w:rPr>
              <w:t>1</w:t>
            </w:r>
            <w:r>
              <w:rPr>
                <w:rFonts w:hint="eastAsia"/>
                <w:szCs w:val="21"/>
              </w:rPr>
              <w:t>分）</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3</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200"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restart"/>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r>
              <w:rPr>
                <w:rFonts w:hint="eastAsia"/>
                <w:szCs w:val="21"/>
              </w:rPr>
              <w:t>预算配置（</w:t>
            </w:r>
            <w:r>
              <w:rPr>
                <w:szCs w:val="21"/>
              </w:rPr>
              <w:t>15</w:t>
            </w:r>
            <w:r>
              <w:rPr>
                <w:rFonts w:hint="eastAsia"/>
                <w:szCs w:val="21"/>
              </w:rPr>
              <w:t>分）</w:t>
            </w: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在职人员控制率（</w:t>
            </w:r>
            <w:r>
              <w:rPr>
                <w:szCs w:val="21"/>
              </w:rPr>
              <w:t>5</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部门（单位）本年度实际在职人员数与编制数的比率，用以反映和考核部门（单位）对人员成本的控制程度。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在职人员控制率</w:t>
            </w:r>
            <w:r>
              <w:rPr>
                <w:szCs w:val="21"/>
              </w:rPr>
              <w:t>=</w:t>
            </w:r>
            <w:r>
              <w:rPr>
                <w:rFonts w:hint="eastAsia"/>
                <w:szCs w:val="21"/>
              </w:rPr>
              <w:t>（在职人员数</w:t>
            </w:r>
            <w:r>
              <w:rPr>
                <w:szCs w:val="21"/>
              </w:rPr>
              <w:t>/</w:t>
            </w:r>
            <w:r>
              <w:rPr>
                <w:rFonts w:hint="eastAsia"/>
                <w:szCs w:val="21"/>
              </w:rPr>
              <w:t>编制数）×</w:t>
            </w:r>
            <w:r>
              <w:rPr>
                <w:szCs w:val="21"/>
              </w:rPr>
              <w:t>100%</w:t>
            </w:r>
            <w:r>
              <w:rPr>
                <w:rFonts w:hint="eastAsia"/>
                <w:szCs w:val="21"/>
              </w:rPr>
              <w:t>。（小于或等于</w:t>
            </w:r>
            <w:r>
              <w:rPr>
                <w:szCs w:val="21"/>
              </w:rPr>
              <w:t>1</w:t>
            </w:r>
            <w:r>
              <w:rPr>
                <w:rFonts w:hint="eastAsia"/>
                <w:szCs w:val="21"/>
              </w:rPr>
              <w:t>计</w:t>
            </w:r>
            <w:r>
              <w:rPr>
                <w:szCs w:val="21"/>
              </w:rPr>
              <w:t>5</w:t>
            </w:r>
            <w:r>
              <w:rPr>
                <w:rFonts w:hint="eastAsia"/>
                <w:szCs w:val="21"/>
              </w:rPr>
              <w:t>分，否则按比例计分）</w:t>
            </w:r>
          </w:p>
          <w:p>
            <w:pPr>
              <w:spacing w:line="240" w:lineRule="exact"/>
              <w:rPr>
                <w:szCs w:val="21"/>
              </w:rPr>
            </w:pPr>
            <w:r>
              <w:rPr>
                <w:rFonts w:hint="eastAsia"/>
                <w:szCs w:val="21"/>
              </w:rPr>
              <w:t>在职人员数：部门（单位）实际在职人数，以财政部确定的部门决算编制口径为准。</w:t>
            </w:r>
          </w:p>
          <w:p>
            <w:pPr>
              <w:spacing w:line="240" w:lineRule="exact"/>
              <w:rPr>
                <w:szCs w:val="21"/>
              </w:rPr>
            </w:pPr>
            <w:r>
              <w:rPr>
                <w:rFonts w:hint="eastAsia"/>
                <w:szCs w:val="21"/>
              </w:rPr>
              <w:t>编制数：机构编制部门核定批复的部门（单位）的人员编制数。</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lang w:val="en-US" w:eastAsia="zh-CN"/>
              </w:rPr>
            </w:pPr>
            <w:r>
              <w:rPr>
                <w:rFonts w:hint="eastAsia"/>
                <w:lang w:val="en-US" w:eastAsia="zh-CN"/>
              </w:rPr>
              <w:t>4</w:t>
            </w:r>
          </w:p>
          <w:p>
            <w:pPr>
              <w:pStyle w:val="2"/>
              <w:rPr>
                <w:rFonts w:hint="default"/>
                <w:lang w:val="en-US" w:eastAsia="zh-CN"/>
              </w:rPr>
            </w:pPr>
          </w:p>
        </w:tc>
        <w:tc>
          <w:tcPr>
            <w:tcW w:w="441" w:type="pct"/>
            <w:tcBorders>
              <w:top w:val="nil"/>
              <w:left w:val="nil"/>
              <w:bottom w:val="single" w:color="auto" w:sz="4" w:space="0"/>
              <w:right w:val="single" w:color="auto" w:sz="12" w:space="0"/>
            </w:tcBorders>
            <w:noWrap/>
            <w:vAlign w:val="center"/>
          </w:tcPr>
          <w:p>
            <w:pPr>
              <w:spacing w:line="240" w:lineRule="exact"/>
              <w:jc w:val="center"/>
              <w:rPr>
                <w:rFonts w:hint="default" w:eastAsia="宋体"/>
                <w:szCs w:val="21"/>
                <w:lang w:val="en-US" w:eastAsia="zh-CN"/>
              </w:rPr>
            </w:pPr>
          </w:p>
        </w:tc>
      </w:tr>
      <w:tr>
        <w:tblPrEx>
          <w:tblCellMar>
            <w:top w:w="0" w:type="dxa"/>
            <w:left w:w="28" w:type="dxa"/>
            <w:bottom w:w="0" w:type="dxa"/>
            <w:right w:w="28" w:type="dxa"/>
          </w:tblCellMar>
        </w:tblPrEx>
        <w:trPr>
          <w:trHeight w:val="1259"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“三公经费”变动率（</w:t>
            </w:r>
            <w:r>
              <w:rPr>
                <w:szCs w:val="21"/>
              </w:rPr>
              <w:t>5</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部门（单位）本年度“三公经费”预算数与上年度“三公经费”预算数的变动比率，用以反映和考核部门（单位）对控制重点行政成本的努力程度。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“三公经费”变动率</w:t>
            </w:r>
            <w:r>
              <w:rPr>
                <w:szCs w:val="21"/>
              </w:rPr>
              <w:t>=[</w:t>
            </w:r>
            <w:r>
              <w:rPr>
                <w:rFonts w:hint="eastAsia"/>
                <w:szCs w:val="21"/>
              </w:rPr>
              <w:t>（本年度“三公经费”总额</w:t>
            </w:r>
            <w:r>
              <w:rPr>
                <w:szCs w:val="21"/>
              </w:rPr>
              <w:t>-</w:t>
            </w:r>
            <w:r>
              <w:rPr>
                <w:rFonts w:hint="eastAsia"/>
                <w:szCs w:val="21"/>
              </w:rPr>
              <w:t>上年度“三公经费”总额）</w:t>
            </w:r>
            <w:r>
              <w:rPr>
                <w:szCs w:val="21"/>
              </w:rPr>
              <w:t>/</w:t>
            </w:r>
            <w:r>
              <w:rPr>
                <w:rFonts w:hint="eastAsia"/>
                <w:szCs w:val="21"/>
              </w:rPr>
              <w:t>上年度“三公经费”总额</w:t>
            </w:r>
            <w:r>
              <w:rPr>
                <w:szCs w:val="21"/>
              </w:rPr>
              <w:t>]</w:t>
            </w:r>
            <w:r>
              <w:rPr>
                <w:rFonts w:hint="eastAsia"/>
                <w:szCs w:val="21"/>
              </w:rPr>
              <w:t>×</w:t>
            </w:r>
            <w:r>
              <w:rPr>
                <w:szCs w:val="21"/>
              </w:rPr>
              <w:t>100%</w:t>
            </w:r>
            <w:r>
              <w:rPr>
                <w:rFonts w:hint="eastAsia"/>
                <w:szCs w:val="21"/>
              </w:rPr>
              <w:t>。（下降的计</w:t>
            </w:r>
            <w:r>
              <w:rPr>
                <w:szCs w:val="21"/>
              </w:rPr>
              <w:t>5</w:t>
            </w:r>
            <w:r>
              <w:rPr>
                <w:rFonts w:hint="eastAsia"/>
                <w:szCs w:val="21"/>
              </w:rPr>
              <w:t>分，增加的按比例扣减）</w:t>
            </w:r>
          </w:p>
          <w:p>
            <w:pPr>
              <w:spacing w:line="240" w:lineRule="exact"/>
              <w:rPr>
                <w:szCs w:val="21"/>
              </w:rPr>
            </w:pPr>
            <w:r>
              <w:rPr>
                <w:rFonts w:hint="eastAsia"/>
                <w:szCs w:val="21"/>
              </w:rPr>
              <w:t>“三公经费”：年度预算安排的因公出国（境）费、公务车辆购置及运行费和公务招待费。</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5</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534"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重点支出安排率（</w:t>
            </w:r>
            <w:r>
              <w:rPr>
                <w:szCs w:val="21"/>
              </w:rPr>
              <w:t>5</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部门（单位）本年度预算安排的重点项目支出与部门项目总支出的比率，用以反映和考核部门（单位）对履行主要职责或完成重点任务的保障程度。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重点支出安排率</w:t>
            </w:r>
            <w:r>
              <w:rPr>
                <w:szCs w:val="21"/>
              </w:rPr>
              <w:t>=</w:t>
            </w:r>
            <w:r>
              <w:rPr>
                <w:rFonts w:hint="eastAsia"/>
                <w:szCs w:val="21"/>
              </w:rPr>
              <w:t>（重点项目支出</w:t>
            </w:r>
            <w:r>
              <w:rPr>
                <w:szCs w:val="21"/>
              </w:rPr>
              <w:t>/</w:t>
            </w:r>
            <w:r>
              <w:rPr>
                <w:rFonts w:hint="eastAsia"/>
                <w:szCs w:val="21"/>
              </w:rPr>
              <w:t>项目总支出）×</w:t>
            </w:r>
            <w:r>
              <w:rPr>
                <w:szCs w:val="21"/>
              </w:rPr>
              <w:t>100%</w:t>
            </w:r>
            <w:r>
              <w:rPr>
                <w:rFonts w:hint="eastAsia"/>
                <w:szCs w:val="21"/>
              </w:rPr>
              <w:t>。（实际得分</w:t>
            </w:r>
            <w:r>
              <w:rPr>
                <w:szCs w:val="21"/>
              </w:rPr>
              <w:t>=</w:t>
            </w:r>
            <w:r>
              <w:rPr>
                <w:rFonts w:hint="eastAsia"/>
                <w:szCs w:val="21"/>
              </w:rPr>
              <w:t>支出安排率</w:t>
            </w:r>
            <w:r>
              <w:rPr>
                <w:szCs w:val="21"/>
              </w:rPr>
              <w:t>*5</w:t>
            </w:r>
            <w:r>
              <w:rPr>
                <w:rFonts w:hint="eastAsia"/>
                <w:szCs w:val="21"/>
              </w:rPr>
              <w:t>分）</w:t>
            </w:r>
          </w:p>
          <w:p>
            <w:pPr>
              <w:spacing w:line="240" w:lineRule="exact"/>
              <w:rPr>
                <w:szCs w:val="21"/>
              </w:rPr>
            </w:pPr>
            <w:r>
              <w:rPr>
                <w:rFonts w:hint="eastAsia"/>
                <w:szCs w:val="21"/>
              </w:rPr>
              <w:t>重点项目支出：部门（单位）年度预算安排的，与本部门履职和发展密切相关、具有明显社会和经济影响、党委政府关心或社会比较关注的项目支出总额。</w:t>
            </w:r>
          </w:p>
          <w:p>
            <w:pPr>
              <w:spacing w:line="240" w:lineRule="exact"/>
              <w:rPr>
                <w:szCs w:val="21"/>
              </w:rPr>
            </w:pPr>
            <w:r>
              <w:rPr>
                <w:rFonts w:hint="eastAsia"/>
                <w:szCs w:val="21"/>
              </w:rPr>
              <w:t>项目总支出：部门（单位）年度预算安排的项目支出总额。</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5</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330" w:hRule="atLeast"/>
          <w:jc w:val="center"/>
        </w:trPr>
        <w:tc>
          <w:tcPr>
            <w:tcW w:w="353" w:type="pct"/>
            <w:vMerge w:val="restart"/>
            <w:tcBorders>
              <w:top w:val="nil"/>
              <w:left w:val="single" w:color="auto" w:sz="12" w:space="0"/>
              <w:bottom w:val="single" w:color="000000" w:sz="4" w:space="0"/>
              <w:right w:val="single" w:color="auto" w:sz="4" w:space="0"/>
            </w:tcBorders>
            <w:noWrap/>
            <w:textDirection w:val="tbRlV"/>
            <w:vAlign w:val="center"/>
          </w:tcPr>
          <w:p>
            <w:pPr>
              <w:spacing w:line="240" w:lineRule="exact"/>
              <w:jc w:val="center"/>
              <w:rPr>
                <w:szCs w:val="21"/>
              </w:rPr>
            </w:pPr>
            <w:r>
              <w:rPr>
                <w:rFonts w:hint="eastAsia"/>
                <w:szCs w:val="21"/>
              </w:rPr>
              <w:t>过程（</w:t>
            </w:r>
            <w:r>
              <w:rPr>
                <w:szCs w:val="21"/>
              </w:rPr>
              <w:t>30</w:t>
            </w:r>
            <w:r>
              <w:rPr>
                <w:rFonts w:hint="eastAsia"/>
                <w:szCs w:val="21"/>
              </w:rPr>
              <w:t>分）</w:t>
            </w:r>
          </w:p>
        </w:tc>
        <w:tc>
          <w:tcPr>
            <w:tcW w:w="322" w:type="pct"/>
            <w:vMerge w:val="restart"/>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r>
              <w:rPr>
                <w:rFonts w:hint="eastAsia"/>
                <w:szCs w:val="21"/>
              </w:rPr>
              <w:t>预算执行（</w:t>
            </w:r>
            <w:r>
              <w:rPr>
                <w:szCs w:val="21"/>
              </w:rPr>
              <w:t>20</w:t>
            </w:r>
            <w:r>
              <w:rPr>
                <w:rFonts w:hint="eastAsia"/>
                <w:szCs w:val="21"/>
              </w:rPr>
              <w:t>分）</w:t>
            </w: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预算完成率（</w:t>
            </w:r>
            <w:r>
              <w:rPr>
                <w:szCs w:val="21"/>
              </w:rPr>
              <w:t>4</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部门（单位）本年度预算完成数与预算数的比率，用以反映和考核部门（单位）预算完成程度。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预算完成率</w:t>
            </w:r>
            <w:r>
              <w:rPr>
                <w:szCs w:val="21"/>
              </w:rPr>
              <w:t>=</w:t>
            </w:r>
            <w:r>
              <w:rPr>
                <w:rFonts w:hint="eastAsia"/>
                <w:szCs w:val="21"/>
              </w:rPr>
              <w:t>（预算完成数</w:t>
            </w:r>
            <w:r>
              <w:rPr>
                <w:szCs w:val="21"/>
              </w:rPr>
              <w:t>/</w:t>
            </w:r>
            <w:r>
              <w:rPr>
                <w:rFonts w:hint="eastAsia"/>
                <w:szCs w:val="21"/>
              </w:rPr>
              <w:t>预算数）×</w:t>
            </w:r>
            <w:r>
              <w:rPr>
                <w:szCs w:val="21"/>
              </w:rPr>
              <w:t>100%</w:t>
            </w:r>
            <w:r>
              <w:rPr>
                <w:rFonts w:hint="eastAsia"/>
                <w:szCs w:val="21"/>
              </w:rPr>
              <w:t>。（完成年初预算计</w:t>
            </w:r>
            <w:r>
              <w:rPr>
                <w:szCs w:val="21"/>
              </w:rPr>
              <w:t>4</w:t>
            </w:r>
            <w:r>
              <w:rPr>
                <w:rFonts w:hint="eastAsia"/>
                <w:szCs w:val="21"/>
              </w:rPr>
              <w:t>分，未完成年初按比例扣减）</w:t>
            </w:r>
          </w:p>
          <w:p>
            <w:pPr>
              <w:spacing w:line="240" w:lineRule="exact"/>
              <w:rPr>
                <w:szCs w:val="21"/>
              </w:rPr>
            </w:pPr>
            <w:r>
              <w:rPr>
                <w:rFonts w:hint="eastAsia"/>
                <w:szCs w:val="21"/>
              </w:rPr>
              <w:t>预算完成数：部门（单位）本年度实际完成的预算数。</w:t>
            </w:r>
          </w:p>
          <w:p>
            <w:pPr>
              <w:spacing w:line="240" w:lineRule="exact"/>
              <w:rPr>
                <w:szCs w:val="21"/>
              </w:rPr>
            </w:pPr>
            <w:r>
              <w:rPr>
                <w:rFonts w:hint="eastAsia"/>
                <w:szCs w:val="21"/>
              </w:rPr>
              <w:t>预算数：财政部门批复的本年度部门（单位）预算数。</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4</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459"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预算调整率（</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部门（单位）本年度预算调整数与预算数的比率，用以反映和考核部门（单位）预算的调整程度。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预算调整率</w:t>
            </w:r>
            <w:r>
              <w:rPr>
                <w:szCs w:val="21"/>
              </w:rPr>
              <w:t>=</w:t>
            </w:r>
            <w:r>
              <w:rPr>
                <w:rFonts w:hint="eastAsia"/>
                <w:szCs w:val="21"/>
              </w:rPr>
              <w:t>（预算调整数</w:t>
            </w:r>
            <w:r>
              <w:rPr>
                <w:szCs w:val="21"/>
              </w:rPr>
              <w:t>/</w:t>
            </w:r>
            <w:r>
              <w:rPr>
                <w:rFonts w:hint="eastAsia"/>
                <w:szCs w:val="21"/>
              </w:rPr>
              <w:t>预算数）×</w:t>
            </w:r>
            <w:r>
              <w:rPr>
                <w:szCs w:val="21"/>
              </w:rPr>
              <w:t>100%</w:t>
            </w:r>
            <w:r>
              <w:rPr>
                <w:rFonts w:hint="eastAsia"/>
                <w:szCs w:val="21"/>
              </w:rPr>
              <w:t>。（未调整的计</w:t>
            </w:r>
            <w:r>
              <w:rPr>
                <w:szCs w:val="21"/>
              </w:rPr>
              <w:t>2</w:t>
            </w:r>
            <w:r>
              <w:rPr>
                <w:rFonts w:hint="eastAsia"/>
                <w:szCs w:val="21"/>
              </w:rPr>
              <w:t>分，调整了的除特殊原因外按比例扣减）</w:t>
            </w:r>
          </w:p>
          <w:p>
            <w:pPr>
              <w:spacing w:line="240" w:lineRule="exact"/>
              <w:rPr>
                <w:szCs w:val="21"/>
              </w:rPr>
            </w:pPr>
            <w:r>
              <w:rPr>
                <w:rFonts w:hint="eastAsia"/>
                <w:szCs w:val="21"/>
              </w:rPr>
              <w:t>预算调整数：部门（单位）在本年度内涉及预算的追加、追减或结构调整的资金总和（因落实国家政策、发生不可抗力、上级部门或本级党委政府临时交办而产生的调整除外）。</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800"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支付进度率（</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部门（单位）实际支付进度与既定支付进度的比率，用以反映和考核部门（单位）预算执行的及时性和均衡性程度。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支付进度率</w:t>
            </w:r>
            <w:r>
              <w:rPr>
                <w:szCs w:val="21"/>
              </w:rPr>
              <w:t>=</w:t>
            </w:r>
            <w:r>
              <w:rPr>
                <w:rFonts w:hint="eastAsia"/>
                <w:szCs w:val="21"/>
              </w:rPr>
              <w:t>（实际支付进度</w:t>
            </w:r>
            <w:r>
              <w:rPr>
                <w:szCs w:val="21"/>
              </w:rPr>
              <w:t>/</w:t>
            </w:r>
            <w:r>
              <w:rPr>
                <w:rFonts w:hint="eastAsia"/>
                <w:szCs w:val="21"/>
              </w:rPr>
              <w:t>既定支付进度）×</w:t>
            </w:r>
            <w:r>
              <w:rPr>
                <w:szCs w:val="21"/>
              </w:rPr>
              <w:t>100%</w:t>
            </w:r>
            <w:r>
              <w:rPr>
                <w:rFonts w:hint="eastAsia"/>
                <w:szCs w:val="21"/>
              </w:rPr>
              <w:t>。完成年终进度的计</w:t>
            </w:r>
            <w:r>
              <w:rPr>
                <w:szCs w:val="21"/>
              </w:rPr>
              <w:t>1</w:t>
            </w:r>
            <w:r>
              <w:rPr>
                <w:rFonts w:hint="eastAsia"/>
                <w:szCs w:val="21"/>
              </w:rPr>
              <w:t>分，按季度完成预算进度的计</w:t>
            </w:r>
            <w:r>
              <w:rPr>
                <w:szCs w:val="21"/>
              </w:rPr>
              <w:t>1</w:t>
            </w:r>
            <w:r>
              <w:rPr>
                <w:rFonts w:hint="eastAsia"/>
                <w:szCs w:val="21"/>
              </w:rPr>
              <w:t>分。</w:t>
            </w:r>
          </w:p>
          <w:p>
            <w:pPr>
              <w:spacing w:line="240" w:lineRule="exact"/>
              <w:rPr>
                <w:szCs w:val="21"/>
              </w:rPr>
            </w:pPr>
            <w:r>
              <w:rPr>
                <w:rFonts w:hint="eastAsia"/>
                <w:szCs w:val="21"/>
              </w:rPr>
              <w:t>实际支付进度：部门（单位）在某一时点的支出预算执行总数与年度支出预算数的比率。</w:t>
            </w:r>
          </w:p>
          <w:p>
            <w:pPr>
              <w:spacing w:line="240" w:lineRule="exact"/>
              <w:rPr>
                <w:szCs w:val="21"/>
              </w:rPr>
            </w:pPr>
            <w:r>
              <w:rPr>
                <w:rFonts w:hint="eastAsia"/>
                <w:szCs w:val="21"/>
              </w:rPr>
              <w:t>既定支付进度：由部门（单位）在申报部门整体绩效目标时，参照序时支付进度、前三年支付进度、同级部门平均支付进度水平等确定的，在某一时点应达到的支付进度（比率）。</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035"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结转结余率（</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部门（单位）本年度结转结余总额与支出预算数的比率，用以反映和考核部门（单位）对本年度结转结余资金的实际控制程度。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结转结余率</w:t>
            </w:r>
            <w:r>
              <w:rPr>
                <w:szCs w:val="21"/>
              </w:rPr>
              <w:t>=</w:t>
            </w:r>
            <w:r>
              <w:rPr>
                <w:rFonts w:hint="eastAsia"/>
                <w:szCs w:val="21"/>
              </w:rPr>
              <w:t>结转结余总额</w:t>
            </w:r>
            <w:r>
              <w:rPr>
                <w:szCs w:val="21"/>
              </w:rPr>
              <w:t>/</w:t>
            </w:r>
            <w:r>
              <w:rPr>
                <w:rFonts w:hint="eastAsia"/>
                <w:szCs w:val="21"/>
              </w:rPr>
              <w:t>支出预算数×</w:t>
            </w:r>
            <w:r>
              <w:rPr>
                <w:szCs w:val="21"/>
              </w:rPr>
              <w:t>100%</w:t>
            </w:r>
            <w:r>
              <w:rPr>
                <w:rFonts w:hint="eastAsia"/>
                <w:szCs w:val="21"/>
              </w:rPr>
              <w:t>。低于</w:t>
            </w:r>
            <w:r>
              <w:rPr>
                <w:szCs w:val="21"/>
              </w:rPr>
              <w:t>5%</w:t>
            </w:r>
            <w:r>
              <w:rPr>
                <w:rFonts w:hint="eastAsia"/>
                <w:szCs w:val="21"/>
              </w:rPr>
              <w:t>的计</w:t>
            </w:r>
            <w:r>
              <w:rPr>
                <w:szCs w:val="21"/>
              </w:rPr>
              <w:t>1</w:t>
            </w:r>
            <w:r>
              <w:rPr>
                <w:rFonts w:hint="eastAsia"/>
                <w:szCs w:val="21"/>
              </w:rPr>
              <w:t>分，每超过</w:t>
            </w:r>
            <w:r>
              <w:rPr>
                <w:szCs w:val="21"/>
              </w:rPr>
              <w:t>5</w:t>
            </w:r>
            <w:r>
              <w:rPr>
                <w:rFonts w:hint="eastAsia"/>
                <w:szCs w:val="21"/>
              </w:rPr>
              <w:t>个百分点扣</w:t>
            </w:r>
            <w:r>
              <w:rPr>
                <w:szCs w:val="21"/>
              </w:rPr>
              <w:t>1</w:t>
            </w:r>
            <w:r>
              <w:rPr>
                <w:rFonts w:hint="eastAsia"/>
                <w:szCs w:val="21"/>
              </w:rPr>
              <w:t>分，扣完为止。</w:t>
            </w:r>
          </w:p>
          <w:p>
            <w:pPr>
              <w:spacing w:line="240" w:lineRule="exact"/>
              <w:rPr>
                <w:szCs w:val="21"/>
              </w:rPr>
            </w:pPr>
            <w:r>
              <w:rPr>
                <w:rFonts w:hint="eastAsia"/>
                <w:szCs w:val="21"/>
              </w:rPr>
              <w:t>结转结余总额：部门（单位）本年度的结转资金与结余资金之和（以决算数为准）。</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1</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247"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结转结余变动率（</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部门（单位）本年度结转结余资金总额与上年度结转结余资金总额的变动比率，用以反映和考核部门（单位）对控制结转结余资金的努力程度。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结转结余变动率</w:t>
            </w:r>
            <w:r>
              <w:rPr>
                <w:szCs w:val="21"/>
              </w:rPr>
              <w:t>=[</w:t>
            </w:r>
            <w:r>
              <w:rPr>
                <w:rFonts w:hint="eastAsia"/>
                <w:szCs w:val="21"/>
              </w:rPr>
              <w:t>（本年度累计结转结余资金总额</w:t>
            </w:r>
            <w:r>
              <w:rPr>
                <w:szCs w:val="21"/>
              </w:rPr>
              <w:t>-</w:t>
            </w:r>
            <w:r>
              <w:rPr>
                <w:rFonts w:hint="eastAsia"/>
                <w:szCs w:val="21"/>
              </w:rPr>
              <w:t>上年度累计结转结余资金总额）</w:t>
            </w:r>
            <w:r>
              <w:rPr>
                <w:szCs w:val="21"/>
              </w:rPr>
              <w:t>/</w:t>
            </w:r>
            <w:r>
              <w:rPr>
                <w:rFonts w:hint="eastAsia"/>
                <w:szCs w:val="21"/>
              </w:rPr>
              <w:t>上年度累计结转结余资金总额</w:t>
            </w:r>
            <w:r>
              <w:rPr>
                <w:szCs w:val="21"/>
              </w:rPr>
              <w:t>]</w:t>
            </w:r>
            <w:r>
              <w:rPr>
                <w:rFonts w:hint="eastAsia"/>
                <w:szCs w:val="21"/>
              </w:rPr>
              <w:t>×</w:t>
            </w:r>
            <w:r>
              <w:rPr>
                <w:szCs w:val="21"/>
              </w:rPr>
              <w:t>100%</w:t>
            </w:r>
            <w:r>
              <w:rPr>
                <w:rFonts w:hint="eastAsia"/>
                <w:szCs w:val="21"/>
              </w:rPr>
              <w:t>。（低于</w:t>
            </w:r>
            <w:r>
              <w:rPr>
                <w:szCs w:val="21"/>
              </w:rPr>
              <w:t>15%</w:t>
            </w:r>
            <w:r>
              <w:rPr>
                <w:rFonts w:hint="eastAsia"/>
                <w:szCs w:val="21"/>
              </w:rPr>
              <w:t>的计</w:t>
            </w:r>
            <w:r>
              <w:rPr>
                <w:szCs w:val="21"/>
              </w:rPr>
              <w:t>2</w:t>
            </w:r>
            <w:r>
              <w:rPr>
                <w:rFonts w:hint="eastAsia"/>
                <w:szCs w:val="21"/>
              </w:rPr>
              <w:t>分，每超过</w:t>
            </w:r>
            <w:r>
              <w:rPr>
                <w:szCs w:val="21"/>
              </w:rPr>
              <w:t>5</w:t>
            </w:r>
            <w:r>
              <w:rPr>
                <w:rFonts w:hint="eastAsia"/>
                <w:szCs w:val="21"/>
              </w:rPr>
              <w:t>个百分点扣</w:t>
            </w:r>
            <w:r>
              <w:rPr>
                <w:szCs w:val="21"/>
              </w:rPr>
              <w:t>1</w:t>
            </w:r>
            <w:r>
              <w:rPr>
                <w:rFonts w:hint="eastAsia"/>
                <w:szCs w:val="21"/>
              </w:rPr>
              <w:t>分，扣完为止）</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153"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公用经费控制率（</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部门（单位）本年度实际支出的公用经费总额与预算安排的公用经费总额的比率，用以反映和考核部门（单位）对机构运转成本的实际控制程度。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公用经费控制率</w:t>
            </w:r>
            <w:r>
              <w:rPr>
                <w:szCs w:val="21"/>
              </w:rPr>
              <w:t>=</w:t>
            </w:r>
            <w:r>
              <w:rPr>
                <w:rFonts w:hint="eastAsia"/>
                <w:szCs w:val="21"/>
              </w:rPr>
              <w:t>（实际支出公用经费总额</w:t>
            </w:r>
            <w:r>
              <w:rPr>
                <w:szCs w:val="21"/>
              </w:rPr>
              <w:t>/</w:t>
            </w:r>
            <w:r>
              <w:rPr>
                <w:rFonts w:hint="eastAsia"/>
                <w:szCs w:val="21"/>
              </w:rPr>
              <w:t>预算安排公用经费总额）×</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分，每超过</w:t>
            </w:r>
            <w:r>
              <w:rPr>
                <w:szCs w:val="21"/>
              </w:rPr>
              <w:t>1</w:t>
            </w:r>
            <w:r>
              <w:rPr>
                <w:rFonts w:hint="eastAsia"/>
                <w:szCs w:val="21"/>
              </w:rPr>
              <w:t>个百分点扣</w:t>
            </w:r>
            <w:r>
              <w:rPr>
                <w:szCs w:val="21"/>
              </w:rPr>
              <w:t>0.1</w:t>
            </w:r>
            <w:r>
              <w:rPr>
                <w:rFonts w:hint="eastAsia"/>
                <w:szCs w:val="21"/>
              </w:rPr>
              <w:t>分，扣完为止）</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172"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“三公经费”控制率（</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部门（单位）本年度“三公经费”实际支出数与预算安排数的比率，用以反映和考核部门（单位）对“三公经费”的实际控制程度。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“三公经费”控制率</w:t>
            </w:r>
            <w:r>
              <w:rPr>
                <w:szCs w:val="21"/>
              </w:rPr>
              <w:t>=</w:t>
            </w:r>
            <w:r>
              <w:rPr>
                <w:rFonts w:hint="eastAsia"/>
                <w:szCs w:val="21"/>
              </w:rPr>
              <w:t>（“三公经费”实际支出数</w:t>
            </w:r>
            <w:r>
              <w:rPr>
                <w:szCs w:val="21"/>
              </w:rPr>
              <w:t>/</w:t>
            </w:r>
            <w:r>
              <w:rPr>
                <w:rFonts w:hint="eastAsia"/>
                <w:szCs w:val="21"/>
              </w:rPr>
              <w:t>“三公经费”预算安排数）×</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分，每超过</w:t>
            </w:r>
            <w:r>
              <w:rPr>
                <w:szCs w:val="21"/>
              </w:rPr>
              <w:t>1</w:t>
            </w:r>
            <w:r>
              <w:rPr>
                <w:rFonts w:hint="eastAsia"/>
                <w:szCs w:val="21"/>
              </w:rPr>
              <w:t>个百分点扣</w:t>
            </w:r>
            <w:r>
              <w:rPr>
                <w:szCs w:val="21"/>
              </w:rPr>
              <w:t>0.5</w:t>
            </w:r>
            <w:r>
              <w:rPr>
                <w:rFonts w:hint="eastAsia"/>
                <w:szCs w:val="21"/>
              </w:rPr>
              <w:t>分，扣完为止）</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500"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政府采购执行率（</w:t>
            </w:r>
            <w:r>
              <w:rPr>
                <w:szCs w:val="21"/>
              </w:rPr>
              <w:t>4</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部门（单位）本年度实际政府采购金额与年初政府采购预算的比率，用以反映和考核部门（单位）政府采购预算执行情况。</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政府采购执行率</w:t>
            </w:r>
            <w:r>
              <w:rPr>
                <w:szCs w:val="21"/>
              </w:rPr>
              <w:t>=</w:t>
            </w:r>
            <w:r>
              <w:rPr>
                <w:rFonts w:hint="eastAsia"/>
                <w:szCs w:val="21"/>
              </w:rPr>
              <w:t>（实际政府采购金额</w:t>
            </w:r>
            <w:r>
              <w:rPr>
                <w:szCs w:val="21"/>
              </w:rPr>
              <w:t>/</w:t>
            </w:r>
            <w:r>
              <w:rPr>
                <w:rFonts w:hint="eastAsia"/>
                <w:szCs w:val="21"/>
              </w:rPr>
              <w:t>政府采购预算数）×</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分，每低于</w:t>
            </w:r>
            <w:r>
              <w:rPr>
                <w:szCs w:val="21"/>
              </w:rPr>
              <w:t>1</w:t>
            </w:r>
            <w:r>
              <w:rPr>
                <w:rFonts w:hint="eastAsia"/>
                <w:szCs w:val="21"/>
              </w:rPr>
              <w:t>个百分点扣</w:t>
            </w:r>
            <w:r>
              <w:rPr>
                <w:szCs w:val="21"/>
              </w:rPr>
              <w:t>0.5</w:t>
            </w:r>
            <w:r>
              <w:rPr>
                <w:rFonts w:hint="eastAsia"/>
                <w:szCs w:val="21"/>
              </w:rPr>
              <w:t>分，扣完为止）</w:t>
            </w:r>
          </w:p>
          <w:p>
            <w:pPr>
              <w:spacing w:line="240" w:lineRule="exact"/>
              <w:rPr>
                <w:szCs w:val="21"/>
              </w:rPr>
            </w:pPr>
            <w:r>
              <w:rPr>
                <w:rFonts w:hint="eastAsia"/>
                <w:szCs w:val="21"/>
              </w:rPr>
              <w:t>政府采购预算：采购机关根据事业发展计划和行政任务编制的、并经过规定程序批准的年度政府采购计划。</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635"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预算管理（</w:t>
            </w:r>
            <w:r>
              <w:rPr>
                <w:szCs w:val="21"/>
              </w:rPr>
              <w:t>5</w:t>
            </w:r>
            <w:r>
              <w:rPr>
                <w:rFonts w:hint="eastAsia"/>
                <w:szCs w:val="21"/>
              </w:rPr>
              <w:t>分）</w:t>
            </w: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管理制度健全性（</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部门（单位）为加强预算管理、规范财务行为而制定的管理制度是否健全完整，用以反映和考核部门（单位）预算管理制度对完成主要职责或促进事业发展的保障情况。</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①是否已制定或具有预算资金管理办法、内部财务管理制度、会计核算制度等管理制度；（</w:t>
            </w:r>
            <w:r>
              <w:rPr>
                <w:szCs w:val="21"/>
              </w:rPr>
              <w:t>1</w:t>
            </w:r>
            <w:r>
              <w:rPr>
                <w:rFonts w:hint="eastAsia"/>
                <w:szCs w:val="21"/>
              </w:rPr>
              <w:t>分）</w:t>
            </w:r>
          </w:p>
          <w:p>
            <w:pPr>
              <w:spacing w:line="240" w:lineRule="exact"/>
              <w:rPr>
                <w:szCs w:val="21"/>
              </w:rPr>
            </w:pPr>
            <w:r>
              <w:rPr>
                <w:rFonts w:hint="eastAsia"/>
                <w:szCs w:val="21"/>
              </w:rPr>
              <w:t>②相关管理制度是否合法、合规、完整；（</w:t>
            </w:r>
            <w:r>
              <w:rPr>
                <w:szCs w:val="21"/>
              </w:rPr>
              <w:t>0.5</w:t>
            </w:r>
            <w:r>
              <w:rPr>
                <w:rFonts w:hint="eastAsia"/>
                <w:szCs w:val="21"/>
              </w:rPr>
              <w:t>分）</w:t>
            </w:r>
          </w:p>
          <w:p>
            <w:pPr>
              <w:spacing w:line="240" w:lineRule="exact"/>
              <w:rPr>
                <w:szCs w:val="21"/>
              </w:rPr>
            </w:pPr>
            <w:r>
              <w:rPr>
                <w:rFonts w:hint="eastAsia"/>
                <w:szCs w:val="21"/>
              </w:rPr>
              <w:t>③相关管理制度是否得到有效执行。（</w:t>
            </w:r>
            <w:r>
              <w:rPr>
                <w:szCs w:val="21"/>
              </w:rPr>
              <w:t>0.5</w:t>
            </w:r>
            <w:r>
              <w:rPr>
                <w:rFonts w:hint="eastAsia"/>
                <w:szCs w:val="21"/>
              </w:rPr>
              <w:t>分）</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1.5</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2334"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资金使用合规性（</w:t>
            </w:r>
            <w:r>
              <w:rPr>
                <w:szCs w:val="21"/>
              </w:rPr>
              <w:t>1</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部门（单位）使用预算资金是否符合相关的预算财务管理制度的规定，用以反映和考核部门（单位）预算资金的规范运行情况。</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①是否符合国家财经法规和财务管理制度规定以及有关专项资金管理办法的规定；（</w:t>
            </w:r>
            <w:r>
              <w:rPr>
                <w:szCs w:val="21"/>
              </w:rPr>
              <w:t>0.2</w:t>
            </w:r>
            <w:r>
              <w:rPr>
                <w:rFonts w:hint="eastAsia"/>
                <w:szCs w:val="21"/>
              </w:rPr>
              <w:t>分）</w:t>
            </w:r>
          </w:p>
          <w:p>
            <w:pPr>
              <w:spacing w:line="240" w:lineRule="exact"/>
              <w:rPr>
                <w:szCs w:val="21"/>
              </w:rPr>
            </w:pPr>
            <w:r>
              <w:rPr>
                <w:rFonts w:hint="eastAsia"/>
                <w:szCs w:val="21"/>
              </w:rPr>
              <w:t>②资金的拨付是否有完整的审批程序和手续；（</w:t>
            </w:r>
            <w:r>
              <w:rPr>
                <w:szCs w:val="21"/>
              </w:rPr>
              <w:t>0.2</w:t>
            </w:r>
            <w:r>
              <w:rPr>
                <w:rFonts w:hint="eastAsia"/>
                <w:szCs w:val="21"/>
              </w:rPr>
              <w:t>分）</w:t>
            </w:r>
          </w:p>
          <w:p>
            <w:pPr>
              <w:spacing w:line="240" w:lineRule="exact"/>
              <w:rPr>
                <w:szCs w:val="21"/>
              </w:rPr>
            </w:pPr>
            <w:r>
              <w:rPr>
                <w:rFonts w:hint="eastAsia"/>
                <w:szCs w:val="21"/>
              </w:rPr>
              <w:t>③项目的重大开支是否经过评估论证；（</w:t>
            </w:r>
            <w:r>
              <w:rPr>
                <w:szCs w:val="21"/>
              </w:rPr>
              <w:t>0.2</w:t>
            </w:r>
            <w:r>
              <w:rPr>
                <w:rFonts w:hint="eastAsia"/>
                <w:szCs w:val="21"/>
              </w:rPr>
              <w:t>分）</w:t>
            </w:r>
          </w:p>
          <w:p>
            <w:pPr>
              <w:spacing w:line="240" w:lineRule="exact"/>
              <w:rPr>
                <w:szCs w:val="21"/>
              </w:rPr>
            </w:pPr>
            <w:r>
              <w:rPr>
                <w:rFonts w:hint="eastAsia"/>
                <w:szCs w:val="21"/>
              </w:rPr>
              <w:t>④是否符合部门预算批复的用途；（</w:t>
            </w:r>
            <w:r>
              <w:rPr>
                <w:szCs w:val="21"/>
              </w:rPr>
              <w:t>0.2</w:t>
            </w:r>
            <w:r>
              <w:rPr>
                <w:rFonts w:hint="eastAsia"/>
                <w:szCs w:val="21"/>
              </w:rPr>
              <w:t>分）</w:t>
            </w:r>
          </w:p>
          <w:p>
            <w:pPr>
              <w:spacing w:line="240" w:lineRule="exact"/>
              <w:rPr>
                <w:szCs w:val="21"/>
              </w:rPr>
            </w:pPr>
            <w:r>
              <w:rPr>
                <w:rFonts w:hint="eastAsia"/>
                <w:szCs w:val="21"/>
              </w:rPr>
              <w:t>⑤是否存在截留、挤占、挪用、虚列支出等情况。（</w:t>
            </w:r>
            <w:r>
              <w:rPr>
                <w:szCs w:val="21"/>
              </w:rPr>
              <w:t>0.2</w:t>
            </w:r>
            <w:r>
              <w:rPr>
                <w:rFonts w:hint="eastAsia"/>
                <w:szCs w:val="21"/>
              </w:rPr>
              <w:t>分）</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0.8</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644"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预决算信息公开性（</w:t>
            </w:r>
            <w:r>
              <w:rPr>
                <w:szCs w:val="21"/>
              </w:rPr>
              <w:t>1</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部门（单位）是否按照政府信息公开有关规定公开相关预决算信息，用以反映和考核部门（单位）预决算管理的公开透明情况。</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①是否按规定内容公开预决算信息；（</w:t>
            </w:r>
            <w:r>
              <w:rPr>
                <w:szCs w:val="21"/>
              </w:rPr>
              <w:t>0.5</w:t>
            </w:r>
            <w:r>
              <w:rPr>
                <w:rFonts w:hint="eastAsia"/>
                <w:szCs w:val="21"/>
              </w:rPr>
              <w:t>分）</w:t>
            </w:r>
          </w:p>
          <w:p>
            <w:pPr>
              <w:spacing w:line="240" w:lineRule="exact"/>
              <w:rPr>
                <w:szCs w:val="21"/>
              </w:rPr>
            </w:pPr>
            <w:r>
              <w:rPr>
                <w:rFonts w:hint="eastAsia"/>
                <w:szCs w:val="21"/>
              </w:rPr>
              <w:t>②是否按规定时限公开预决算信息。（</w:t>
            </w:r>
            <w:r>
              <w:rPr>
                <w:szCs w:val="21"/>
              </w:rPr>
              <w:t>0.5</w:t>
            </w:r>
            <w:r>
              <w:rPr>
                <w:rFonts w:hint="eastAsia"/>
                <w:szCs w:val="21"/>
              </w:rPr>
              <w:t>分）</w:t>
            </w:r>
          </w:p>
          <w:p>
            <w:pPr>
              <w:spacing w:line="240" w:lineRule="exact"/>
              <w:rPr>
                <w:szCs w:val="21"/>
              </w:rPr>
            </w:pPr>
            <w:r>
              <w:rPr>
                <w:rFonts w:hint="eastAsia"/>
                <w:szCs w:val="21"/>
              </w:rPr>
              <w:t>预决算信息是指与部门预算、执行、决算、监督、绩效等管理相关的信息。</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1</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453"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基础信息完善性（</w:t>
            </w:r>
            <w:r>
              <w:rPr>
                <w:szCs w:val="21"/>
              </w:rPr>
              <w:t>1</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部门（单位）基础信息是否完善，用以反映和考核基础信息对预算管理工作的支撑情况。</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①基础数据信息和会计信息资料是否真实；（</w:t>
            </w:r>
            <w:r>
              <w:rPr>
                <w:szCs w:val="21"/>
              </w:rPr>
              <w:t>0.4</w:t>
            </w:r>
            <w:r>
              <w:rPr>
                <w:rFonts w:hint="eastAsia"/>
                <w:szCs w:val="21"/>
              </w:rPr>
              <w:t>分）</w:t>
            </w:r>
          </w:p>
          <w:p>
            <w:pPr>
              <w:spacing w:line="240" w:lineRule="exact"/>
              <w:rPr>
                <w:szCs w:val="21"/>
              </w:rPr>
            </w:pPr>
            <w:r>
              <w:rPr>
                <w:rFonts w:hint="eastAsia"/>
                <w:szCs w:val="21"/>
              </w:rPr>
              <w:t>②基础数据信息和会计信息资料是否完整；（</w:t>
            </w:r>
            <w:r>
              <w:rPr>
                <w:szCs w:val="21"/>
              </w:rPr>
              <w:t>0.3</w:t>
            </w:r>
            <w:r>
              <w:rPr>
                <w:rFonts w:hint="eastAsia"/>
                <w:szCs w:val="21"/>
              </w:rPr>
              <w:t>分）</w:t>
            </w:r>
          </w:p>
          <w:p>
            <w:pPr>
              <w:spacing w:line="240" w:lineRule="exact"/>
              <w:rPr>
                <w:szCs w:val="21"/>
              </w:rPr>
            </w:pPr>
            <w:r>
              <w:rPr>
                <w:rFonts w:hint="eastAsia"/>
                <w:szCs w:val="21"/>
              </w:rPr>
              <w:t>③基础数据信息和会计信息资料是否准确。（</w:t>
            </w:r>
            <w:r>
              <w:rPr>
                <w:szCs w:val="21"/>
              </w:rPr>
              <w:t>0.3</w:t>
            </w:r>
            <w:r>
              <w:rPr>
                <w:rFonts w:hint="eastAsia"/>
                <w:szCs w:val="21"/>
              </w:rPr>
              <w:t>分）</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1</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012"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资产管理（</w:t>
            </w:r>
            <w:r>
              <w:rPr>
                <w:szCs w:val="21"/>
              </w:rPr>
              <w:t>5</w:t>
            </w:r>
            <w:r>
              <w:rPr>
                <w:rFonts w:hint="eastAsia"/>
                <w:szCs w:val="21"/>
              </w:rPr>
              <w:t>分）</w:t>
            </w: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管理制度健全性（</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部门（单位）为加强资产管理、规范资产管理行为而制定的管理制度是否健全完整，用以反映和考核部门（单位）资产管理制度对完成主要职责或促进社会发展的保障情况。</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①是否已制定或具有资产管理制度；（</w:t>
            </w:r>
            <w:r>
              <w:rPr>
                <w:szCs w:val="21"/>
              </w:rPr>
              <w:t>1</w:t>
            </w:r>
            <w:r>
              <w:rPr>
                <w:rFonts w:hint="eastAsia"/>
                <w:szCs w:val="21"/>
              </w:rPr>
              <w:t>分）</w:t>
            </w:r>
          </w:p>
          <w:p>
            <w:pPr>
              <w:spacing w:line="240" w:lineRule="exact"/>
              <w:rPr>
                <w:szCs w:val="21"/>
              </w:rPr>
            </w:pPr>
            <w:r>
              <w:rPr>
                <w:rFonts w:hint="eastAsia"/>
                <w:szCs w:val="21"/>
              </w:rPr>
              <w:t>②相关资金管理制度是否合法、合规、完整；（</w:t>
            </w:r>
            <w:r>
              <w:rPr>
                <w:szCs w:val="21"/>
              </w:rPr>
              <w:t>0.5</w:t>
            </w:r>
            <w:r>
              <w:rPr>
                <w:rFonts w:hint="eastAsia"/>
                <w:szCs w:val="21"/>
              </w:rPr>
              <w:t>分）</w:t>
            </w:r>
          </w:p>
          <w:p>
            <w:pPr>
              <w:spacing w:line="240" w:lineRule="exact"/>
              <w:rPr>
                <w:szCs w:val="21"/>
              </w:rPr>
            </w:pPr>
            <w:r>
              <w:rPr>
                <w:rFonts w:hint="eastAsia"/>
                <w:szCs w:val="21"/>
              </w:rPr>
              <w:t>③相关资产管理制度是否得到有效执行。（</w:t>
            </w:r>
            <w:r>
              <w:rPr>
                <w:szCs w:val="21"/>
              </w:rPr>
              <w:t>0.5</w:t>
            </w:r>
            <w:r>
              <w:rPr>
                <w:rFonts w:hint="eastAsia"/>
                <w:szCs w:val="21"/>
              </w:rPr>
              <w:t>分）</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2</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660"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资产管理安全性（</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部门（单位）的资产是否保存完整、使用合规、配置合理、处置规范、收入及时足额上缴，用以反映和考核部门（单位）资产安全运行情况。</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①资产保存是否完整；（</w:t>
            </w:r>
            <w:r>
              <w:rPr>
                <w:szCs w:val="21"/>
              </w:rPr>
              <w:t>0.4</w:t>
            </w:r>
            <w:r>
              <w:rPr>
                <w:rFonts w:hint="eastAsia"/>
                <w:szCs w:val="21"/>
              </w:rPr>
              <w:t>分）</w:t>
            </w:r>
          </w:p>
          <w:p>
            <w:pPr>
              <w:spacing w:line="240" w:lineRule="exact"/>
              <w:rPr>
                <w:szCs w:val="21"/>
              </w:rPr>
            </w:pPr>
            <w:r>
              <w:rPr>
                <w:rFonts w:hint="eastAsia"/>
                <w:szCs w:val="21"/>
              </w:rPr>
              <w:t>②资产配置是否合理；（</w:t>
            </w:r>
            <w:r>
              <w:rPr>
                <w:szCs w:val="21"/>
              </w:rPr>
              <w:t>0.4</w:t>
            </w:r>
            <w:r>
              <w:rPr>
                <w:rFonts w:hint="eastAsia"/>
                <w:szCs w:val="21"/>
              </w:rPr>
              <w:t>分）</w:t>
            </w:r>
          </w:p>
          <w:p>
            <w:pPr>
              <w:spacing w:line="240" w:lineRule="exact"/>
              <w:rPr>
                <w:szCs w:val="21"/>
              </w:rPr>
            </w:pPr>
            <w:r>
              <w:rPr>
                <w:rFonts w:hint="eastAsia"/>
                <w:szCs w:val="21"/>
              </w:rPr>
              <w:t>③资产处置是否规范；（</w:t>
            </w:r>
            <w:r>
              <w:rPr>
                <w:szCs w:val="21"/>
              </w:rPr>
              <w:t>0.4</w:t>
            </w:r>
            <w:r>
              <w:rPr>
                <w:rFonts w:hint="eastAsia"/>
                <w:szCs w:val="21"/>
              </w:rPr>
              <w:t>分）</w:t>
            </w:r>
          </w:p>
          <w:p>
            <w:pPr>
              <w:spacing w:line="240" w:lineRule="exact"/>
              <w:rPr>
                <w:szCs w:val="21"/>
              </w:rPr>
            </w:pPr>
            <w:r>
              <w:rPr>
                <w:rFonts w:hint="eastAsia"/>
                <w:szCs w:val="21"/>
              </w:rPr>
              <w:t>④资产账务管理是否合规，是否帐实相符；（</w:t>
            </w:r>
            <w:r>
              <w:rPr>
                <w:szCs w:val="21"/>
              </w:rPr>
              <w:t>0.4</w:t>
            </w:r>
            <w:r>
              <w:rPr>
                <w:rFonts w:hint="eastAsia"/>
                <w:szCs w:val="21"/>
              </w:rPr>
              <w:t>分）</w:t>
            </w:r>
          </w:p>
          <w:p>
            <w:pPr>
              <w:spacing w:line="240" w:lineRule="exact"/>
              <w:rPr>
                <w:szCs w:val="21"/>
              </w:rPr>
            </w:pPr>
            <w:r>
              <w:rPr>
                <w:rFonts w:hint="eastAsia"/>
                <w:szCs w:val="21"/>
              </w:rPr>
              <w:t>⑤资产是否有偿使用及处置收入及时足额上缴。（</w:t>
            </w:r>
            <w:r>
              <w:rPr>
                <w:szCs w:val="21"/>
              </w:rPr>
              <w:t>0.4</w:t>
            </w:r>
            <w:r>
              <w:rPr>
                <w:rFonts w:hint="eastAsia"/>
                <w:szCs w:val="21"/>
              </w:rPr>
              <w:t>分）</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1.6</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326"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固定资产利用率（</w:t>
            </w:r>
            <w:r>
              <w:rPr>
                <w:szCs w:val="21"/>
              </w:rPr>
              <w:t>1</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部门（单位）实际在用固定资产总额与所有固定资产总额的比率，用以反映和考核部门（单位）固定资产使用效率程度。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固定资产利用率</w:t>
            </w:r>
            <w:r>
              <w:rPr>
                <w:szCs w:val="21"/>
              </w:rPr>
              <w:t>=</w:t>
            </w:r>
            <w:r>
              <w:rPr>
                <w:rFonts w:hint="eastAsia"/>
                <w:szCs w:val="21"/>
              </w:rPr>
              <w:t>（实际在用固定资产总额</w:t>
            </w:r>
            <w:r>
              <w:rPr>
                <w:szCs w:val="21"/>
              </w:rPr>
              <w:t>/</w:t>
            </w:r>
            <w:r>
              <w:rPr>
                <w:rFonts w:hint="eastAsia"/>
                <w:szCs w:val="21"/>
              </w:rPr>
              <w:t>所有固定资产总额）×</w:t>
            </w:r>
            <w:r>
              <w:rPr>
                <w:szCs w:val="21"/>
              </w:rPr>
              <w:t>100%</w:t>
            </w:r>
            <w:r>
              <w:rPr>
                <w:rFonts w:hint="eastAsia"/>
                <w:szCs w:val="21"/>
              </w:rPr>
              <w:t>。（利用率为</w:t>
            </w:r>
            <w:r>
              <w:rPr>
                <w:szCs w:val="21"/>
              </w:rPr>
              <w:t>100%</w:t>
            </w:r>
            <w:r>
              <w:rPr>
                <w:rFonts w:hint="eastAsia"/>
                <w:szCs w:val="21"/>
              </w:rPr>
              <w:t>的计</w:t>
            </w:r>
            <w:r>
              <w:rPr>
                <w:szCs w:val="21"/>
              </w:rPr>
              <w:t>1</w:t>
            </w:r>
            <w:r>
              <w:rPr>
                <w:rFonts w:hint="eastAsia"/>
                <w:szCs w:val="21"/>
              </w:rPr>
              <w:t>分，每降</w:t>
            </w:r>
            <w:r>
              <w:rPr>
                <w:szCs w:val="21"/>
              </w:rPr>
              <w:t>1</w:t>
            </w:r>
            <w:r>
              <w:rPr>
                <w:rFonts w:hint="eastAsia"/>
                <w:szCs w:val="21"/>
              </w:rPr>
              <w:t>个百分点扣</w:t>
            </w:r>
            <w:r>
              <w:rPr>
                <w:szCs w:val="21"/>
              </w:rPr>
              <w:t>0.1</w:t>
            </w:r>
            <w:r>
              <w:rPr>
                <w:rFonts w:hint="eastAsia"/>
                <w:szCs w:val="21"/>
              </w:rPr>
              <w:t>分，扣完为止）</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0.8</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621" w:hRule="atLeast"/>
          <w:jc w:val="center"/>
        </w:trPr>
        <w:tc>
          <w:tcPr>
            <w:tcW w:w="353" w:type="pct"/>
            <w:vMerge w:val="restart"/>
            <w:tcBorders>
              <w:top w:val="nil"/>
              <w:left w:val="single" w:color="auto" w:sz="12" w:space="0"/>
              <w:bottom w:val="single" w:color="auto" w:sz="4" w:space="0"/>
              <w:right w:val="single" w:color="auto" w:sz="4" w:space="0"/>
            </w:tcBorders>
            <w:noWrap/>
            <w:textDirection w:val="tbRlV"/>
            <w:vAlign w:val="center"/>
          </w:tcPr>
          <w:p>
            <w:pPr>
              <w:spacing w:line="240" w:lineRule="exact"/>
              <w:jc w:val="center"/>
              <w:rPr>
                <w:szCs w:val="21"/>
              </w:rPr>
            </w:pPr>
            <w:r>
              <w:rPr>
                <w:rFonts w:hint="eastAsia"/>
                <w:szCs w:val="21"/>
              </w:rPr>
              <w:t>产</w:t>
            </w:r>
            <w:r>
              <w:rPr>
                <w:szCs w:val="21"/>
              </w:rPr>
              <w:t xml:space="preserve"> </w:t>
            </w:r>
            <w:r>
              <w:rPr>
                <w:rFonts w:hint="eastAsia"/>
                <w:szCs w:val="21"/>
              </w:rPr>
              <w:t>出（</w:t>
            </w:r>
            <w:r>
              <w:rPr>
                <w:szCs w:val="21"/>
              </w:rPr>
              <w:t>30</w:t>
            </w:r>
            <w:r>
              <w:rPr>
                <w:rFonts w:hint="eastAsia"/>
                <w:szCs w:val="21"/>
              </w:rPr>
              <w:t>分）</w:t>
            </w:r>
          </w:p>
        </w:tc>
        <w:tc>
          <w:tcPr>
            <w:tcW w:w="322"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职责履行（</w:t>
            </w:r>
            <w:r>
              <w:rPr>
                <w:szCs w:val="21"/>
              </w:rPr>
              <w:t>30</w:t>
            </w:r>
            <w:r>
              <w:rPr>
                <w:rFonts w:hint="eastAsia"/>
                <w:szCs w:val="21"/>
              </w:rPr>
              <w:t>分）</w:t>
            </w: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实际完成率（</w:t>
            </w:r>
            <w:r>
              <w:rPr>
                <w:szCs w:val="21"/>
              </w:rPr>
              <w:t>8</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部门（单位）履行职责而实际完成工作数与计划工作数的比率，用以反映和考核部门（单位）履职工作任务目标的实现程度。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实际完成率</w:t>
            </w:r>
            <w:r>
              <w:rPr>
                <w:szCs w:val="21"/>
              </w:rPr>
              <w:t>=</w:t>
            </w:r>
            <w:r>
              <w:rPr>
                <w:rFonts w:hint="eastAsia"/>
                <w:szCs w:val="21"/>
              </w:rPr>
              <w:t>（实际完成工作数</w:t>
            </w:r>
            <w:r>
              <w:rPr>
                <w:szCs w:val="21"/>
              </w:rPr>
              <w:t>/</w:t>
            </w:r>
            <w:r>
              <w:rPr>
                <w:rFonts w:hint="eastAsia"/>
                <w:szCs w:val="21"/>
              </w:rPr>
              <w:t>计划工作数）×</w:t>
            </w:r>
            <w:r>
              <w:rPr>
                <w:szCs w:val="21"/>
              </w:rPr>
              <w:t>100%</w:t>
            </w:r>
            <w:r>
              <w:rPr>
                <w:rFonts w:hint="eastAsia"/>
                <w:szCs w:val="21"/>
              </w:rPr>
              <w:t>。（实际得分</w:t>
            </w:r>
            <w:r>
              <w:rPr>
                <w:szCs w:val="21"/>
              </w:rPr>
              <w:t>=</w:t>
            </w:r>
            <w:r>
              <w:rPr>
                <w:rFonts w:hint="eastAsia"/>
                <w:szCs w:val="21"/>
              </w:rPr>
              <w:t>实际工作完成率</w:t>
            </w:r>
            <w:r>
              <w:rPr>
                <w:szCs w:val="21"/>
              </w:rPr>
              <w:t>*8</w:t>
            </w:r>
            <w:r>
              <w:rPr>
                <w:rFonts w:hint="eastAsia"/>
                <w:szCs w:val="21"/>
              </w:rPr>
              <w:t>分）</w:t>
            </w:r>
          </w:p>
          <w:p>
            <w:pPr>
              <w:spacing w:line="240" w:lineRule="exact"/>
              <w:rPr>
                <w:szCs w:val="21"/>
              </w:rPr>
            </w:pPr>
            <w:r>
              <w:rPr>
                <w:rFonts w:hint="eastAsia"/>
                <w:szCs w:val="21"/>
              </w:rPr>
              <w:t>实际完成工作数：一定时期（年度或规划期）内部门（单位）实际完成工作任务的数量。</w:t>
            </w:r>
          </w:p>
          <w:p>
            <w:pPr>
              <w:spacing w:line="240" w:lineRule="exact"/>
              <w:rPr>
                <w:szCs w:val="21"/>
              </w:rPr>
            </w:pPr>
            <w:r>
              <w:rPr>
                <w:rFonts w:hint="eastAsia"/>
                <w:szCs w:val="21"/>
              </w:rPr>
              <w:t>计划工作数：部门（单位）整体绩效目标确定的一定时期（年度或规划期）内预计完成工作任务的数量。</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6</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359" w:hRule="atLeast"/>
          <w:jc w:val="center"/>
        </w:trPr>
        <w:tc>
          <w:tcPr>
            <w:tcW w:w="353"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完成及时率（</w:t>
            </w:r>
            <w:r>
              <w:rPr>
                <w:szCs w:val="21"/>
              </w:rPr>
              <w:t>4</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部门（单位）在规定时限内及时完成的实际工作数与计划工作数的比率</w:t>
            </w:r>
            <w:r>
              <w:rPr>
                <w:szCs w:val="21"/>
              </w:rPr>
              <w:t>,</w:t>
            </w:r>
            <w:r>
              <w:rPr>
                <w:rFonts w:hint="eastAsia"/>
                <w:szCs w:val="21"/>
              </w:rPr>
              <w:t>用以反映和考核部门履职时效目标的实现程度。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完成及时率</w:t>
            </w:r>
            <w:r>
              <w:rPr>
                <w:szCs w:val="21"/>
              </w:rPr>
              <w:t>=</w:t>
            </w:r>
            <w:r>
              <w:rPr>
                <w:rFonts w:hint="eastAsia"/>
                <w:szCs w:val="21"/>
              </w:rPr>
              <w:t>（及时完成实际工作数</w:t>
            </w:r>
            <w:r>
              <w:rPr>
                <w:szCs w:val="21"/>
              </w:rPr>
              <w:t>/</w:t>
            </w:r>
            <w:r>
              <w:rPr>
                <w:rFonts w:hint="eastAsia"/>
                <w:szCs w:val="21"/>
              </w:rPr>
              <w:t>计划工作数）×</w:t>
            </w:r>
            <w:r>
              <w:rPr>
                <w:szCs w:val="21"/>
              </w:rPr>
              <w:t>100%</w:t>
            </w:r>
            <w:r>
              <w:rPr>
                <w:rFonts w:hint="eastAsia"/>
                <w:szCs w:val="21"/>
              </w:rPr>
              <w:t>。（</w:t>
            </w:r>
            <w:r>
              <w:rPr>
                <w:szCs w:val="21"/>
              </w:rPr>
              <w:t>1--4</w:t>
            </w:r>
            <w:r>
              <w:rPr>
                <w:rFonts w:hint="eastAsia"/>
                <w:szCs w:val="21"/>
              </w:rPr>
              <w:t>季度各得</w:t>
            </w:r>
            <w:r>
              <w:rPr>
                <w:szCs w:val="21"/>
              </w:rPr>
              <w:t>1</w:t>
            </w:r>
            <w:r>
              <w:rPr>
                <w:rFonts w:hint="eastAsia"/>
                <w:szCs w:val="21"/>
              </w:rPr>
              <w:t>分）</w:t>
            </w:r>
          </w:p>
          <w:p>
            <w:pPr>
              <w:spacing w:line="240" w:lineRule="exact"/>
              <w:rPr>
                <w:szCs w:val="21"/>
              </w:rPr>
            </w:pPr>
            <w:r>
              <w:rPr>
                <w:rFonts w:hint="eastAsia"/>
                <w:szCs w:val="21"/>
              </w:rPr>
              <w:t>及时完成实际工作数：部门（单位）按照整体绩效目标确定的时限实际完成的工作任务数量。</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3</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778" w:hRule="atLeast"/>
          <w:jc w:val="center"/>
        </w:trPr>
        <w:tc>
          <w:tcPr>
            <w:tcW w:w="353"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质量达标率（</w:t>
            </w:r>
            <w:r>
              <w:rPr>
                <w:szCs w:val="21"/>
              </w:rPr>
              <w:t>8</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达到质量标准（绩效标准值）的实际工作数与计划工作数的比率</w:t>
            </w:r>
            <w:r>
              <w:rPr>
                <w:szCs w:val="21"/>
              </w:rPr>
              <w:t>,</w:t>
            </w:r>
            <w:r>
              <w:rPr>
                <w:rFonts w:hint="eastAsia"/>
                <w:szCs w:val="21"/>
              </w:rPr>
              <w:t>用以反映和考核部门履职质量目标的实现程度。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质量达标率</w:t>
            </w:r>
            <w:r>
              <w:rPr>
                <w:szCs w:val="21"/>
              </w:rPr>
              <w:t>=</w:t>
            </w:r>
            <w:r>
              <w:rPr>
                <w:rFonts w:hint="eastAsia"/>
                <w:szCs w:val="21"/>
              </w:rPr>
              <w:t>（质量达标实际工作数</w:t>
            </w:r>
            <w:r>
              <w:rPr>
                <w:szCs w:val="21"/>
              </w:rPr>
              <w:t>/</w:t>
            </w:r>
            <w:r>
              <w:rPr>
                <w:rFonts w:hint="eastAsia"/>
                <w:szCs w:val="21"/>
              </w:rPr>
              <w:t>计划工作数）×</w:t>
            </w:r>
            <w:r>
              <w:rPr>
                <w:szCs w:val="21"/>
              </w:rPr>
              <w:t>100%</w:t>
            </w:r>
            <w:r>
              <w:rPr>
                <w:rFonts w:hint="eastAsia"/>
                <w:szCs w:val="21"/>
              </w:rPr>
              <w:t>。（实际得分</w:t>
            </w:r>
            <w:r>
              <w:rPr>
                <w:szCs w:val="21"/>
              </w:rPr>
              <w:t>=</w:t>
            </w:r>
            <w:r>
              <w:rPr>
                <w:rFonts w:hint="eastAsia"/>
                <w:szCs w:val="21"/>
              </w:rPr>
              <w:t>达标率</w:t>
            </w:r>
            <w:r>
              <w:rPr>
                <w:szCs w:val="21"/>
              </w:rPr>
              <w:t>*8</w:t>
            </w:r>
            <w:r>
              <w:rPr>
                <w:rFonts w:hint="eastAsia"/>
                <w:szCs w:val="21"/>
              </w:rPr>
              <w:t>分）</w:t>
            </w:r>
          </w:p>
          <w:p>
            <w:pPr>
              <w:spacing w:line="240" w:lineRule="exact"/>
              <w:rPr>
                <w:szCs w:val="21"/>
              </w:rPr>
            </w:pPr>
            <w:r>
              <w:rPr>
                <w:rFonts w:hint="eastAsia"/>
                <w:szCs w:val="21"/>
              </w:rPr>
              <w:t>质量达标实际工作数：一定时期（年度或规划期）内部门（单位）实际完成工作数中达到部门绩效目标要求（绩效标准值）的工作任务数量。</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6</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464" w:hRule="atLeast"/>
          <w:jc w:val="center"/>
        </w:trPr>
        <w:tc>
          <w:tcPr>
            <w:tcW w:w="353"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322"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重点工作办结率（</w:t>
            </w:r>
            <w:r>
              <w:rPr>
                <w:szCs w:val="21"/>
              </w:rPr>
              <w:t>10</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部门（单位）年度重点工作实际完成数与交办或下达数的比率，用以反映部门（单位）对重点工作的办理落实程度。</w:t>
            </w:r>
          </w:p>
        </w:tc>
        <w:tc>
          <w:tcPr>
            <w:tcW w:w="1611"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重点工作办结率</w:t>
            </w:r>
            <w:r>
              <w:rPr>
                <w:szCs w:val="21"/>
              </w:rPr>
              <w:t>=</w:t>
            </w:r>
            <w:r>
              <w:rPr>
                <w:rFonts w:hint="eastAsia"/>
                <w:szCs w:val="21"/>
              </w:rPr>
              <w:t>（重点工作实际完成数</w:t>
            </w:r>
            <w:r>
              <w:rPr>
                <w:szCs w:val="21"/>
              </w:rPr>
              <w:t>/</w:t>
            </w:r>
            <w:r>
              <w:rPr>
                <w:rFonts w:hint="eastAsia"/>
                <w:szCs w:val="21"/>
              </w:rPr>
              <w:t>交办或下达数）×</w:t>
            </w:r>
            <w:r>
              <w:rPr>
                <w:szCs w:val="21"/>
              </w:rPr>
              <w:t>100%</w:t>
            </w:r>
            <w:r>
              <w:rPr>
                <w:rFonts w:hint="eastAsia"/>
                <w:szCs w:val="21"/>
              </w:rPr>
              <w:t>。（实际得分</w:t>
            </w:r>
            <w:r>
              <w:rPr>
                <w:szCs w:val="21"/>
              </w:rPr>
              <w:t>=</w:t>
            </w:r>
            <w:r>
              <w:rPr>
                <w:rFonts w:hint="eastAsia"/>
                <w:szCs w:val="21"/>
              </w:rPr>
              <w:t>办结率</w:t>
            </w:r>
            <w:r>
              <w:rPr>
                <w:szCs w:val="21"/>
              </w:rPr>
              <w:t>*10</w:t>
            </w:r>
            <w:r>
              <w:rPr>
                <w:rFonts w:hint="eastAsia"/>
                <w:szCs w:val="21"/>
              </w:rPr>
              <w:t>分）</w:t>
            </w:r>
          </w:p>
          <w:p>
            <w:pPr>
              <w:spacing w:line="240" w:lineRule="exact"/>
              <w:rPr>
                <w:szCs w:val="21"/>
              </w:rPr>
            </w:pPr>
            <w:r>
              <w:rPr>
                <w:rFonts w:hint="eastAsia"/>
                <w:szCs w:val="21"/>
              </w:rPr>
              <w:t>重点工作是指党委、政府、人大、相关部门交办或下达的工作任务。</w:t>
            </w:r>
          </w:p>
        </w:tc>
        <w:tc>
          <w:tcPr>
            <w:tcW w:w="469" w:type="pct"/>
            <w:tcBorders>
              <w:top w:val="nil"/>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8</w:t>
            </w:r>
          </w:p>
        </w:tc>
        <w:tc>
          <w:tcPr>
            <w:tcW w:w="441"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776" w:hRule="atLeast"/>
          <w:jc w:val="center"/>
        </w:trPr>
        <w:tc>
          <w:tcPr>
            <w:tcW w:w="353" w:type="pct"/>
            <w:vMerge w:val="restart"/>
            <w:tcBorders>
              <w:top w:val="single" w:color="auto" w:sz="4" w:space="0"/>
              <w:left w:val="single" w:color="auto" w:sz="12" w:space="0"/>
              <w:bottom w:val="single" w:color="auto" w:sz="4" w:space="0"/>
              <w:right w:val="single" w:color="auto" w:sz="4" w:space="0"/>
            </w:tcBorders>
            <w:noWrap/>
            <w:textDirection w:val="tbRlV"/>
            <w:vAlign w:val="center"/>
          </w:tcPr>
          <w:p>
            <w:pPr>
              <w:spacing w:line="240" w:lineRule="exact"/>
              <w:jc w:val="center"/>
              <w:rPr>
                <w:szCs w:val="21"/>
              </w:rPr>
            </w:pPr>
            <w:r>
              <w:rPr>
                <w:rFonts w:hint="eastAsia"/>
                <w:szCs w:val="21"/>
              </w:rPr>
              <w:t>效</w:t>
            </w:r>
            <w:r>
              <w:rPr>
                <w:szCs w:val="21"/>
              </w:rPr>
              <w:t xml:space="preserve"> </w:t>
            </w:r>
            <w:r>
              <w:rPr>
                <w:rFonts w:hint="eastAsia"/>
                <w:szCs w:val="21"/>
              </w:rPr>
              <w:t>果（</w:t>
            </w:r>
            <w:r>
              <w:rPr>
                <w:szCs w:val="21"/>
              </w:rPr>
              <w:t>20</w:t>
            </w:r>
            <w:r>
              <w:rPr>
                <w:rFonts w:hint="eastAsia"/>
                <w:szCs w:val="21"/>
              </w:rPr>
              <w:t>分）</w:t>
            </w:r>
          </w:p>
        </w:tc>
        <w:tc>
          <w:tcPr>
            <w:tcW w:w="322"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履职效益（</w:t>
            </w:r>
            <w:r>
              <w:rPr>
                <w:szCs w:val="21"/>
              </w:rPr>
              <w:t>20</w:t>
            </w:r>
            <w:r>
              <w:rPr>
                <w:rFonts w:hint="eastAsia"/>
                <w:szCs w:val="21"/>
              </w:rPr>
              <w:t>分）</w:t>
            </w:r>
          </w:p>
        </w:tc>
        <w:tc>
          <w:tcPr>
            <w:tcW w:w="572"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经济效益（</w:t>
            </w:r>
            <w:r>
              <w:rPr>
                <w:szCs w:val="21"/>
              </w:rPr>
              <w:t>5</w:t>
            </w:r>
            <w:r>
              <w:rPr>
                <w:rFonts w:hint="eastAsia"/>
                <w:szCs w:val="21"/>
              </w:rPr>
              <w:t>分）</w:t>
            </w:r>
          </w:p>
        </w:tc>
        <w:tc>
          <w:tcPr>
            <w:tcW w:w="1229"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部门（单位）履行职责对经济发展所带来的直接或间接影响。</w:t>
            </w:r>
          </w:p>
        </w:tc>
        <w:tc>
          <w:tcPr>
            <w:tcW w:w="1611"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rPr>
                <w:szCs w:val="21"/>
              </w:rPr>
            </w:pPr>
            <w:r>
              <w:rPr>
                <w:rFonts w:hint="eastAsia"/>
                <w:szCs w:val="21"/>
              </w:rPr>
              <w:t>此三项指标为部门整体支出绩效评价指标的共性要素，各单位按照部门整体支出绩效目标实现程度为依据。（按经济效益实现程度</w:t>
            </w:r>
            <w:r>
              <w:rPr>
                <w:szCs w:val="21"/>
              </w:rPr>
              <w:t>*5</w:t>
            </w:r>
            <w:r>
              <w:rPr>
                <w:rFonts w:hint="eastAsia"/>
                <w:szCs w:val="21"/>
              </w:rPr>
              <w:t>、社会效益实现程度</w:t>
            </w:r>
            <w:r>
              <w:rPr>
                <w:szCs w:val="21"/>
              </w:rPr>
              <w:t>*5</w:t>
            </w:r>
            <w:r>
              <w:rPr>
                <w:rFonts w:hint="eastAsia"/>
                <w:szCs w:val="21"/>
              </w:rPr>
              <w:t>、生态效益实现程度</w:t>
            </w:r>
            <w:r>
              <w:rPr>
                <w:szCs w:val="21"/>
              </w:rPr>
              <w:t>*5</w:t>
            </w:r>
            <w:r>
              <w:rPr>
                <w:rFonts w:hint="eastAsia"/>
                <w:szCs w:val="21"/>
              </w:rPr>
              <w:t>计算实际得分）</w:t>
            </w:r>
          </w:p>
        </w:tc>
        <w:tc>
          <w:tcPr>
            <w:tcW w:w="469" w:type="pct"/>
            <w:tcBorders>
              <w:top w:val="single" w:color="auto" w:sz="4" w:space="0"/>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3</w:t>
            </w:r>
          </w:p>
        </w:tc>
        <w:tc>
          <w:tcPr>
            <w:tcW w:w="441"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876" w:hRule="atLeast"/>
          <w:jc w:val="center"/>
        </w:trPr>
        <w:tc>
          <w:tcPr>
            <w:tcW w:w="353"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322"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社会效益（</w:t>
            </w:r>
            <w:r>
              <w:rPr>
                <w:szCs w:val="21"/>
              </w:rPr>
              <w:t>5</w:t>
            </w:r>
            <w:r>
              <w:rPr>
                <w:rFonts w:hint="eastAsia"/>
                <w:szCs w:val="21"/>
              </w:rPr>
              <w:t>分）</w:t>
            </w:r>
          </w:p>
        </w:tc>
        <w:tc>
          <w:tcPr>
            <w:tcW w:w="1229"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部门（单位）履行职责对社会发展所带来的直接或间接影响。</w:t>
            </w:r>
          </w:p>
        </w:tc>
        <w:tc>
          <w:tcPr>
            <w:tcW w:w="1611"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rPr>
                <w:szCs w:val="21"/>
              </w:rPr>
            </w:pPr>
          </w:p>
        </w:tc>
        <w:tc>
          <w:tcPr>
            <w:tcW w:w="469" w:type="pct"/>
            <w:tcBorders>
              <w:top w:val="single" w:color="auto" w:sz="4" w:space="0"/>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5</w:t>
            </w:r>
          </w:p>
        </w:tc>
        <w:tc>
          <w:tcPr>
            <w:tcW w:w="441"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777" w:hRule="atLeast"/>
          <w:jc w:val="center"/>
        </w:trPr>
        <w:tc>
          <w:tcPr>
            <w:tcW w:w="353"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322"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生态效益（</w:t>
            </w:r>
            <w:r>
              <w:rPr>
                <w:szCs w:val="21"/>
              </w:rPr>
              <w:t>5</w:t>
            </w:r>
            <w:r>
              <w:rPr>
                <w:rFonts w:hint="eastAsia"/>
                <w:szCs w:val="21"/>
              </w:rPr>
              <w:t>分）</w:t>
            </w:r>
          </w:p>
        </w:tc>
        <w:tc>
          <w:tcPr>
            <w:tcW w:w="1229"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部门（单位）履行职责对生态环境所带来的直接或间接影响。</w:t>
            </w:r>
          </w:p>
        </w:tc>
        <w:tc>
          <w:tcPr>
            <w:tcW w:w="1611"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rPr>
                <w:szCs w:val="21"/>
              </w:rPr>
            </w:pPr>
          </w:p>
        </w:tc>
        <w:tc>
          <w:tcPr>
            <w:tcW w:w="469" w:type="pct"/>
            <w:tcBorders>
              <w:top w:val="single" w:color="auto" w:sz="4" w:space="0"/>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3</w:t>
            </w:r>
          </w:p>
        </w:tc>
        <w:tc>
          <w:tcPr>
            <w:tcW w:w="441"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323" w:hRule="atLeast"/>
          <w:jc w:val="center"/>
        </w:trPr>
        <w:tc>
          <w:tcPr>
            <w:tcW w:w="353"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322"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社会公众或服务对象满意度（</w:t>
            </w:r>
            <w:r>
              <w:rPr>
                <w:szCs w:val="21"/>
              </w:rPr>
              <w:t>5</w:t>
            </w:r>
            <w:r>
              <w:rPr>
                <w:rFonts w:hint="eastAsia"/>
                <w:szCs w:val="21"/>
              </w:rPr>
              <w:t>分）</w:t>
            </w:r>
          </w:p>
        </w:tc>
        <w:tc>
          <w:tcPr>
            <w:tcW w:w="1229"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社会公众或部门（单位）的服务对象对部门履职效果的满意程度。</w:t>
            </w:r>
          </w:p>
        </w:tc>
        <w:tc>
          <w:tcPr>
            <w:tcW w:w="1611"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社会公众或服务对象是指部门（单位）履行职责而影响到的部门、群体或个人。一般采取社会调查的方式。（按收到的服务对象的满意率计算得分）</w:t>
            </w:r>
          </w:p>
        </w:tc>
        <w:tc>
          <w:tcPr>
            <w:tcW w:w="469" w:type="pct"/>
            <w:tcBorders>
              <w:top w:val="single" w:color="auto" w:sz="4" w:space="0"/>
              <w:left w:val="nil"/>
              <w:bottom w:val="single" w:color="auto" w:sz="4" w:space="0"/>
              <w:right w:val="single" w:color="auto" w:sz="4" w:space="0"/>
            </w:tcBorders>
            <w:noWrap/>
            <w:vAlign w:val="center"/>
          </w:tcPr>
          <w:p>
            <w:pPr>
              <w:spacing w:line="240" w:lineRule="exact"/>
              <w:jc w:val="center"/>
              <w:rPr>
                <w:rFonts w:hint="eastAsia"/>
                <w:lang w:val="en-US" w:eastAsia="zh-CN"/>
              </w:rPr>
            </w:pPr>
            <w:r>
              <w:rPr>
                <w:rFonts w:hint="eastAsia"/>
                <w:lang w:val="en-US" w:eastAsia="zh-CN"/>
              </w:rPr>
              <w:t>4</w:t>
            </w:r>
          </w:p>
          <w:p>
            <w:pPr>
              <w:pStyle w:val="2"/>
              <w:rPr>
                <w:rFonts w:hint="default"/>
                <w:lang w:val="en-US" w:eastAsia="zh-CN"/>
              </w:rPr>
            </w:pPr>
          </w:p>
        </w:tc>
        <w:tc>
          <w:tcPr>
            <w:tcW w:w="441"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584" w:hRule="atLeast"/>
          <w:jc w:val="center"/>
        </w:trPr>
        <w:tc>
          <w:tcPr>
            <w:tcW w:w="4088" w:type="pct"/>
            <w:gridSpan w:val="5"/>
            <w:tcBorders>
              <w:top w:val="single" w:color="auto" w:sz="4" w:space="0"/>
              <w:left w:val="single" w:color="auto" w:sz="12" w:space="0"/>
              <w:bottom w:val="single" w:color="auto" w:sz="12" w:space="0"/>
              <w:right w:val="single" w:color="auto" w:sz="4" w:space="0"/>
            </w:tcBorders>
            <w:noWrap w:val="0"/>
            <w:vAlign w:val="center"/>
          </w:tcPr>
          <w:p>
            <w:pPr>
              <w:spacing w:line="240" w:lineRule="exact"/>
              <w:jc w:val="center"/>
              <w:rPr>
                <w:szCs w:val="21"/>
              </w:rPr>
            </w:pPr>
            <w:r>
              <w:rPr>
                <w:rFonts w:hint="eastAsia"/>
                <w:szCs w:val="21"/>
              </w:rPr>
              <w:t>合</w:t>
            </w:r>
            <w:r>
              <w:rPr>
                <w:szCs w:val="21"/>
              </w:rPr>
              <w:t xml:space="preserve">      </w:t>
            </w:r>
            <w:r>
              <w:rPr>
                <w:rFonts w:hint="eastAsia"/>
                <w:szCs w:val="21"/>
              </w:rPr>
              <w:t>计</w:t>
            </w:r>
          </w:p>
        </w:tc>
        <w:tc>
          <w:tcPr>
            <w:tcW w:w="469" w:type="pct"/>
            <w:tcBorders>
              <w:top w:val="single" w:color="auto" w:sz="4" w:space="0"/>
              <w:left w:val="nil"/>
              <w:bottom w:val="single" w:color="auto" w:sz="12"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82.7</w:t>
            </w:r>
          </w:p>
        </w:tc>
        <w:tc>
          <w:tcPr>
            <w:tcW w:w="441" w:type="pct"/>
            <w:tcBorders>
              <w:top w:val="single" w:color="auto" w:sz="4" w:space="0"/>
              <w:left w:val="nil"/>
              <w:bottom w:val="single" w:color="auto" w:sz="12" w:space="0"/>
              <w:right w:val="single" w:color="auto" w:sz="12" w:space="0"/>
            </w:tcBorders>
            <w:noWrap/>
            <w:vAlign w:val="center"/>
          </w:tcPr>
          <w:p>
            <w:pPr>
              <w:spacing w:line="240" w:lineRule="exact"/>
              <w:jc w:val="center"/>
              <w:rPr>
                <w:szCs w:val="21"/>
              </w:rPr>
            </w:pPr>
          </w:p>
        </w:tc>
      </w:tr>
    </w:tbl>
    <w:p>
      <w:pPr>
        <w:pStyle w:val="2"/>
      </w:pPr>
    </w:p>
    <w:p>
      <w:pPr>
        <w:rPr>
          <w:rFonts w:hint="eastAsia"/>
          <w:lang w:val="en-US" w:eastAsia="zh-CN"/>
        </w:rPr>
      </w:pPr>
    </w:p>
    <w:p>
      <w:pPr>
        <w:spacing w:line="600" w:lineRule="exact"/>
        <w:jc w:val="center"/>
        <w:outlineLvl w:val="0"/>
        <w:rPr>
          <w:rFonts w:hint="eastAsia" w:ascii="黑体" w:hAnsi="黑体" w:eastAsia="黑体"/>
          <w:sz w:val="44"/>
          <w:szCs w:val="44"/>
        </w:rPr>
      </w:pPr>
      <w:bookmarkStart w:id="53" w:name="_Toc15396618"/>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ascii="仿宋" w:hAnsi="仿宋" w:eastAsia="仿宋"/>
        </w:rPr>
      </w:pPr>
      <w:r>
        <w:rPr>
          <w:rFonts w:hint="eastAsia" w:ascii="黑体" w:hAnsi="黑体" w:eastAsia="黑体"/>
          <w:sz w:val="44"/>
          <w:szCs w:val="44"/>
        </w:rPr>
        <w:t>第</w:t>
      </w:r>
      <w:r>
        <w:rPr>
          <w:rStyle w:val="29"/>
          <w:rFonts w:hint="eastAsia" w:ascii="黑体" w:hAnsi="黑体" w:eastAsia="黑体"/>
          <w:b w:val="0"/>
        </w:rPr>
        <w:t>五部分 附表</w:t>
      </w:r>
      <w:bookmarkEnd w:id="51"/>
      <w:bookmarkEnd w:id="53"/>
      <w:bookmarkStart w:id="54" w:name="_Toc15396619"/>
    </w:p>
    <w:p>
      <w:pPr>
        <w:pStyle w:val="4"/>
        <w:rPr>
          <w:rFonts w:ascii="仿宋" w:hAnsi="仿宋" w:eastAsia="仿宋"/>
        </w:rPr>
      </w:pPr>
      <w:r>
        <w:rPr>
          <w:rFonts w:hint="eastAsia" w:ascii="仿宋" w:hAnsi="仿宋" w:eastAsia="仿宋"/>
          <w:b w:val="0"/>
        </w:rPr>
        <w:t>一、收</w:t>
      </w:r>
      <w:r>
        <w:rPr>
          <w:rStyle w:val="30"/>
          <w:rFonts w:hint="eastAsia" w:ascii="仿宋" w:hAnsi="仿宋" w:eastAsia="仿宋"/>
          <w:b w:val="0"/>
          <w:bCs w:val="0"/>
        </w:rPr>
        <w:t>入支出决算总表</w:t>
      </w:r>
      <w:bookmarkEnd w:id="54"/>
    </w:p>
    <w:p>
      <w:pPr>
        <w:pStyle w:val="4"/>
        <w:rPr>
          <w:rFonts w:ascii="仿宋" w:hAnsi="仿宋" w:eastAsia="仿宋"/>
        </w:rPr>
      </w:pPr>
      <w:bookmarkStart w:id="55" w:name="_Toc15396620"/>
      <w:r>
        <w:rPr>
          <w:rFonts w:hint="eastAsia" w:ascii="仿宋" w:hAnsi="仿宋" w:eastAsia="仿宋"/>
          <w:b w:val="0"/>
        </w:rPr>
        <w:t>二、收</w:t>
      </w:r>
      <w:r>
        <w:rPr>
          <w:rStyle w:val="30"/>
          <w:rFonts w:hint="eastAsia" w:ascii="仿宋" w:hAnsi="仿宋" w:eastAsia="仿宋"/>
          <w:b w:val="0"/>
          <w:bCs w:val="0"/>
        </w:rPr>
        <w:t>入决算表</w:t>
      </w:r>
      <w:bookmarkEnd w:id="55"/>
    </w:p>
    <w:p>
      <w:pPr>
        <w:pStyle w:val="4"/>
        <w:rPr>
          <w:rFonts w:ascii="仿宋" w:hAnsi="仿宋" w:eastAsia="仿宋"/>
        </w:rPr>
      </w:pPr>
      <w:bookmarkStart w:id="56" w:name="_Toc15396621"/>
      <w:r>
        <w:rPr>
          <w:rStyle w:val="30"/>
          <w:rFonts w:hint="eastAsia" w:ascii="仿宋" w:hAnsi="仿宋" w:eastAsia="仿宋"/>
          <w:b w:val="0"/>
          <w:bCs w:val="0"/>
        </w:rPr>
        <w:t>三、</w:t>
      </w:r>
      <w:r>
        <w:rPr>
          <w:rFonts w:hint="eastAsia" w:ascii="仿宋" w:hAnsi="仿宋" w:eastAsia="仿宋"/>
          <w:b w:val="0"/>
        </w:rPr>
        <w:t>支</w:t>
      </w:r>
      <w:r>
        <w:rPr>
          <w:rStyle w:val="30"/>
          <w:rFonts w:hint="eastAsia" w:ascii="仿宋" w:hAnsi="仿宋" w:eastAsia="仿宋"/>
          <w:b w:val="0"/>
          <w:bCs w:val="0"/>
        </w:rPr>
        <w:t>出决算表</w:t>
      </w:r>
      <w:bookmarkEnd w:id="56"/>
    </w:p>
    <w:p>
      <w:pPr>
        <w:pStyle w:val="4"/>
        <w:rPr>
          <w:rFonts w:ascii="仿宋" w:hAnsi="仿宋" w:eastAsia="仿宋"/>
          <w:b w:val="0"/>
        </w:rPr>
      </w:pPr>
      <w:bookmarkStart w:id="57" w:name="_Toc15396622"/>
      <w:r>
        <w:rPr>
          <w:rStyle w:val="30"/>
          <w:rFonts w:hint="eastAsia" w:ascii="仿宋" w:hAnsi="仿宋" w:eastAsia="仿宋"/>
          <w:b w:val="0"/>
          <w:bCs w:val="0"/>
        </w:rPr>
        <w:t>四、</w:t>
      </w:r>
      <w:r>
        <w:rPr>
          <w:rFonts w:hint="eastAsia" w:ascii="仿宋" w:hAnsi="仿宋" w:eastAsia="仿宋"/>
          <w:b w:val="0"/>
        </w:rPr>
        <w:t>财</w:t>
      </w:r>
      <w:r>
        <w:rPr>
          <w:rStyle w:val="30"/>
          <w:rFonts w:hint="eastAsia" w:ascii="仿宋" w:hAnsi="仿宋" w:eastAsia="仿宋"/>
          <w:b w:val="0"/>
          <w:bCs w:val="0"/>
        </w:rPr>
        <w:t>政拨款收入支出决算总表</w:t>
      </w:r>
      <w:bookmarkEnd w:id="57"/>
    </w:p>
    <w:p>
      <w:pPr>
        <w:pStyle w:val="4"/>
        <w:rPr>
          <w:rStyle w:val="30"/>
          <w:rFonts w:ascii="仿宋" w:hAnsi="仿宋" w:eastAsia="仿宋"/>
          <w:b w:val="0"/>
          <w:bCs w:val="0"/>
        </w:rPr>
      </w:pPr>
      <w:bookmarkStart w:id="58" w:name="_Toc15396623"/>
      <w:r>
        <w:rPr>
          <w:rStyle w:val="30"/>
          <w:rFonts w:hint="eastAsia" w:ascii="仿宋" w:hAnsi="仿宋" w:eastAsia="仿宋"/>
          <w:b w:val="0"/>
          <w:bCs w:val="0"/>
        </w:rPr>
        <w:t>五、</w:t>
      </w:r>
      <w:r>
        <w:rPr>
          <w:rFonts w:hint="eastAsia" w:ascii="仿宋" w:hAnsi="仿宋" w:eastAsia="仿宋"/>
          <w:b w:val="0"/>
        </w:rPr>
        <w:t>财</w:t>
      </w:r>
      <w:r>
        <w:rPr>
          <w:rStyle w:val="30"/>
          <w:rFonts w:hint="eastAsia" w:ascii="仿宋" w:hAnsi="仿宋" w:eastAsia="仿宋"/>
          <w:b w:val="0"/>
          <w:bCs w:val="0"/>
        </w:rPr>
        <w:t>政拨款支出决算明细表</w:t>
      </w:r>
      <w:bookmarkEnd w:id="58"/>
      <w:bookmarkStart w:id="59" w:name="_Toc15396624"/>
    </w:p>
    <w:p>
      <w:pPr>
        <w:pStyle w:val="4"/>
        <w:rPr>
          <w:rFonts w:ascii="仿宋" w:hAnsi="仿宋" w:eastAsia="仿宋"/>
        </w:rPr>
      </w:pPr>
      <w:r>
        <w:rPr>
          <w:rStyle w:val="30"/>
          <w:rFonts w:hint="eastAsia" w:ascii="仿宋" w:hAnsi="仿宋" w:eastAsia="仿宋"/>
          <w:b w:val="0"/>
          <w:bCs w:val="0"/>
        </w:rPr>
        <w:t>六、</w:t>
      </w:r>
      <w:r>
        <w:rPr>
          <w:rFonts w:hint="eastAsia" w:ascii="仿宋" w:hAnsi="仿宋" w:eastAsia="仿宋"/>
          <w:b w:val="0"/>
        </w:rPr>
        <w:t>一</w:t>
      </w:r>
      <w:r>
        <w:rPr>
          <w:rStyle w:val="30"/>
          <w:rFonts w:hint="eastAsia" w:ascii="仿宋" w:hAnsi="仿宋" w:eastAsia="仿宋"/>
          <w:b w:val="0"/>
          <w:bCs w:val="0"/>
        </w:rPr>
        <w:t>般公共预算财政拨款支出决算表</w:t>
      </w:r>
      <w:bookmarkEnd w:id="59"/>
    </w:p>
    <w:p>
      <w:pPr>
        <w:pStyle w:val="4"/>
        <w:rPr>
          <w:rFonts w:ascii="仿宋" w:hAnsi="仿宋" w:eastAsia="仿宋"/>
        </w:rPr>
      </w:pPr>
      <w:bookmarkStart w:id="60" w:name="_Toc15396625"/>
      <w:r>
        <w:rPr>
          <w:rStyle w:val="30"/>
          <w:rFonts w:hint="eastAsia" w:ascii="仿宋" w:hAnsi="仿宋" w:eastAsia="仿宋"/>
          <w:b w:val="0"/>
          <w:bCs w:val="0"/>
        </w:rPr>
        <w:t>七、</w:t>
      </w:r>
      <w:r>
        <w:rPr>
          <w:rFonts w:hint="eastAsia" w:ascii="仿宋" w:hAnsi="仿宋" w:eastAsia="仿宋"/>
          <w:b w:val="0"/>
        </w:rPr>
        <w:t>一</w:t>
      </w:r>
      <w:r>
        <w:rPr>
          <w:rStyle w:val="30"/>
          <w:rFonts w:hint="eastAsia" w:ascii="仿宋" w:hAnsi="仿宋" w:eastAsia="仿宋"/>
          <w:b w:val="0"/>
          <w:bCs w:val="0"/>
        </w:rPr>
        <w:t>般公共预算财政拨款支出决算明细表</w:t>
      </w:r>
      <w:bookmarkEnd w:id="60"/>
    </w:p>
    <w:p>
      <w:pPr>
        <w:pStyle w:val="4"/>
        <w:rPr>
          <w:rFonts w:ascii="仿宋" w:hAnsi="仿宋" w:eastAsia="仿宋"/>
        </w:rPr>
      </w:pPr>
      <w:bookmarkStart w:id="61" w:name="_Toc15396626"/>
      <w:r>
        <w:rPr>
          <w:rStyle w:val="30"/>
          <w:rFonts w:hint="eastAsia" w:ascii="仿宋" w:hAnsi="仿宋" w:eastAsia="仿宋"/>
          <w:b w:val="0"/>
          <w:bCs w:val="0"/>
        </w:rPr>
        <w:t>八、</w:t>
      </w:r>
      <w:r>
        <w:rPr>
          <w:rFonts w:hint="eastAsia" w:ascii="仿宋" w:hAnsi="仿宋" w:eastAsia="仿宋"/>
          <w:b w:val="0"/>
        </w:rPr>
        <w:t>一</w:t>
      </w:r>
      <w:r>
        <w:rPr>
          <w:rStyle w:val="30"/>
          <w:rFonts w:hint="eastAsia" w:ascii="仿宋" w:hAnsi="仿宋" w:eastAsia="仿宋"/>
          <w:b w:val="0"/>
          <w:bCs w:val="0"/>
        </w:rPr>
        <w:t>般公共预算财政拨款基本支出决算表</w:t>
      </w:r>
      <w:bookmarkEnd w:id="61"/>
    </w:p>
    <w:p>
      <w:pPr>
        <w:pStyle w:val="4"/>
        <w:rPr>
          <w:rFonts w:ascii="仿宋" w:hAnsi="仿宋" w:eastAsia="仿宋"/>
        </w:rPr>
      </w:pPr>
      <w:bookmarkStart w:id="62" w:name="_Toc15396627"/>
      <w:r>
        <w:rPr>
          <w:rStyle w:val="30"/>
          <w:rFonts w:hint="eastAsia" w:ascii="仿宋" w:hAnsi="仿宋" w:eastAsia="仿宋"/>
          <w:b w:val="0"/>
          <w:bCs w:val="0"/>
        </w:rPr>
        <w:t>九、</w:t>
      </w:r>
      <w:r>
        <w:rPr>
          <w:rFonts w:hint="eastAsia" w:ascii="仿宋" w:hAnsi="仿宋" w:eastAsia="仿宋"/>
          <w:b w:val="0"/>
        </w:rPr>
        <w:t>一</w:t>
      </w:r>
      <w:r>
        <w:rPr>
          <w:rStyle w:val="30"/>
          <w:rFonts w:hint="eastAsia" w:ascii="仿宋" w:hAnsi="仿宋" w:eastAsia="仿宋"/>
          <w:b w:val="0"/>
          <w:bCs w:val="0"/>
        </w:rPr>
        <w:t>般公共预算财政拨款项目支出决算表</w:t>
      </w:r>
      <w:bookmarkEnd w:id="62"/>
    </w:p>
    <w:p>
      <w:pPr>
        <w:pStyle w:val="4"/>
        <w:rPr>
          <w:rFonts w:ascii="仿宋" w:hAnsi="仿宋" w:eastAsia="仿宋"/>
        </w:rPr>
      </w:pPr>
      <w:bookmarkStart w:id="63" w:name="_Toc15396628"/>
      <w:r>
        <w:rPr>
          <w:rStyle w:val="30"/>
          <w:rFonts w:hint="eastAsia" w:ascii="仿宋" w:hAnsi="仿宋" w:eastAsia="仿宋"/>
          <w:b w:val="0"/>
          <w:bCs w:val="0"/>
        </w:rPr>
        <w:t>十、</w:t>
      </w:r>
      <w:bookmarkEnd w:id="63"/>
      <w:r>
        <w:rPr>
          <w:rFonts w:hint="eastAsia" w:ascii="仿宋" w:hAnsi="仿宋" w:eastAsia="仿宋"/>
          <w:b w:val="0"/>
        </w:rPr>
        <w:t>政</w:t>
      </w:r>
      <w:r>
        <w:rPr>
          <w:rStyle w:val="30"/>
          <w:rFonts w:hint="eastAsia" w:ascii="仿宋" w:hAnsi="仿宋" w:eastAsia="仿宋"/>
          <w:b w:val="0"/>
          <w:bCs w:val="0"/>
        </w:rPr>
        <w:t>府性基金预算财政拨款收入支出决算表</w:t>
      </w:r>
    </w:p>
    <w:p>
      <w:pPr>
        <w:pStyle w:val="4"/>
        <w:rPr>
          <w:rFonts w:ascii="仿宋" w:hAnsi="仿宋" w:eastAsia="仿宋"/>
        </w:rPr>
      </w:pPr>
      <w:bookmarkStart w:id="64" w:name="_Toc15396629"/>
      <w:r>
        <w:rPr>
          <w:rStyle w:val="30"/>
          <w:rFonts w:hint="eastAsia" w:ascii="仿宋" w:hAnsi="仿宋" w:eastAsia="仿宋"/>
          <w:b w:val="0"/>
          <w:bCs w:val="0"/>
        </w:rPr>
        <w:t>十一、</w:t>
      </w:r>
      <w:bookmarkEnd w:id="64"/>
      <w:r>
        <w:rPr>
          <w:rFonts w:hint="eastAsia" w:ascii="仿宋" w:hAnsi="仿宋" w:eastAsia="仿宋"/>
          <w:b w:val="0"/>
        </w:rPr>
        <w:t>国</w:t>
      </w:r>
      <w:r>
        <w:rPr>
          <w:rStyle w:val="30"/>
          <w:rFonts w:hint="eastAsia" w:ascii="仿宋" w:hAnsi="仿宋" w:eastAsia="仿宋"/>
          <w:b w:val="0"/>
          <w:bCs w:val="0"/>
        </w:rPr>
        <w:t>有资本经营预算财政拨款收入支出决算表</w:t>
      </w:r>
    </w:p>
    <w:p>
      <w:pPr>
        <w:pStyle w:val="4"/>
        <w:rPr>
          <w:rFonts w:ascii="仿宋" w:hAnsi="仿宋" w:eastAsia="仿宋"/>
        </w:rPr>
      </w:pPr>
      <w:bookmarkStart w:id="65" w:name="_Toc15396630"/>
      <w:r>
        <w:rPr>
          <w:rStyle w:val="30"/>
          <w:rFonts w:hint="eastAsia" w:ascii="仿宋" w:hAnsi="仿宋" w:eastAsia="仿宋"/>
          <w:b w:val="0"/>
          <w:bCs w:val="0"/>
        </w:rPr>
        <w:t>十二、</w:t>
      </w:r>
      <w:bookmarkEnd w:id="65"/>
      <w:r>
        <w:rPr>
          <w:rStyle w:val="30"/>
          <w:rFonts w:hint="eastAsia" w:ascii="仿宋" w:hAnsi="仿宋" w:eastAsia="仿宋"/>
          <w:b w:val="0"/>
          <w:bCs w:val="0"/>
        </w:rPr>
        <w:t>国有资本经营预算财政拨款支出决算表</w:t>
      </w:r>
    </w:p>
    <w:p>
      <w:pPr>
        <w:pStyle w:val="4"/>
        <w:rPr>
          <w:rStyle w:val="30"/>
          <w:rFonts w:hint="eastAsia" w:ascii="仿宋" w:hAnsi="仿宋" w:eastAsia="仿宋"/>
          <w:b w:val="0"/>
          <w:bCs w:val="0"/>
        </w:rPr>
      </w:pPr>
      <w:bookmarkStart w:id="66" w:name="_Toc15396631"/>
      <w:r>
        <w:rPr>
          <w:rStyle w:val="30"/>
          <w:rFonts w:hint="eastAsia" w:ascii="仿宋" w:hAnsi="仿宋" w:eastAsia="仿宋"/>
          <w:b w:val="0"/>
          <w:bCs w:val="0"/>
        </w:rPr>
        <w:t>十三、</w:t>
      </w:r>
      <w:bookmarkEnd w:id="66"/>
      <w:r>
        <w:rPr>
          <w:rStyle w:val="30"/>
          <w:rFonts w:hint="eastAsia" w:ascii="仿宋" w:hAnsi="仿宋" w:eastAsia="仿宋"/>
          <w:b w:val="0"/>
          <w:bCs w:val="0"/>
        </w:rPr>
        <w:t>财政拨款“三公”经费支出决算表</w:t>
      </w:r>
      <w:bookmarkStart w:id="67" w:name="_GoBack"/>
      <w:bookmarkEnd w:id="67"/>
    </w:p>
    <w:p>
      <w:pPr>
        <w:rPr>
          <w:rStyle w:val="30"/>
          <w:rFonts w:hint="eastAsia" w:ascii="仿宋" w:hAnsi="仿宋" w:eastAsia="仿宋"/>
          <w:b w:val="0"/>
          <w:bCs w:val="0"/>
        </w:rPr>
      </w:pPr>
    </w:p>
    <w:p>
      <w:pPr>
        <w:pStyle w:val="2"/>
      </w:pP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方正黑体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楷体简体">
    <w:altName w:val="宋体"/>
    <w:panose1 w:val="02010601030101010101"/>
    <w:charset w:val="86"/>
    <w:family w:val="auto"/>
    <w:pitch w:val="default"/>
    <w:sig w:usb0="00000000" w:usb1="00000000" w:usb2="00000010" w:usb3="00000000" w:csb0="00040000" w:csb1="00000000"/>
  </w:font>
  <w:font w:name="方正仿宋简体">
    <w:altName w:val="Arial Unicode MS"/>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82F3D"/>
    <w:multiLevelType w:val="singleLevel"/>
    <w:tmpl w:val="81882F3D"/>
    <w:lvl w:ilvl="0" w:tentative="0">
      <w:start w:val="3"/>
      <w:numFmt w:val="decimal"/>
      <w:lvlText w:val="%1."/>
      <w:lvlJc w:val="left"/>
      <w:pPr>
        <w:tabs>
          <w:tab w:val="left" w:pos="312"/>
        </w:tabs>
      </w:pPr>
    </w:lvl>
  </w:abstractNum>
  <w:abstractNum w:abstractNumId="1">
    <w:nsid w:val="A9AC8CFE"/>
    <w:multiLevelType w:val="singleLevel"/>
    <w:tmpl w:val="A9AC8CFE"/>
    <w:lvl w:ilvl="0" w:tentative="0">
      <w:start w:val="1"/>
      <w:numFmt w:val="chineseCounting"/>
      <w:suff w:val="nothing"/>
      <w:lvlText w:val="%1、"/>
      <w:lvlJc w:val="left"/>
      <w:rPr>
        <w:rFonts w:hint="eastAsia"/>
      </w:rPr>
    </w:lvl>
  </w:abstractNum>
  <w:abstractNum w:abstractNumId="2">
    <w:nsid w:val="C92BE40B"/>
    <w:multiLevelType w:val="singleLevel"/>
    <w:tmpl w:val="C92BE40B"/>
    <w:lvl w:ilvl="0" w:tentative="0">
      <w:start w:val="2"/>
      <w:numFmt w:val="chineseCounting"/>
      <w:suff w:val="nothing"/>
      <w:lvlText w:val="（%1）"/>
      <w:lvlJc w:val="left"/>
      <w:rPr>
        <w:rFonts w:hint="eastAsia"/>
      </w:rPr>
    </w:lvl>
  </w:abstractNum>
  <w:abstractNum w:abstractNumId="3">
    <w:nsid w:val="CF652CEC"/>
    <w:multiLevelType w:val="singleLevel"/>
    <w:tmpl w:val="CF652CEC"/>
    <w:lvl w:ilvl="0" w:tentative="0">
      <w:start w:val="9"/>
      <w:numFmt w:val="chineseCounting"/>
      <w:suff w:val="nothing"/>
      <w:lvlText w:val="%1、"/>
      <w:lvlJc w:val="left"/>
      <w:rPr>
        <w:rFonts w:hint="eastAsia"/>
      </w:rPr>
    </w:lvl>
  </w:abstractNum>
  <w:abstractNum w:abstractNumId="4">
    <w:nsid w:val="E2FA047D"/>
    <w:multiLevelType w:val="singleLevel"/>
    <w:tmpl w:val="E2FA047D"/>
    <w:lvl w:ilvl="0" w:tentative="0">
      <w:start w:val="3"/>
      <w:numFmt w:val="chineseCounting"/>
      <w:suff w:val="space"/>
      <w:lvlText w:val="第%1部分"/>
      <w:lvlJc w:val="left"/>
      <w:rPr>
        <w:rFonts w:hint="eastAsia"/>
      </w:r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6">
    <w:nsid w:val="346B6ADF"/>
    <w:multiLevelType w:val="singleLevel"/>
    <w:tmpl w:val="346B6ADF"/>
    <w:lvl w:ilvl="0" w:tentative="0">
      <w:start w:val="3"/>
      <w:numFmt w:val="chineseCounting"/>
      <w:suff w:val="nothing"/>
      <w:lvlText w:val="（%1）"/>
      <w:lvlJc w:val="left"/>
      <w:rPr>
        <w:rFonts w:hint="eastAsia"/>
      </w:rPr>
    </w:lvl>
  </w:abstractNum>
  <w:abstractNum w:abstractNumId="7">
    <w:nsid w:val="3D2CC391"/>
    <w:multiLevelType w:val="singleLevel"/>
    <w:tmpl w:val="3D2CC391"/>
    <w:lvl w:ilvl="0" w:tentative="0">
      <w:start w:val="2"/>
      <w:numFmt w:val="decimal"/>
      <w:lvlText w:val="%1."/>
      <w:lvlJc w:val="left"/>
      <w:pPr>
        <w:tabs>
          <w:tab w:val="left" w:pos="312"/>
        </w:tabs>
      </w:pPr>
    </w:lvl>
  </w:abstractNum>
  <w:abstractNum w:abstractNumId="8">
    <w:nsid w:val="4D23A91F"/>
    <w:multiLevelType w:val="singleLevel"/>
    <w:tmpl w:val="4D23A91F"/>
    <w:lvl w:ilvl="0" w:tentative="0">
      <w:start w:val="2"/>
      <w:numFmt w:val="decimal"/>
      <w:lvlText w:val="%1."/>
      <w:lvlJc w:val="left"/>
      <w:pPr>
        <w:tabs>
          <w:tab w:val="left" w:pos="312"/>
        </w:tabs>
      </w:pPr>
    </w:lvl>
  </w:abstractNum>
  <w:abstractNum w:abstractNumId="9">
    <w:nsid w:val="4E57BFCE"/>
    <w:multiLevelType w:val="singleLevel"/>
    <w:tmpl w:val="4E57BFCE"/>
    <w:lvl w:ilvl="0" w:tentative="0">
      <w:start w:val="2"/>
      <w:numFmt w:val="chineseCounting"/>
      <w:suff w:val="nothing"/>
      <w:lvlText w:val="（%1）"/>
      <w:lvlJc w:val="left"/>
      <w:rPr>
        <w:rFonts w:hint="eastAsia"/>
      </w:rPr>
    </w:lvl>
  </w:abstractNum>
  <w:abstractNum w:abstractNumId="10">
    <w:nsid w:val="75C773EA"/>
    <w:multiLevelType w:val="singleLevel"/>
    <w:tmpl w:val="75C773EA"/>
    <w:lvl w:ilvl="0" w:tentative="0">
      <w:start w:val="2"/>
      <w:numFmt w:val="chineseCounting"/>
      <w:suff w:val="nothing"/>
      <w:lvlText w:val="（%1）"/>
      <w:lvlJc w:val="left"/>
      <w:rPr>
        <w:rFonts w:hint="eastAsia"/>
      </w:rPr>
    </w:lvl>
  </w:abstractNum>
  <w:num w:numId="1">
    <w:abstractNumId w:val="1"/>
  </w:num>
  <w:num w:numId="2">
    <w:abstractNumId w:val="5"/>
  </w:num>
  <w:num w:numId="3">
    <w:abstractNumId w:val="3"/>
  </w:num>
  <w:num w:numId="4">
    <w:abstractNumId w:val="4"/>
  </w:num>
  <w:num w:numId="5">
    <w:abstractNumId w:val="8"/>
  </w:num>
  <w:num w:numId="6">
    <w:abstractNumId w:val="2"/>
  </w:num>
  <w:num w:numId="7">
    <w:abstractNumId w:val="9"/>
  </w:num>
  <w:num w:numId="8">
    <w:abstractNumId w:val="7"/>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0A08C5"/>
    <w:rsid w:val="015975B8"/>
    <w:rsid w:val="01910931"/>
    <w:rsid w:val="020F7595"/>
    <w:rsid w:val="02143E91"/>
    <w:rsid w:val="03CE6E4F"/>
    <w:rsid w:val="04DA103E"/>
    <w:rsid w:val="05212F78"/>
    <w:rsid w:val="06246C68"/>
    <w:rsid w:val="066E0107"/>
    <w:rsid w:val="07996F6E"/>
    <w:rsid w:val="07D60EE8"/>
    <w:rsid w:val="08C62B3F"/>
    <w:rsid w:val="09EF5765"/>
    <w:rsid w:val="0A2032A3"/>
    <w:rsid w:val="0B044923"/>
    <w:rsid w:val="0BCC68EA"/>
    <w:rsid w:val="0F98263C"/>
    <w:rsid w:val="101860EC"/>
    <w:rsid w:val="10352FA6"/>
    <w:rsid w:val="10C055FF"/>
    <w:rsid w:val="118107EC"/>
    <w:rsid w:val="11AF7A1D"/>
    <w:rsid w:val="13D50BC4"/>
    <w:rsid w:val="14F1166B"/>
    <w:rsid w:val="16BB723D"/>
    <w:rsid w:val="199E2DD4"/>
    <w:rsid w:val="1B5979EB"/>
    <w:rsid w:val="1BE8440E"/>
    <w:rsid w:val="1D155CEE"/>
    <w:rsid w:val="1FC94B81"/>
    <w:rsid w:val="1FF35744"/>
    <w:rsid w:val="23860B96"/>
    <w:rsid w:val="23E14E6C"/>
    <w:rsid w:val="240371BF"/>
    <w:rsid w:val="255D3673"/>
    <w:rsid w:val="25DC5F2B"/>
    <w:rsid w:val="29FD04D3"/>
    <w:rsid w:val="2A17081E"/>
    <w:rsid w:val="2C8A61B5"/>
    <w:rsid w:val="2DF04E50"/>
    <w:rsid w:val="2E1867B0"/>
    <w:rsid w:val="2F040D46"/>
    <w:rsid w:val="311D7D22"/>
    <w:rsid w:val="319F7F4E"/>
    <w:rsid w:val="327B34E1"/>
    <w:rsid w:val="3304709D"/>
    <w:rsid w:val="36AA5135"/>
    <w:rsid w:val="36DD0212"/>
    <w:rsid w:val="376D39B2"/>
    <w:rsid w:val="37DD4A6B"/>
    <w:rsid w:val="37E16F03"/>
    <w:rsid w:val="38D469F0"/>
    <w:rsid w:val="3A055959"/>
    <w:rsid w:val="3A0C5E4C"/>
    <w:rsid w:val="3A690764"/>
    <w:rsid w:val="3C3F5BA9"/>
    <w:rsid w:val="3C992BF7"/>
    <w:rsid w:val="3D98207C"/>
    <w:rsid w:val="3E78745D"/>
    <w:rsid w:val="3F302C3B"/>
    <w:rsid w:val="41612B4F"/>
    <w:rsid w:val="44E268DA"/>
    <w:rsid w:val="45223AB3"/>
    <w:rsid w:val="45644EEE"/>
    <w:rsid w:val="49994D4E"/>
    <w:rsid w:val="4A627F82"/>
    <w:rsid w:val="4B0E749A"/>
    <w:rsid w:val="4B4F25DA"/>
    <w:rsid w:val="4BE068DB"/>
    <w:rsid w:val="4D577224"/>
    <w:rsid w:val="4EAB630A"/>
    <w:rsid w:val="4ECE2238"/>
    <w:rsid w:val="53273C7B"/>
    <w:rsid w:val="537E6D0A"/>
    <w:rsid w:val="55FB249F"/>
    <w:rsid w:val="597D42DF"/>
    <w:rsid w:val="5A2C5C14"/>
    <w:rsid w:val="5AF92295"/>
    <w:rsid w:val="5BD5353A"/>
    <w:rsid w:val="5BFD387C"/>
    <w:rsid w:val="5CD71FC4"/>
    <w:rsid w:val="5D6416C7"/>
    <w:rsid w:val="62274A51"/>
    <w:rsid w:val="6521617A"/>
    <w:rsid w:val="677C0558"/>
    <w:rsid w:val="67872F75"/>
    <w:rsid w:val="6874526D"/>
    <w:rsid w:val="6C4A05C8"/>
    <w:rsid w:val="6CFB4979"/>
    <w:rsid w:val="6E7E3605"/>
    <w:rsid w:val="6F0D5441"/>
    <w:rsid w:val="6FF5CC65"/>
    <w:rsid w:val="706305CE"/>
    <w:rsid w:val="715C0E4B"/>
    <w:rsid w:val="72734D90"/>
    <w:rsid w:val="728743F3"/>
    <w:rsid w:val="739F4EC0"/>
    <w:rsid w:val="73AD73D5"/>
    <w:rsid w:val="73B6EB34"/>
    <w:rsid w:val="744731E5"/>
    <w:rsid w:val="74870CEB"/>
    <w:rsid w:val="76E3355F"/>
    <w:rsid w:val="778769C8"/>
    <w:rsid w:val="79EE5BA4"/>
    <w:rsid w:val="7A3C3A9A"/>
    <w:rsid w:val="7A687DE1"/>
    <w:rsid w:val="7A894339"/>
    <w:rsid w:val="7ACD5587"/>
    <w:rsid w:val="7D672CCD"/>
    <w:rsid w:val="7EEF11D3"/>
    <w:rsid w:val="7F754FAB"/>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6">
    <w:name w:val="annotation text"/>
    <w:basedOn w:val="1"/>
    <w:semiHidden/>
    <w:unhideWhenUsed/>
    <w:qFormat/>
    <w:uiPriority w:val="99"/>
    <w:pPr>
      <w:jc w:val="left"/>
    </w:pPr>
  </w:style>
  <w:style w:type="paragraph" w:styleId="7">
    <w:name w:val="Body Text"/>
    <w:basedOn w:val="1"/>
    <w:next w:val="1"/>
    <w:link w:val="26"/>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Body Text First Indent 2"/>
    <w:basedOn w:val="8"/>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7"/>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3"/>
    <w:qFormat/>
    <w:uiPriority w:val="9"/>
    <w:rPr>
      <w:rFonts w:ascii="Times New Roman" w:hAnsi="Times New Roman"/>
      <w:b/>
      <w:bCs/>
      <w:kern w:val="44"/>
      <w:sz w:val="44"/>
      <w:szCs w:val="44"/>
    </w:rPr>
  </w:style>
  <w:style w:type="character" w:customStyle="1" w:styleId="30">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10"/>
    <w:semiHidden/>
    <w:qFormat/>
    <w:uiPriority w:val="99"/>
    <w:rPr>
      <w:rFonts w:ascii="Times New Roman" w:hAnsi="Times New Roman"/>
      <w:kern w:val="2"/>
      <w:sz w:val="18"/>
      <w:szCs w:val="18"/>
    </w:rPr>
  </w:style>
  <w:style w:type="character" w:customStyle="1" w:styleId="33">
    <w:name w:val="标题 3 字符"/>
    <w:basedOn w:val="17"/>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2022</a:t>
            </a:r>
            <a:r>
              <a:rPr altLang="en-US"/>
              <a:t>年收支情况表</a:t>
            </a:r>
            <a:endParaRPr lang="en-US" altLang="zh-CN"/>
          </a:p>
        </c:rich>
      </c:tx>
      <c:layout>
        <c:manualLayout>
          <c:xMode val="edge"/>
          <c:yMode val="edge"/>
          <c:x val="0.35125"/>
          <c:y val="0.0216666666666667"/>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收支</c:v>
                </c:pt>
              </c:strCache>
            </c:strRef>
          </c:cat>
          <c:val>
            <c:numRef>
              <c:f>Sheet1!$B$2</c:f>
              <c:numCache>
                <c:formatCode>General</c:formatCode>
                <c:ptCount val="1"/>
                <c:pt idx="0">
                  <c:v>1692.93</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收支</c:v>
                </c:pt>
              </c:strCache>
            </c:strRef>
          </c:cat>
          <c:val>
            <c:numRef>
              <c:f>Sheet1!$C$2</c:f>
              <c:numCache>
                <c:formatCode>General</c:formatCode>
                <c:ptCount val="1"/>
                <c:pt idx="0">
                  <c:v>1919.12</c:v>
                </c:pt>
              </c:numCache>
            </c:numRef>
          </c:val>
        </c:ser>
        <c:dLbls>
          <c:showLegendKey val="0"/>
          <c:showVal val="1"/>
          <c:showCatName val="0"/>
          <c:showSerName val="0"/>
          <c:showPercent val="0"/>
          <c:showBubbleSize val="0"/>
        </c:dLbls>
        <c:gapWidth val="219"/>
        <c:overlap val="-27"/>
        <c:axId val="251745730"/>
        <c:axId val="862836819"/>
      </c:barChart>
      <c:catAx>
        <c:axId val="25174573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2836819"/>
        <c:crosses val="autoZero"/>
        <c:auto val="1"/>
        <c:lblAlgn val="ctr"/>
        <c:lblOffset val="100"/>
        <c:noMultiLvlLbl val="0"/>
      </c:catAx>
      <c:valAx>
        <c:axId val="86283681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5174573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2022年收入数（万元）</a:t>
            </a:r>
          </a:p>
        </c:rich>
      </c:tx>
      <c:layout/>
      <c:overlay val="0"/>
      <c:spPr>
        <a:noFill/>
        <a:ln>
          <a:noFill/>
        </a:ln>
        <a:effectLst/>
      </c:spPr>
    </c:title>
    <c:autoTitleDeleted val="0"/>
    <c:plotArea>
      <c:layout/>
      <c:pieChart>
        <c:varyColors val="1"/>
        <c:ser>
          <c:idx val="0"/>
          <c:order val="0"/>
          <c:tx>
            <c:strRef>
              <c:f>Sheet1!$B$1</c:f>
              <c:strCache>
                <c:ptCount val="1"/>
                <c:pt idx="0">
                  <c:v>2022年</c:v>
                </c:pt>
              </c:strCache>
            </c:strRef>
          </c:tx>
          <c:spPr/>
          <c:explosion val="0"/>
          <c:dPt>
            <c:idx val="0"/>
            <c:bubble3D val="0"/>
            <c:spPr>
              <a:solidFill>
                <a:schemeClr val="accent1"/>
              </a:solidFill>
              <a:ln>
                <a:no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财政拨款收入</c:v>
                </c:pt>
              </c:strCache>
            </c:strRef>
          </c:cat>
          <c:val>
            <c:numRef>
              <c:f>Sheet1!$B$2</c:f>
              <c:numCache>
                <c:formatCode>General</c:formatCode>
                <c:ptCount val="1"/>
                <c:pt idx="0">
                  <c:v>1919.12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支出情况表（万元）</a:t>
            </a:r>
          </a:p>
        </c:rich>
      </c:tx>
      <c:layout/>
      <c:overlay val="0"/>
      <c:spPr>
        <a:noFill/>
        <a:ln>
          <a:noFill/>
        </a:ln>
        <a:effectLst/>
      </c:spPr>
    </c:title>
    <c:autoTitleDeleted val="0"/>
    <c:plotArea>
      <c:layout/>
      <c:pieChart>
        <c:varyColors val="1"/>
        <c:ser>
          <c:idx val="0"/>
          <c:order val="0"/>
          <c:tx>
            <c:strRef>
              <c:f>Sheet1!$B$1</c:f>
              <c:strCache>
                <c:ptCount val="1"/>
                <c:pt idx="0">
                  <c:v>支出数</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916.52</c:v>
                </c:pt>
                <c:pt idx="1">
                  <c:v>1002.6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财政拨款收支表（万元）</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收支数（万元）</c:v>
                </c:pt>
              </c:strCache>
            </c:strRef>
          </c:cat>
          <c:val>
            <c:numRef>
              <c:f>Sheet1!$B$2</c:f>
              <c:numCache>
                <c:formatCode>General</c:formatCode>
                <c:ptCount val="1"/>
                <c:pt idx="0">
                  <c:v>1692.93</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收支数（万元）</c:v>
                </c:pt>
              </c:strCache>
            </c:strRef>
          </c:cat>
          <c:val>
            <c:numRef>
              <c:f>Sheet1!$C$2</c:f>
              <c:numCache>
                <c:formatCode>General</c:formatCode>
                <c:ptCount val="1"/>
                <c:pt idx="0">
                  <c:v>1919.12</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c:f>
              <c:strCache>
                <c:ptCount val="1"/>
                <c:pt idx="0">
                  <c:v>收支数（万元）</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19"/>
        <c:overlap val="-27"/>
        <c:axId val="977561354"/>
        <c:axId val="265165970"/>
      </c:barChart>
      <c:catAx>
        <c:axId val="97756135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5165970"/>
        <c:crosses val="autoZero"/>
        <c:auto val="1"/>
        <c:lblAlgn val="ctr"/>
        <c:lblOffset val="100"/>
        <c:noMultiLvlLbl val="0"/>
      </c:catAx>
      <c:valAx>
        <c:axId val="26516597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77561354"/>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一般财政拨款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cat>
            <c:strRef>
              <c:f>Sheet1!$A$2</c:f>
              <c:strCache>
                <c:ptCount val="1"/>
                <c:pt idx="0">
                  <c:v>一般财政拨款金额</c:v>
                </c:pt>
              </c:strCache>
            </c:strRef>
          </c:cat>
          <c:val>
            <c:numRef>
              <c:f>Sheet1!$B$2</c:f>
              <c:numCache>
                <c:formatCode>General</c:formatCode>
                <c:ptCount val="1"/>
                <c:pt idx="0">
                  <c:v>1692.93</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2"/>
                </a:solidFill>
                <a:prstDash val="sysDot"/>
              </a:ln>
              <a:effectLst/>
            </c:spPr>
            <c:trendlineType val="linear"/>
            <c:dispRSqr val="0"/>
            <c:dispEq val="0"/>
          </c:trendline>
          <c:cat>
            <c:strRef>
              <c:f>Sheet1!$A$2</c:f>
              <c:strCache>
                <c:ptCount val="1"/>
                <c:pt idx="0">
                  <c:v>一般财政拨款金额</c:v>
                </c:pt>
              </c:strCache>
            </c:strRef>
          </c:cat>
          <c:val>
            <c:numRef>
              <c:f>Sheet1!$C$2</c:f>
              <c:numCache>
                <c:formatCode>General</c:formatCode>
                <c:ptCount val="1"/>
                <c:pt idx="0">
                  <c:v>1919.12</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c:f>
              <c:strCache>
                <c:ptCount val="1"/>
                <c:pt idx="0">
                  <c:v>一般财政拨款金额</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19"/>
        <c:overlap val="-27"/>
        <c:axId val="231718608"/>
        <c:axId val="978969227"/>
      </c:barChart>
      <c:catAx>
        <c:axId val="2317186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78969227"/>
        <c:crosses val="autoZero"/>
        <c:auto val="1"/>
        <c:lblAlgn val="ctr"/>
        <c:lblOffset val="100"/>
        <c:noMultiLvlLbl val="0"/>
      </c:catAx>
      <c:valAx>
        <c:axId val="97896922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31718608"/>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一般公共预算财政拨款金额（万元）</a:t>
            </a:r>
          </a:p>
        </c:rich>
      </c:tx>
      <c:layout/>
      <c:overlay val="0"/>
      <c:spPr>
        <a:noFill/>
        <a:ln>
          <a:noFill/>
        </a:ln>
        <a:effectLst/>
      </c:spPr>
    </c:title>
    <c:autoTitleDeleted val="0"/>
    <c:plotArea>
      <c:layout/>
      <c:pieChart>
        <c:varyColors val="1"/>
        <c:ser>
          <c:idx val="0"/>
          <c:order val="0"/>
          <c:tx>
            <c:strRef>
              <c:f>Sheet1!$B$1</c:f>
              <c:strCache>
                <c:ptCount val="1"/>
                <c:pt idx="0">
                  <c:v>一般财政预算拨款数</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公共安全支出</c:v>
                </c:pt>
                <c:pt idx="1">
                  <c:v>社会保障和就业支出</c:v>
                </c:pt>
                <c:pt idx="2">
                  <c:v>卫生健康支出</c:v>
                </c:pt>
                <c:pt idx="3">
                  <c:v>住房保障支出</c:v>
                </c:pt>
              </c:strCache>
            </c:strRef>
          </c:cat>
          <c:val>
            <c:numRef>
              <c:f>Sheet1!$B$2:$B$5</c:f>
              <c:numCache>
                <c:formatCode>General</c:formatCode>
                <c:ptCount val="4"/>
                <c:pt idx="0">
                  <c:v>1856.58</c:v>
                </c:pt>
                <c:pt idx="1">
                  <c:v>20.23</c:v>
                </c:pt>
                <c:pt idx="2">
                  <c:v>14.24</c:v>
                </c:pt>
                <c:pt idx="3">
                  <c:v>28.07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a:t>
            </a:r>
            <a:r>
              <a:rPr altLang="en-US"/>
              <a:t>三公</a:t>
            </a:r>
            <a:r>
              <a:rPr lang="en-US" altLang="zh-CN"/>
              <a:t>”</a:t>
            </a:r>
            <a:r>
              <a:rPr altLang="en-US"/>
              <a:t>经费数据（万元）</a:t>
            </a:r>
            <a:endParaRPr altLang="en-US"/>
          </a:p>
        </c:rich>
      </c:tx>
      <c:layout>
        <c:manualLayout>
          <c:xMode val="edge"/>
          <c:yMode val="edge"/>
          <c:x val="0.44425"/>
          <c:y val="0.0233333333333333"/>
        </c:manualLayout>
      </c:layout>
      <c:overlay val="0"/>
      <c:spPr>
        <a:noFill/>
        <a:ln>
          <a:noFill/>
        </a:ln>
        <a:effectLst/>
      </c:spPr>
    </c:title>
    <c:autoTitleDeleted val="0"/>
    <c:plotArea>
      <c:layout/>
      <c:pieChart>
        <c:varyColors val="1"/>
        <c:ser>
          <c:idx val="0"/>
          <c:order val="0"/>
          <c:tx>
            <c:strRef>
              <c:f>Sheet1!$B$1</c:f>
              <c:strCache>
                <c:ptCount val="1"/>
                <c:pt idx="0">
                  <c:v>“三公”经费支出数（万元）</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elete val="1"/>
          </c:dLbls>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50.99</c:v>
                </c:pt>
                <c:pt idx="2">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4</TotalTime>
  <ScaleCrop>false</ScaleCrop>
  <LinksUpToDate>false</LinksUpToDate>
  <CharactersWithSpaces>7955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HP</cp:lastModifiedBy>
  <cp:lastPrinted>2023-07-31T02:35:00Z</cp:lastPrinted>
  <dcterms:modified xsi:type="dcterms:W3CDTF">2023-10-19T06:18:30Z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A683B0ED30724B51AD6C64FBF4887DA3</vt:lpwstr>
  </property>
</Properties>
</file>