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7193"/>
      <w:bookmarkStart w:id="1" w:name="_Toc15377425"/>
      <w:bookmarkStart w:id="2" w:name="_Toc15396475"/>
      <w:bookmarkStart w:id="3" w:name="_Toc15378441"/>
      <w:bookmarkStart w:id="4" w:name="_Toc15396597"/>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77194"/>
      <w:bookmarkStart w:id="7" w:name="_Toc15377426"/>
      <w:bookmarkStart w:id="8" w:name="_Toc15378442"/>
      <w:bookmarkStart w:id="9" w:name="_Toc15396598"/>
      <w:bookmarkStart w:id="10" w:name="_Toc1539647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乐至县信访局</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pPr>
        <w:widowControl/>
        <w:jc w:val="both"/>
        <w:rPr>
          <w:rFonts w:ascii="黑体" w:hAnsi="黑体" w:eastAsia="黑体"/>
          <w:sz w:val="48"/>
          <w:szCs w:val="48"/>
        </w:rPr>
      </w:pPr>
      <w:r>
        <w:rPr>
          <w:rFonts w:ascii="方正小标宋简体" w:hAnsi="宋体" w:eastAsia="方正小标宋简体"/>
          <w:sz w:val="36"/>
          <w:szCs w:val="36"/>
        </w:rPr>
        <w:br w:type="page"/>
      </w:r>
      <w:r>
        <w:rPr>
          <w:rFonts w:hint="eastAsia" w:ascii="方正小标宋简体" w:hAnsi="宋体" w:eastAsia="方正小标宋简体"/>
          <w:sz w:val="36"/>
          <w:szCs w:val="36"/>
          <w:lang w:val="en-US" w:eastAsia="zh-CN"/>
        </w:rPr>
        <w:t xml:space="preserve">                   </w:t>
      </w:r>
      <w:r>
        <w:rPr>
          <w:rFonts w:hint="eastAsia" w:ascii="黑体" w:hAnsi="黑体" w:eastAsia="黑体"/>
          <w:sz w:val="48"/>
          <w:szCs w:val="48"/>
        </w:rPr>
        <w:t>目</w:t>
      </w:r>
      <w:r>
        <w:rPr>
          <w:rFonts w:hint="eastAsia" w:ascii="黑体" w:hAnsi="黑体" w:eastAsia="黑体"/>
          <w:sz w:val="48"/>
          <w:szCs w:val="48"/>
          <w:lang w:val="en-US" w:eastAsia="zh-CN"/>
        </w:rPr>
        <w:t xml:space="preserve">   </w:t>
      </w:r>
      <w:r>
        <w:rPr>
          <w:rFonts w:hint="eastAsia" w:ascii="黑体" w:hAnsi="黑体" w:eastAsia="黑体"/>
          <w:sz w:val="48"/>
          <w:szCs w:val="48"/>
        </w:rPr>
        <w:t>录</w:t>
      </w:r>
    </w:p>
    <w:p>
      <w:pPr>
        <w:widowControl/>
        <w:jc w:val="center"/>
        <w:rPr>
          <w:rFonts w:ascii="黑体" w:hAnsi="黑体" w:eastAsia="黑体" w:cstheme="minorBidi"/>
          <w:sz w:val="28"/>
          <w:szCs w:val="28"/>
        </w:rPr>
      </w:pPr>
    </w:p>
    <w:p>
      <w:pPr>
        <w:pStyle w:val="14"/>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5"/>
        <w:adjustRightInd w:val="0"/>
        <w:snapToGrid w:val="0"/>
        <w:spacing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r>
        <w:rPr>
          <w:rFonts w:hint="eastAsia"/>
          <w:sz w:val="24"/>
          <w:lang w:val="en-US" w:eastAsia="zh-CN"/>
        </w:rPr>
        <w:t>.............................................................................................1</w:t>
      </w:r>
    </w:p>
    <w:p>
      <w:pPr>
        <w:pStyle w:val="15"/>
        <w:adjustRightInd w:val="0"/>
        <w:snapToGrid w:val="0"/>
        <w:spacing w:line="440" w:lineRule="exact"/>
        <w:jc w:val="left"/>
        <w:rPr>
          <w:rFonts w:hint="default" w:ascii="仿宋" w:hAnsi="仿宋" w:eastAsia="宋体"/>
          <w:sz w:val="24"/>
          <w:lang w:val="en-US" w:eastAsia="zh-CN"/>
        </w:rPr>
      </w:pPr>
      <w:r>
        <w:rPr>
          <w:rFonts w:hint="eastAsia"/>
          <w:sz w:val="24"/>
        </w:rPr>
        <w:t>一、部门职责</w:t>
      </w:r>
      <w:r>
        <w:rPr>
          <w:rFonts w:hint="eastAsia"/>
          <w:sz w:val="24"/>
          <w:lang w:val="en-US" w:eastAsia="zh-CN"/>
        </w:rPr>
        <w:t>........................................................................................................1</w:t>
      </w:r>
    </w:p>
    <w:p>
      <w:pPr>
        <w:pStyle w:val="15"/>
        <w:adjustRightInd w:val="0"/>
        <w:snapToGrid w:val="0"/>
        <w:spacing w:line="440" w:lineRule="exact"/>
        <w:jc w:val="left"/>
        <w:rPr>
          <w:rFonts w:hint="default" w:ascii="仿宋" w:hAnsi="仿宋" w:eastAsia="仿宋" w:cstheme="minorBidi"/>
          <w:sz w:val="24"/>
          <w:lang w:val="en-US"/>
        </w:rPr>
      </w:pPr>
      <w:r>
        <w:rPr>
          <w:rFonts w:hint="eastAsia"/>
          <w:sz w:val="24"/>
        </w:rPr>
        <w:t>二、机构设置</w:t>
      </w:r>
      <w:r>
        <w:rPr>
          <w:rFonts w:hint="eastAsia"/>
          <w:sz w:val="24"/>
          <w:lang w:val="en-US" w:eastAsia="zh-CN"/>
        </w:rPr>
        <w:t>........................................................................................................2</w:t>
      </w:r>
    </w:p>
    <w:p>
      <w:pPr>
        <w:pStyle w:val="15"/>
        <w:adjustRightInd w:val="0"/>
        <w:snapToGrid w:val="0"/>
        <w:spacing w:line="440" w:lineRule="exact"/>
        <w:jc w:val="left"/>
        <w:rPr>
          <w:sz w:val="24"/>
          <w:szCs w:val="24"/>
        </w:rPr>
      </w:pPr>
      <w:r>
        <w:rPr>
          <w:rFonts w:hint="eastAsia"/>
          <w:sz w:val="24"/>
        </w:rPr>
        <w:t>第二部分 2022年度部门决算情况明</w:t>
      </w:r>
      <w:r>
        <w:rPr>
          <w:rFonts w:hint="eastAsia"/>
          <w:sz w:val="24"/>
          <w:lang w:val="en-US" w:eastAsia="zh-CN"/>
        </w:rPr>
        <w:t>.................................................................2</w:t>
      </w:r>
    </w:p>
    <w:p>
      <w:pPr>
        <w:pStyle w:val="15"/>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sz w:val="24"/>
          <w:lang w:val="en-US" w:eastAsia="zh-CN"/>
        </w:rPr>
        <w:t>........................................................................2</w:t>
      </w:r>
    </w:p>
    <w:p>
      <w:pPr>
        <w:pStyle w:val="15"/>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sz w:val="24"/>
          <w:lang w:val="en-US" w:eastAsia="zh-CN"/>
        </w:rPr>
        <w:t>........................................................................................3</w:t>
      </w:r>
    </w:p>
    <w:p>
      <w:pPr>
        <w:pStyle w:val="15"/>
        <w:adjustRightInd w:val="0"/>
        <w:snapToGrid w:val="0"/>
        <w:spacing w:line="440" w:lineRule="exact"/>
        <w:jc w:val="left"/>
        <w:rPr>
          <w:rFonts w:ascii="仿宋" w:hAnsi="仿宋" w:eastAsia="仿宋" w:cstheme="minorBidi"/>
          <w:sz w:val="24"/>
        </w:rPr>
      </w:pPr>
      <w:r>
        <w:rPr>
          <w:rFonts w:hint="eastAsia"/>
          <w:sz w:val="24"/>
        </w:rPr>
        <w:t>三、支出决算情况说明</w:t>
      </w:r>
      <w:r>
        <w:rPr>
          <w:rFonts w:hint="eastAsia"/>
          <w:sz w:val="24"/>
          <w:lang w:val="en-US" w:eastAsia="zh-CN"/>
        </w:rPr>
        <w:t>........................................................................................3</w:t>
      </w:r>
    </w:p>
    <w:p>
      <w:pPr>
        <w:pStyle w:val="15"/>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r>
        <w:rPr>
          <w:rFonts w:hint="eastAsia"/>
          <w:sz w:val="24"/>
          <w:lang w:val="en-US" w:eastAsia="zh-CN"/>
        </w:rPr>
        <w:t>........................................................4</w:t>
      </w:r>
    </w:p>
    <w:p>
      <w:pPr>
        <w:pStyle w:val="15"/>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w:t>
      </w:r>
      <w:r>
        <w:rPr>
          <w:rFonts w:hint="eastAsia"/>
          <w:sz w:val="24"/>
          <w:lang w:eastAsia="zh-CN"/>
        </w:rPr>
        <w:t>说</w:t>
      </w:r>
      <w:r>
        <w:rPr>
          <w:rFonts w:hint="eastAsia"/>
          <w:sz w:val="24"/>
        </w:rPr>
        <w:t>明</w:t>
      </w:r>
      <w:r>
        <w:rPr>
          <w:rFonts w:hint="eastAsia"/>
          <w:sz w:val="24"/>
          <w:lang w:val="en-US" w:eastAsia="zh-CN"/>
        </w:rPr>
        <w:t>................................................4</w:t>
      </w:r>
    </w:p>
    <w:p>
      <w:pPr>
        <w:pStyle w:val="15"/>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r>
        <w:rPr>
          <w:rFonts w:hint="eastAsia"/>
          <w:sz w:val="24"/>
          <w:lang w:val="en-US" w:eastAsia="zh-CN"/>
        </w:rPr>
        <w:t>........................................7</w:t>
      </w:r>
    </w:p>
    <w:p>
      <w:pPr>
        <w:pStyle w:val="15"/>
        <w:adjustRightInd w:val="0"/>
        <w:snapToGrid w:val="0"/>
        <w:spacing w:line="440" w:lineRule="exact"/>
        <w:jc w:val="left"/>
        <w:rPr>
          <w:rFonts w:hint="eastAsia"/>
          <w:sz w:val="24"/>
          <w:lang w:val="en-US" w:eastAsia="zh-CN"/>
        </w:rPr>
      </w:pPr>
      <w:r>
        <w:rPr>
          <w:rFonts w:hint="eastAsia"/>
          <w:sz w:val="24"/>
        </w:rPr>
        <w:t>七、财政拨款“三公”经费支出决算情况说明</w:t>
      </w:r>
      <w:r>
        <w:rPr>
          <w:rFonts w:hint="eastAsia"/>
          <w:sz w:val="24"/>
          <w:lang w:val="en-US" w:eastAsia="zh-CN"/>
        </w:rPr>
        <w:t>.................................................7</w:t>
      </w:r>
    </w:p>
    <w:p>
      <w:pPr>
        <w:pStyle w:val="15"/>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r>
        <w:rPr>
          <w:rFonts w:hint="eastAsia"/>
          <w:sz w:val="24"/>
          <w:lang w:val="en-US" w:eastAsia="zh-CN"/>
        </w:rPr>
        <w:t>.............................................................9</w:t>
      </w:r>
    </w:p>
    <w:p>
      <w:pPr>
        <w:pStyle w:val="15"/>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r>
        <w:rPr>
          <w:rFonts w:hint="eastAsia"/>
          <w:sz w:val="24"/>
          <w:lang w:val="en-US" w:eastAsia="zh-CN"/>
        </w:rPr>
        <w:t>.........................................................9</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21"/>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r>
        <w:rPr>
          <w:rFonts w:hint="eastAsia"/>
          <w:sz w:val="24"/>
          <w:lang w:val="en-US" w:eastAsia="zh-CN"/>
        </w:rPr>
        <w:t>..........................................................................9</w:t>
      </w:r>
    </w:p>
    <w:p>
      <w:pPr>
        <w:pStyle w:val="14"/>
        <w:adjustRightInd w:val="0"/>
        <w:snapToGrid w:val="0"/>
        <w:spacing w:before="0" w:line="440" w:lineRule="exact"/>
        <w:jc w:val="left"/>
        <w:rPr>
          <w:rFonts w:hint="default" w:cstheme="minorBidi"/>
          <w:sz w:val="24"/>
          <w:szCs w:val="24"/>
          <w:lang w:val="en-US"/>
        </w:rPr>
      </w:pPr>
      <w:r>
        <w:rPr>
          <w:rFonts w:hint="eastAsia"/>
          <w:sz w:val="24"/>
        </w:rPr>
        <w:t>第三部分</w:t>
      </w:r>
      <w:r>
        <w:rPr>
          <w:sz w:val="24"/>
        </w:rPr>
        <w:t xml:space="preserve"> </w:t>
      </w:r>
      <w:r>
        <w:rPr>
          <w:rFonts w:hint="eastAsia"/>
          <w:sz w:val="24"/>
        </w:rPr>
        <w:t>名</w:t>
      </w:r>
      <w:r>
        <w:rPr>
          <w:rFonts w:hint="eastAsia"/>
          <w:sz w:val="24"/>
          <w:lang w:eastAsia="zh-CN"/>
        </w:rPr>
        <w:t>词解释</w:t>
      </w:r>
      <w:r>
        <w:rPr>
          <w:rFonts w:hint="eastAsia"/>
          <w:sz w:val="24"/>
        </w:rPr>
        <w:t>释</w:t>
      </w:r>
      <w:r>
        <w:rPr>
          <w:rFonts w:hint="eastAsia"/>
          <w:sz w:val="24"/>
          <w:lang w:val="en-US" w:eastAsia="zh-CN"/>
        </w:rPr>
        <w:t>.................................................11</w:t>
      </w:r>
    </w:p>
    <w:p>
      <w:pPr>
        <w:pStyle w:val="14"/>
        <w:adjustRightInd w:val="0"/>
        <w:snapToGrid w:val="0"/>
        <w:spacing w:before="0" w:line="440" w:lineRule="exact"/>
        <w:jc w:val="left"/>
        <w:rPr>
          <w:rFonts w:hint="default" w:cstheme="minorBidi"/>
          <w:sz w:val="24"/>
          <w:szCs w:val="24"/>
          <w:lang w:val="en-US"/>
        </w:rPr>
      </w:pPr>
      <w:r>
        <w:rPr>
          <w:rFonts w:hint="eastAsia"/>
          <w:sz w:val="24"/>
        </w:rPr>
        <w:t>第四部分</w:t>
      </w:r>
      <w:r>
        <w:rPr>
          <w:sz w:val="24"/>
        </w:rPr>
        <w:t xml:space="preserve"> </w:t>
      </w:r>
      <w:r>
        <w:rPr>
          <w:rFonts w:hint="eastAsia"/>
          <w:sz w:val="24"/>
          <w:lang w:eastAsia="zh-CN"/>
        </w:rPr>
        <w:t>附</w:t>
      </w:r>
      <w:r>
        <w:rPr>
          <w:rFonts w:hint="eastAsia"/>
          <w:sz w:val="24"/>
        </w:rPr>
        <w:t>件</w:t>
      </w:r>
      <w:r>
        <w:rPr>
          <w:rFonts w:hint="eastAsia"/>
          <w:sz w:val="24"/>
          <w:lang w:val="en-US" w:eastAsia="zh-CN"/>
        </w:rPr>
        <w:t>.......................................................14</w:t>
      </w:r>
    </w:p>
    <w:p>
      <w:pPr>
        <w:pStyle w:val="14"/>
        <w:adjustRightInd w:val="0"/>
        <w:snapToGrid w:val="0"/>
        <w:spacing w:before="0" w:line="440" w:lineRule="exact"/>
        <w:jc w:val="left"/>
        <w:rPr>
          <w:rFonts w:hint="default" w:cstheme="minorBidi"/>
          <w:sz w:val="24"/>
          <w:szCs w:val="24"/>
          <w:lang w:val="en-US"/>
        </w:rPr>
      </w:pPr>
      <w:r>
        <w:rPr>
          <w:rFonts w:hint="eastAsia"/>
          <w:sz w:val="24"/>
        </w:rPr>
        <w:t>第五部分</w:t>
      </w:r>
      <w:r>
        <w:rPr>
          <w:sz w:val="24"/>
        </w:rPr>
        <w:t xml:space="preserve"> </w:t>
      </w:r>
      <w:r>
        <w:rPr>
          <w:rFonts w:hint="eastAsia"/>
          <w:sz w:val="24"/>
        </w:rPr>
        <w:t>附表</w:t>
      </w:r>
      <w:r>
        <w:rPr>
          <w:rFonts w:hint="eastAsia"/>
          <w:sz w:val="24"/>
          <w:lang w:val="en-US" w:eastAsia="zh-CN"/>
        </w:rPr>
        <w:t>.......................................................83</w:t>
      </w:r>
    </w:p>
    <w:p>
      <w:pPr>
        <w:pStyle w:val="15"/>
        <w:adjustRightInd w:val="0"/>
        <w:snapToGrid w:val="0"/>
        <w:spacing w:line="440" w:lineRule="exact"/>
        <w:jc w:val="left"/>
        <w:rPr>
          <w:sz w:val="24"/>
        </w:rPr>
      </w:pPr>
      <w:r>
        <w:rPr>
          <w:rFonts w:hint="eastAsia"/>
          <w:sz w:val="24"/>
        </w:rPr>
        <w:t>一、收入支出决算总表</w:t>
      </w:r>
    </w:p>
    <w:p>
      <w:pPr>
        <w:pStyle w:val="15"/>
        <w:adjustRightInd w:val="0"/>
        <w:snapToGrid w:val="0"/>
        <w:spacing w:line="440" w:lineRule="exact"/>
        <w:jc w:val="left"/>
        <w:rPr>
          <w:sz w:val="24"/>
        </w:rPr>
      </w:pPr>
      <w:r>
        <w:rPr>
          <w:rFonts w:hint="eastAsia"/>
          <w:sz w:val="24"/>
        </w:rPr>
        <w:t>二、收入决算表</w:t>
      </w:r>
    </w:p>
    <w:p>
      <w:pPr>
        <w:pStyle w:val="15"/>
        <w:adjustRightInd w:val="0"/>
        <w:snapToGrid w:val="0"/>
        <w:spacing w:line="440" w:lineRule="exact"/>
        <w:jc w:val="left"/>
        <w:rPr>
          <w:sz w:val="24"/>
        </w:rPr>
      </w:pPr>
      <w:r>
        <w:rPr>
          <w:rFonts w:hint="eastAsia"/>
          <w:sz w:val="24"/>
        </w:rPr>
        <w:t>三、支出决算表</w:t>
      </w:r>
    </w:p>
    <w:p>
      <w:pPr>
        <w:pStyle w:val="15"/>
        <w:adjustRightInd w:val="0"/>
        <w:snapToGrid w:val="0"/>
        <w:spacing w:line="440" w:lineRule="exact"/>
        <w:jc w:val="left"/>
        <w:rPr>
          <w:sz w:val="24"/>
        </w:rPr>
      </w:pPr>
      <w:r>
        <w:rPr>
          <w:rFonts w:hint="eastAsia"/>
          <w:sz w:val="24"/>
        </w:rPr>
        <w:t>四、财政拨款收入支出决算总表</w:t>
      </w:r>
    </w:p>
    <w:p>
      <w:pPr>
        <w:pStyle w:val="15"/>
        <w:adjustRightInd w:val="0"/>
        <w:snapToGrid w:val="0"/>
        <w:spacing w:line="440" w:lineRule="exact"/>
        <w:jc w:val="left"/>
        <w:rPr>
          <w:sz w:val="24"/>
        </w:rPr>
      </w:pPr>
      <w:r>
        <w:rPr>
          <w:rFonts w:hint="eastAsia"/>
          <w:sz w:val="24"/>
        </w:rPr>
        <w:t>五、财政拨款支出决算明细表</w:t>
      </w:r>
    </w:p>
    <w:p>
      <w:pPr>
        <w:pStyle w:val="15"/>
        <w:adjustRightInd w:val="0"/>
        <w:snapToGrid w:val="0"/>
        <w:spacing w:line="440" w:lineRule="exact"/>
        <w:jc w:val="left"/>
        <w:rPr>
          <w:sz w:val="24"/>
        </w:rPr>
      </w:pPr>
      <w:r>
        <w:rPr>
          <w:rFonts w:hint="eastAsia"/>
          <w:sz w:val="24"/>
        </w:rPr>
        <w:t>六、一般公共预算财政拨款支出决算表</w:t>
      </w:r>
    </w:p>
    <w:p>
      <w:pPr>
        <w:pStyle w:val="15"/>
        <w:adjustRightInd w:val="0"/>
        <w:snapToGrid w:val="0"/>
        <w:spacing w:line="440" w:lineRule="exact"/>
        <w:jc w:val="left"/>
        <w:rPr>
          <w:sz w:val="24"/>
        </w:rPr>
      </w:pPr>
      <w:r>
        <w:rPr>
          <w:rFonts w:hint="eastAsia"/>
          <w:sz w:val="24"/>
        </w:rPr>
        <w:t>七、一般公共预算财政拨款支出决算明细表</w:t>
      </w:r>
    </w:p>
    <w:p>
      <w:pPr>
        <w:pStyle w:val="15"/>
        <w:adjustRightInd w:val="0"/>
        <w:snapToGrid w:val="0"/>
        <w:spacing w:line="440" w:lineRule="exact"/>
        <w:jc w:val="left"/>
        <w:rPr>
          <w:sz w:val="24"/>
        </w:rPr>
      </w:pPr>
      <w:r>
        <w:rPr>
          <w:rFonts w:hint="eastAsia"/>
          <w:sz w:val="24"/>
        </w:rPr>
        <w:t>八、一般公共预算财政拨款基本支出决算明细表</w:t>
      </w:r>
    </w:p>
    <w:p>
      <w:pPr>
        <w:pStyle w:val="15"/>
        <w:adjustRightInd w:val="0"/>
        <w:snapToGrid w:val="0"/>
        <w:spacing w:line="440" w:lineRule="exact"/>
        <w:jc w:val="left"/>
        <w:rPr>
          <w:sz w:val="24"/>
        </w:rPr>
      </w:pPr>
      <w:r>
        <w:rPr>
          <w:rFonts w:hint="eastAsia"/>
          <w:sz w:val="24"/>
        </w:rPr>
        <w:t>九、一般公共预算财政拨款项目支出决算表</w:t>
      </w:r>
    </w:p>
    <w:p>
      <w:pPr>
        <w:pStyle w:val="15"/>
        <w:adjustRightInd w:val="0"/>
        <w:snapToGrid w:val="0"/>
        <w:spacing w:line="440" w:lineRule="exact"/>
        <w:jc w:val="left"/>
        <w:rPr>
          <w:sz w:val="24"/>
        </w:rPr>
      </w:pPr>
      <w:r>
        <w:rPr>
          <w:rFonts w:hint="eastAsia"/>
          <w:sz w:val="24"/>
        </w:rPr>
        <w:t>十、政府性基金预算财政拨款收入支出决算表</w:t>
      </w:r>
    </w:p>
    <w:p>
      <w:pPr>
        <w:pStyle w:val="15"/>
        <w:adjustRightInd w:val="0"/>
        <w:snapToGrid w:val="0"/>
        <w:spacing w:line="440" w:lineRule="exact"/>
        <w:jc w:val="left"/>
        <w:rPr>
          <w:sz w:val="24"/>
        </w:rPr>
      </w:pPr>
      <w:r>
        <w:rPr>
          <w:rFonts w:hint="eastAsia"/>
          <w:sz w:val="24"/>
        </w:rPr>
        <w:t>十一、国有资本经营预算财政拨款收入支出决算表</w:t>
      </w:r>
    </w:p>
    <w:p>
      <w:pPr>
        <w:pStyle w:val="15"/>
        <w:adjustRightInd w:val="0"/>
        <w:snapToGrid w:val="0"/>
        <w:spacing w:line="440" w:lineRule="exact"/>
        <w:jc w:val="left"/>
        <w:rPr>
          <w:sz w:val="24"/>
        </w:rPr>
      </w:pPr>
      <w:r>
        <w:rPr>
          <w:rFonts w:hint="eastAsia"/>
          <w:sz w:val="24"/>
        </w:rPr>
        <w:t>十二、国有资本经营预算财政拨款支出决算表</w:t>
      </w:r>
    </w:p>
    <w:p>
      <w:pPr>
        <w:pStyle w:val="15"/>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pStyle w:val="3"/>
        <w:numPr>
          <w:ilvl w:val="0"/>
          <w:numId w:val="1"/>
        </w:numPr>
        <w:jc w:val="center"/>
        <w:sectPr>
          <w:pgSz w:w="11907" w:h="16840"/>
          <w:pgMar w:top="2098" w:right="1474" w:bottom="1928" w:left="1588" w:header="851" w:footer="992" w:gutter="0"/>
          <w:cols w:space="720" w:num="1"/>
          <w:docGrid w:type="lines" w:linePitch="312" w:charSpace="0"/>
        </w:sectPr>
      </w:pPr>
      <w:bookmarkStart w:id="12" w:name="_Toc15396599"/>
      <w:bookmarkStart w:id="13" w:name="_Toc15377196"/>
    </w:p>
    <w:p>
      <w:pPr>
        <w:pStyle w:val="3"/>
        <w:numPr>
          <w:ilvl w:val="0"/>
          <w:numId w:val="1"/>
        </w:numPr>
        <w:jc w:val="center"/>
      </w:pPr>
      <w:r>
        <w:rPr>
          <w:rStyle w:val="31"/>
          <w:rFonts w:hint="eastAsia" w:ascii="黑体" w:hAnsi="黑体" w:eastAsia="黑体"/>
          <w:b w:val="0"/>
          <w:bCs w:val="0"/>
        </w:rPr>
        <w:t>部门概况</w:t>
      </w:r>
      <w:bookmarkEnd w:id="12"/>
      <w:bookmarkEnd w:id="13"/>
    </w:p>
    <w:p>
      <w:pPr>
        <w:pStyle w:val="4"/>
        <w:numPr>
          <w:ilvl w:val="0"/>
          <w:numId w:val="0"/>
        </w:numPr>
        <w:rPr>
          <w:rFonts w:hint="eastAsia" w:ascii="黑体" w:hAnsi="黑体" w:eastAsia="黑体"/>
          <w:b w:val="0"/>
          <w:lang w:eastAsia="zh-CN"/>
        </w:rPr>
      </w:pPr>
    </w:p>
    <w:p>
      <w:pPr>
        <w:pStyle w:val="4"/>
        <w:numPr>
          <w:ilvl w:val="0"/>
          <w:numId w:val="0"/>
        </w:numPr>
        <w:rPr>
          <w:rFonts w:ascii="Times New Roman" w:eastAsia="仿宋"/>
          <w:bCs w:val="0"/>
          <w:i/>
          <w:highlight w:val="yellow"/>
        </w:rPr>
      </w:pPr>
      <w:r>
        <w:rPr>
          <w:rFonts w:hint="eastAsia" w:ascii="黑体" w:hAnsi="黑体" w:eastAsia="黑体"/>
          <w:b w:val="0"/>
          <w:lang w:eastAsia="zh-CN"/>
        </w:rPr>
        <w:t>一、</w:t>
      </w:r>
      <w:r>
        <w:rPr>
          <w:rFonts w:hint="eastAsia" w:ascii="黑体" w:hAnsi="黑体" w:eastAsia="黑体"/>
          <w:b w:val="0"/>
        </w:rPr>
        <w:t>部门职责</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rPr>
      </w:pPr>
      <w:r>
        <w:rPr>
          <w:rFonts w:hint="eastAsia" w:ascii="方正仿宋简体" w:hAnsi="方正仿宋简体" w:eastAsia="方正仿宋简体" w:cs="方正仿宋简体"/>
          <w:sz w:val="32"/>
          <w:szCs w:val="32"/>
        </w:rPr>
        <w:t>乐至县信访局</w:t>
      </w:r>
      <w:r>
        <w:rPr>
          <w:rFonts w:hint="eastAsia" w:ascii="方正仿宋简体" w:hAnsi="方正仿宋简体" w:eastAsia="方正仿宋简体" w:cs="方正仿宋简体"/>
          <w:sz w:val="32"/>
          <w:szCs w:val="32"/>
          <w:lang w:eastAsia="zh-CN"/>
        </w:rPr>
        <w:t>贯彻落实党中央关于信访工作的方针政策和省委、市委、县委的决策部署，在履行职责过程中坚持和加强党对信访工作的集中统一领导</w:t>
      </w:r>
      <w:r>
        <w:rPr>
          <w:rFonts w:hint="eastAsia" w:ascii="方正仿宋简体" w:hAnsi="方正仿宋简体" w:eastAsia="方正仿宋简体" w:cs="方正仿宋简体"/>
          <w:sz w:val="32"/>
          <w:szCs w:val="32"/>
        </w:rPr>
        <w:t>。其主要职责：</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eastAsia="zh-CN"/>
        </w:rPr>
        <w:t>起草有关信访工作的政策、制度，制定信访问题排查化解、风险评估等制度并组织实施，提出改进和加强信访工作的意见和建议。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eastAsia="zh-CN"/>
        </w:rPr>
        <w:t>负责向县委、县政府反映来信来电来访中提出的重要建议、意见和问题，综合研判信访信息，开展社情民意调查研究，提出制定修改完善有关政策和工作的建议。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eastAsia="zh-CN"/>
        </w:rPr>
        <w:t>综合协调指导全县信访工作，督促检查各乡镇和县级各部门（单位）信访工作，总结推广各地、各部门信访工作经验，协调信访工作宣传和信息发布。</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（4）</w:t>
      </w:r>
      <w:r>
        <w:rPr>
          <w:rFonts w:hint="eastAsia" w:ascii="方正仿宋简体" w:hAnsi="方正仿宋简体" w:eastAsia="方正仿宋简体" w:cs="方正仿宋简体"/>
          <w:sz w:val="32"/>
          <w:szCs w:val="32"/>
          <w:lang w:eastAsia="zh-CN"/>
        </w:rPr>
        <w:t>负责处理县内外群众、境外人士、法人及其他组织通过信访渠道给县委、县政府及领导同志的来信来电，接待来访</w:t>
      </w:r>
      <w:r>
        <w:rPr>
          <w:rFonts w:hint="eastAsia" w:ascii="方正仿宋简体" w:hAnsi="方正仿宋简体" w:eastAsia="方正仿宋简体" w:cs="方正仿宋简体"/>
          <w:sz w:val="32"/>
          <w:szCs w:val="32"/>
        </w:rPr>
        <w:t>承</w:t>
      </w:r>
      <w:r>
        <w:rPr>
          <w:rFonts w:hint="eastAsia" w:ascii="方正仿宋简体" w:hAnsi="方正仿宋简体" w:eastAsia="方正仿宋简体" w:cs="方正仿宋简体"/>
          <w:sz w:val="32"/>
          <w:szCs w:val="32"/>
          <w:lang w:eastAsia="zh-CN"/>
        </w:rPr>
        <w:t>。</w:t>
      </w:r>
    </w:p>
    <w:p>
      <w:pPr>
        <w:pStyle w:val="2"/>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（5）承担协调处理群众进京和到省委、省政府，市委、</w:t>
      </w:r>
    </w:p>
    <w:p>
      <w:pPr>
        <w:pStyle w:val="2"/>
        <w:ind w:left="0" w:leftChars="0" w:firstLine="0" w:firstLineChars="0"/>
        <w:rPr>
          <w:rFonts w:hint="default"/>
          <w:lang w:val="en-US"/>
        </w:rPr>
      </w:pPr>
      <w:r>
        <w:rPr>
          <w:rFonts w:hint="eastAsia" w:ascii="方正仿宋简体" w:hAnsi="方正仿宋简体" w:eastAsia="方正仿宋简体" w:cs="方正仿宋简体"/>
          <w:sz w:val="32"/>
          <w:szCs w:val="32"/>
          <w:lang w:val="en-US" w:eastAsia="zh-CN"/>
        </w:rPr>
        <w:t>市政府以及县委、县政府的集体上访和非正常上访的责任，综合协调处理跨地区、跨部门的重要信访问题。</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w:t>
      </w:r>
      <w:r>
        <w:rPr>
          <w:rFonts w:hint="eastAsia" w:ascii="方正仿宋简体" w:hAnsi="方正仿宋简体" w:eastAsia="方正仿宋简体" w:cs="方正仿宋简体"/>
          <w:sz w:val="32"/>
          <w:szCs w:val="32"/>
          <w:lang w:eastAsia="zh-CN"/>
        </w:rPr>
        <w:t>负责落实中央、省、市、县领导批示交办信访事项，县各乡镇、县级各部门（单位）转办、交办信访事项，督促检查重要信访事项的处理和落实。</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（7）</w:t>
      </w:r>
      <w:r>
        <w:rPr>
          <w:rFonts w:hint="eastAsia" w:ascii="方正仿宋简体" w:hAnsi="方正仿宋简体" w:eastAsia="方正仿宋简体" w:cs="方正仿宋简体"/>
          <w:sz w:val="32"/>
          <w:szCs w:val="32"/>
          <w:lang w:eastAsia="zh-CN"/>
        </w:rPr>
        <w:t>建立和完善信访信息汇集分析机制，指导信访信息系统建设和应用。</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（8）</w:t>
      </w:r>
      <w:r>
        <w:rPr>
          <w:rFonts w:hint="eastAsia" w:ascii="方正仿宋简体" w:hAnsi="方正仿宋简体" w:eastAsia="方正仿宋简体" w:cs="方正仿宋简体"/>
          <w:sz w:val="32"/>
          <w:szCs w:val="32"/>
          <w:lang w:eastAsia="zh-CN"/>
        </w:rPr>
        <w:t>承担县信访工作联席会议、县政府信访事项复查复核委员会日常</w:t>
      </w:r>
      <w:r>
        <w:rPr>
          <w:rFonts w:hint="eastAsia" w:ascii="方正仿宋简体" w:hAnsi="方正仿宋简体" w:eastAsia="方正仿宋简体" w:cs="方正仿宋简体"/>
          <w:sz w:val="32"/>
          <w:szCs w:val="32"/>
          <w:lang w:val="en-US" w:eastAsia="zh-CN"/>
        </w:rPr>
        <w:t>工作，督促落实有关事项。</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（9）</w:t>
      </w:r>
      <w:r>
        <w:rPr>
          <w:rFonts w:hint="eastAsia" w:ascii="方正仿宋简体" w:hAnsi="方正仿宋简体" w:eastAsia="方正仿宋简体" w:cs="方正仿宋简体"/>
          <w:sz w:val="32"/>
          <w:szCs w:val="32"/>
          <w:lang w:eastAsia="zh-CN"/>
        </w:rPr>
        <w:t>负责职责范围内的安全生产和职业健康、生态黄精保护、审批服务便民化等工作</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pPr>
      <w:r>
        <w:rPr>
          <w:rFonts w:hint="eastAsia" w:ascii="方正仿宋简体" w:hAnsi="方正仿宋简体" w:eastAsia="方正仿宋简体" w:cs="方正仿宋简体"/>
          <w:sz w:val="32"/>
          <w:szCs w:val="32"/>
        </w:rPr>
        <w:t>（10）</w:t>
      </w:r>
      <w:r>
        <w:rPr>
          <w:rFonts w:hint="eastAsia" w:ascii="方正仿宋简体" w:hAnsi="方正仿宋简体" w:eastAsia="方正仿宋简体" w:cs="方正仿宋简体"/>
          <w:sz w:val="32"/>
          <w:szCs w:val="32"/>
          <w:lang w:eastAsia="zh-CN"/>
        </w:rPr>
        <w:t>承办县委、县政府交办的其他任务。</w:t>
      </w:r>
    </w:p>
    <w:p>
      <w:pPr>
        <w:pStyle w:val="4"/>
        <w:rPr>
          <w:rFonts w:hint="eastAsia" w:ascii="仿宋" w:hAnsi="仿宋" w:eastAsia="仿宋"/>
          <w:sz w:val="32"/>
          <w:szCs w:val="32"/>
          <w:lang w:eastAsia="zh-CN"/>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4"/>
      <w:bookmarkEnd w:id="15"/>
    </w:p>
    <w:p>
      <w:pPr>
        <w:ind w:firstLine="800" w:firstLineChars="250"/>
        <w:rPr>
          <w:rFonts w:ascii="仿宋" w:hAnsi="仿宋" w:eastAsia="仿宋"/>
          <w:sz w:val="32"/>
          <w:szCs w:val="32"/>
        </w:rPr>
      </w:pPr>
      <w:r>
        <w:rPr>
          <w:rFonts w:hint="eastAsia" w:ascii="仿宋" w:hAnsi="仿宋" w:eastAsia="仿宋"/>
          <w:sz w:val="32"/>
          <w:szCs w:val="32"/>
          <w:lang w:eastAsia="zh-CN"/>
        </w:rPr>
        <w:t>乐至县信访局本级</w:t>
      </w:r>
      <w:r>
        <w:rPr>
          <w:rFonts w:hint="eastAsia" w:ascii="仿宋" w:hAnsi="仿宋" w:eastAsia="仿宋"/>
          <w:sz w:val="32"/>
          <w:szCs w:val="32"/>
        </w:rPr>
        <w:t>下属二级预算单位</w:t>
      </w:r>
      <w:r>
        <w:rPr>
          <w:rFonts w:hint="eastAsia" w:ascii="仿宋" w:hAnsi="仿宋" w:eastAsia="仿宋"/>
          <w:sz w:val="32"/>
          <w:szCs w:val="32"/>
          <w:lang w:val="en-US" w:eastAsia="zh-CN"/>
        </w:rPr>
        <w:t>2</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1</w:t>
      </w:r>
      <w:r>
        <w:rPr>
          <w:rFonts w:hint="eastAsia" w:ascii="仿宋" w:hAnsi="仿宋" w:eastAsia="仿宋"/>
          <w:sz w:val="32"/>
          <w:szCs w:val="32"/>
        </w:rPr>
        <w:t>个。纳入</w:t>
      </w:r>
      <w:r>
        <w:rPr>
          <w:rFonts w:hint="eastAsia" w:ascii="仿宋" w:hAnsi="仿宋" w:eastAsia="仿宋"/>
          <w:sz w:val="32"/>
          <w:szCs w:val="32"/>
          <w:lang w:eastAsia="zh-CN"/>
        </w:rPr>
        <w:t>乐至县信访局</w:t>
      </w:r>
      <w:r>
        <w:rPr>
          <w:rFonts w:hint="eastAsia" w:ascii="仿宋" w:hAnsi="仿宋" w:eastAsia="仿宋"/>
          <w:sz w:val="32"/>
          <w:szCs w:val="32"/>
        </w:rPr>
        <w:t>2022年度部门决算编制范围的二级预算单位包括：</w:t>
      </w:r>
    </w:p>
    <w:p>
      <w:pPr>
        <w:pStyle w:val="7"/>
        <w:numPr>
          <w:ilvl w:val="0"/>
          <w:numId w:val="2"/>
        </w:numPr>
        <w:adjustRightInd w:val="0"/>
        <w:snapToGrid w:val="0"/>
        <w:spacing w:before="93" w:line="600" w:lineRule="exact"/>
        <w:outlineLvl w:val="2"/>
        <w:rPr>
          <w:rFonts w:ascii="仿宋" w:hAnsi="仿宋" w:eastAsia="仿宋"/>
          <w:sz w:val="32"/>
          <w:szCs w:val="32"/>
        </w:rPr>
      </w:pPr>
      <w:bookmarkStart w:id="16" w:name="_Toc15377433"/>
      <w:bookmarkStart w:id="17" w:name="_Toc15378449"/>
      <w:bookmarkStart w:id="18" w:name="_Toc15306276"/>
      <w:bookmarkStart w:id="19" w:name="_Toc15377202"/>
      <w:r>
        <w:rPr>
          <w:rFonts w:hint="eastAsia" w:ascii="仿宋" w:hAnsi="仿宋" w:eastAsia="仿宋"/>
          <w:sz w:val="32"/>
          <w:szCs w:val="32"/>
          <w:lang w:eastAsia="zh-CN"/>
        </w:rPr>
        <w:t>乐至县信访局</w:t>
      </w:r>
      <w:bookmarkEnd w:id="16"/>
      <w:bookmarkEnd w:id="17"/>
      <w:bookmarkEnd w:id="18"/>
      <w:bookmarkEnd w:id="19"/>
    </w:p>
    <w:p>
      <w:pPr>
        <w:pStyle w:val="7"/>
        <w:numPr>
          <w:ilvl w:val="0"/>
          <w:numId w:val="2"/>
        </w:numPr>
        <w:adjustRightInd w:val="0"/>
        <w:snapToGrid w:val="0"/>
        <w:spacing w:before="93" w:line="600" w:lineRule="exact"/>
        <w:ind w:left="1152" w:leftChars="0" w:hanging="480" w:firstLineChars="0"/>
        <w:rPr>
          <w:rFonts w:ascii="仿宋" w:hAnsi="仿宋" w:eastAsia="仿宋"/>
          <w:sz w:val="32"/>
          <w:szCs w:val="32"/>
        </w:rPr>
      </w:pPr>
      <w:r>
        <w:rPr>
          <w:rFonts w:hint="eastAsia" w:ascii="仿宋" w:hAnsi="仿宋" w:eastAsia="仿宋"/>
          <w:sz w:val="32"/>
          <w:szCs w:val="32"/>
          <w:lang w:eastAsia="zh-CN"/>
        </w:rPr>
        <w:t>乐至县群众信访接待中心</w:t>
      </w:r>
    </w:p>
    <w:p>
      <w:pPr>
        <w:pStyle w:val="3"/>
        <w:ind w:right="440"/>
        <w:jc w:val="center"/>
        <w:rPr>
          <w:rStyle w:val="31"/>
          <w:rFonts w:ascii="黑体" w:hAnsi="黑体" w:eastAsia="黑体"/>
          <w:b w:val="0"/>
          <w:bCs/>
        </w:rPr>
      </w:pPr>
      <w:bookmarkStart w:id="20" w:name="_Toc15396602"/>
      <w:bookmarkStart w:id="21" w:name="_Toc15377204"/>
      <w:r>
        <w:rPr>
          <w:rFonts w:hint="eastAsia" w:ascii="黑体" w:hAnsi="黑体" w:eastAsia="黑体"/>
          <w:b w:val="0"/>
        </w:rPr>
        <w:t>第二部分 2022年度</w:t>
      </w:r>
      <w:r>
        <w:rPr>
          <w:rStyle w:val="31"/>
          <w:rFonts w:hint="eastAsia" w:ascii="黑体" w:hAnsi="黑体" w:eastAsia="黑体"/>
          <w:b w:val="0"/>
          <w:bCs/>
        </w:rPr>
        <w:t>部门决算情况说明</w:t>
      </w:r>
      <w:bookmarkEnd w:id="20"/>
      <w:bookmarkEnd w:id="21"/>
    </w:p>
    <w:p/>
    <w:p>
      <w:pPr>
        <w:pStyle w:val="30"/>
        <w:numPr>
          <w:ilvl w:val="0"/>
          <w:numId w:val="3"/>
        </w:numPr>
        <w:spacing w:line="600" w:lineRule="exact"/>
        <w:ind w:firstLineChars="0"/>
        <w:outlineLvl w:val="1"/>
        <w:rPr>
          <w:rStyle w:val="32"/>
          <w:rFonts w:ascii="黑体" w:hAnsi="黑体" w:eastAsia="黑体"/>
          <w:b w:val="0"/>
        </w:rPr>
      </w:pPr>
      <w:bookmarkStart w:id="22" w:name="_Toc15377205"/>
      <w:bookmarkStart w:id="23" w:name="_Toc15396603"/>
      <w:r>
        <w:rPr>
          <w:rFonts w:hint="eastAsia" w:ascii="黑体" w:hAnsi="黑体" w:eastAsia="黑体"/>
          <w:sz w:val="32"/>
          <w:szCs w:val="32"/>
        </w:rPr>
        <w:t>收</w:t>
      </w:r>
      <w:r>
        <w:rPr>
          <w:rStyle w:val="32"/>
          <w:rFonts w:hint="eastAsia" w:ascii="黑体" w:hAnsi="黑体" w:eastAsia="黑体"/>
          <w:b w:val="0"/>
        </w:rPr>
        <w:t>入支出决算总体情况说明</w:t>
      </w:r>
      <w:bookmarkEnd w:id="22"/>
      <w:bookmarkEnd w:id="23"/>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2022年度收、支总计</w:t>
      </w:r>
      <w:r>
        <w:rPr>
          <w:rFonts w:hint="eastAsia" w:ascii="仿宋_GB2312" w:hAnsi="仿宋" w:eastAsia="仿宋_GB2312"/>
          <w:sz w:val="32"/>
          <w:szCs w:val="32"/>
          <w:lang w:val="en-US" w:eastAsia="zh-CN"/>
        </w:rPr>
        <w:t>348.31</w:t>
      </w:r>
      <w:r>
        <w:rPr>
          <w:rFonts w:hint="eastAsia" w:ascii="仿宋" w:hAnsi="仿宋" w:eastAsia="仿宋"/>
          <w:sz w:val="32"/>
          <w:szCs w:val="32"/>
        </w:rPr>
        <w:t>万元。与2021年相比，收、支总计各增加</w:t>
      </w:r>
      <w:r>
        <w:rPr>
          <w:rFonts w:hint="eastAsia" w:ascii="仿宋" w:hAnsi="仿宋" w:eastAsia="仿宋"/>
          <w:sz w:val="32"/>
          <w:szCs w:val="32"/>
          <w:lang w:val="en-US" w:eastAsia="zh-CN"/>
        </w:rPr>
        <w:t>78.09</w:t>
      </w:r>
      <w:r>
        <w:rPr>
          <w:rFonts w:hint="eastAsia" w:ascii="仿宋" w:hAnsi="仿宋" w:eastAsia="仿宋"/>
          <w:sz w:val="32"/>
          <w:szCs w:val="32"/>
        </w:rPr>
        <w:t>万元，增长</w:t>
      </w:r>
      <w:r>
        <w:rPr>
          <w:rFonts w:hint="eastAsia" w:ascii="仿宋" w:hAnsi="仿宋" w:eastAsia="仿宋"/>
          <w:sz w:val="32"/>
          <w:szCs w:val="32"/>
          <w:lang w:val="en-US" w:eastAsia="zh-CN"/>
        </w:rPr>
        <w:t>28.9</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sz w:val="32"/>
          <w:szCs w:val="32"/>
          <w:lang w:val="en-US" w:eastAsia="zh-CN"/>
        </w:rPr>
        <w:t>2022年</w:t>
      </w:r>
      <w:r>
        <w:rPr>
          <w:rFonts w:hint="eastAsia" w:ascii="仿宋_GB2312" w:hAnsi="仿宋" w:eastAsia="仿宋_GB2312"/>
          <w:sz w:val="32"/>
          <w:szCs w:val="32"/>
          <w:lang w:eastAsia="zh-CN"/>
        </w:rPr>
        <w:t>人员晋级晋档以及职务晋升增加人员经费，以及住房保障支出增加；</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年大事要事相比</w:t>
      </w:r>
      <w:r>
        <w:rPr>
          <w:rFonts w:hint="eastAsia" w:ascii="仿宋_GB2312" w:hAnsi="仿宋" w:eastAsia="仿宋_GB2312"/>
          <w:sz w:val="32"/>
          <w:szCs w:val="32"/>
          <w:lang w:eastAsia="zh-CN"/>
        </w:rPr>
        <w:t>增加，增加了北京冬残奥会、党的二十大等处访经费</w:t>
      </w:r>
      <w:r>
        <w:rPr>
          <w:rFonts w:hint="eastAsia" w:ascii="仿宋" w:hAnsi="仿宋" w:eastAsia="仿宋"/>
          <w:sz w:val="32"/>
          <w:szCs w:val="32"/>
        </w:rPr>
        <w:t>。</w:t>
      </w:r>
    </w:p>
    <w:p>
      <w:pPr>
        <w:rPr>
          <w:rFonts w:hint="eastAsia" w:eastAsia="仿宋"/>
          <w:lang w:eastAsia="zh-CN"/>
        </w:rPr>
      </w:pPr>
      <w:r>
        <w:rPr>
          <w:rFonts w:hint="eastAsia" w:eastAsia="仿宋"/>
          <w:lang w:eastAsia="zh-CN"/>
        </w:rPr>
        <w:drawing>
          <wp:inline distT="0" distB="0" distL="114300" distR="114300">
            <wp:extent cx="3635375" cy="1592580"/>
            <wp:effectExtent l="4445" t="4445" r="17780"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rFonts w:hint="eastAsia" w:eastAsia="仿宋"/>
          <w:lang w:val="en-US" w:eastAsia="zh-CN"/>
        </w:rPr>
        <w:t xml:space="preserve">   图1</w:t>
      </w:r>
    </w:p>
    <w:p>
      <w:pPr>
        <w:pStyle w:val="30"/>
        <w:numPr>
          <w:ilvl w:val="0"/>
          <w:numId w:val="3"/>
        </w:numPr>
        <w:spacing w:line="600" w:lineRule="exact"/>
        <w:ind w:firstLineChars="0"/>
        <w:outlineLvl w:val="1"/>
        <w:rPr>
          <w:rStyle w:val="32"/>
          <w:rFonts w:ascii="黑体" w:hAnsi="黑体" w:eastAsia="黑体"/>
          <w:b w:val="0"/>
        </w:rPr>
      </w:pPr>
      <w:bookmarkStart w:id="24" w:name="_Toc15396604"/>
      <w:bookmarkStart w:id="25" w:name="_Toc15377206"/>
      <w:r>
        <w:rPr>
          <w:rFonts w:hint="eastAsia" w:ascii="黑体" w:hAnsi="黑体" w:eastAsia="黑体"/>
          <w:sz w:val="32"/>
          <w:szCs w:val="32"/>
        </w:rPr>
        <w:t>收</w:t>
      </w:r>
      <w:r>
        <w:rPr>
          <w:rStyle w:val="32"/>
          <w:rFonts w:hint="eastAsia" w:ascii="黑体" w:hAnsi="黑体" w:eastAsia="黑体"/>
          <w:b w:val="0"/>
        </w:rPr>
        <w:t>入决算情况说明</w:t>
      </w:r>
      <w:bookmarkEnd w:id="24"/>
      <w:bookmarkEnd w:id="25"/>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348.31</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348.31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pPr>
        <w:pStyle w:val="10"/>
        <w:rPr>
          <w:rFonts w:hint="eastAsia" w:eastAsia="仿宋"/>
          <w:lang w:eastAsia="zh-CN"/>
        </w:rPr>
      </w:pPr>
      <w:r>
        <w:rPr>
          <w:rFonts w:hint="eastAsia" w:eastAsia="仿宋"/>
          <w:lang w:eastAsia="zh-CN"/>
        </w:rPr>
        <w:drawing>
          <wp:inline distT="0" distB="0" distL="114300" distR="114300">
            <wp:extent cx="3789045" cy="1679575"/>
            <wp:effectExtent l="5080" t="5080" r="1587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eastAsia="仿宋"/>
          <w:lang w:val="en-US" w:eastAsia="zh-CN"/>
        </w:rPr>
        <w:t xml:space="preserve">   图2</w:t>
      </w:r>
    </w:p>
    <w:p>
      <w:pPr>
        <w:pStyle w:val="30"/>
        <w:numPr>
          <w:ilvl w:val="0"/>
          <w:numId w:val="3"/>
        </w:numPr>
        <w:spacing w:line="600" w:lineRule="exact"/>
        <w:ind w:firstLineChars="0"/>
        <w:outlineLvl w:val="1"/>
        <w:rPr>
          <w:rStyle w:val="32"/>
          <w:rFonts w:ascii="黑体" w:hAnsi="黑体" w:eastAsia="黑体"/>
          <w:b w:val="0"/>
        </w:rPr>
      </w:pPr>
      <w:bookmarkStart w:id="26" w:name="_Toc15396605"/>
      <w:bookmarkStart w:id="27" w:name="_Toc15377207"/>
      <w:r>
        <w:rPr>
          <w:rFonts w:hint="eastAsia" w:ascii="黑体" w:hAnsi="黑体" w:eastAsia="黑体"/>
          <w:sz w:val="32"/>
          <w:szCs w:val="32"/>
        </w:rPr>
        <w:t>支</w:t>
      </w:r>
      <w:r>
        <w:rPr>
          <w:rStyle w:val="32"/>
          <w:rFonts w:hint="eastAsia" w:ascii="黑体" w:hAnsi="黑体" w:eastAsia="黑体"/>
          <w:b w:val="0"/>
        </w:rPr>
        <w:t>出决算情况说明</w:t>
      </w:r>
      <w:bookmarkEnd w:id="26"/>
      <w:bookmarkEnd w:id="27"/>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348.31</w:t>
      </w:r>
      <w:r>
        <w:rPr>
          <w:rFonts w:hint="eastAsia" w:ascii="仿宋" w:hAnsi="仿宋" w:eastAsia="仿宋"/>
          <w:sz w:val="32"/>
          <w:szCs w:val="32"/>
        </w:rPr>
        <w:t>万元，其中：基本支出</w:t>
      </w:r>
      <w:r>
        <w:rPr>
          <w:rFonts w:hint="eastAsia" w:ascii="仿宋" w:hAnsi="仿宋" w:eastAsia="仿宋"/>
          <w:sz w:val="32"/>
          <w:szCs w:val="32"/>
          <w:lang w:val="en-US" w:eastAsia="zh-CN"/>
        </w:rPr>
        <w:t>219.61</w:t>
      </w:r>
      <w:r>
        <w:rPr>
          <w:rFonts w:hint="eastAsia" w:ascii="仿宋" w:hAnsi="仿宋" w:eastAsia="仿宋"/>
          <w:sz w:val="32"/>
          <w:szCs w:val="32"/>
        </w:rPr>
        <w:t>万元，占</w:t>
      </w:r>
      <w:r>
        <w:rPr>
          <w:rFonts w:hint="eastAsia" w:ascii="仿宋" w:hAnsi="仿宋" w:eastAsia="仿宋"/>
          <w:sz w:val="32"/>
          <w:szCs w:val="32"/>
          <w:lang w:val="en-US" w:eastAsia="zh-CN"/>
        </w:rPr>
        <w:t>63.05</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128.70</w:t>
      </w:r>
      <w:r>
        <w:rPr>
          <w:rFonts w:hint="eastAsia" w:ascii="仿宋" w:hAnsi="仿宋" w:eastAsia="仿宋"/>
          <w:sz w:val="32"/>
          <w:szCs w:val="32"/>
        </w:rPr>
        <w:t>万元，占</w:t>
      </w:r>
      <w:r>
        <w:rPr>
          <w:rFonts w:hint="eastAsia" w:ascii="仿宋" w:hAnsi="仿宋" w:eastAsia="仿宋"/>
          <w:sz w:val="32"/>
          <w:szCs w:val="32"/>
          <w:lang w:val="en-US" w:eastAsia="zh-CN"/>
        </w:rPr>
        <w:t>36.95</w:t>
      </w:r>
      <w:r>
        <w:rPr>
          <w:rFonts w:ascii="仿宋" w:hAnsi="仿宋" w:eastAsia="仿宋"/>
          <w:sz w:val="32"/>
          <w:szCs w:val="32"/>
        </w:rPr>
        <w:t>%</w:t>
      </w:r>
      <w:r>
        <w:rPr>
          <w:rFonts w:hint="eastAsia" w:ascii="仿宋" w:hAnsi="仿宋" w:eastAsia="仿宋"/>
          <w:sz w:val="32"/>
          <w:szCs w:val="32"/>
        </w:rPr>
        <w:t>。</w:t>
      </w:r>
    </w:p>
    <w:p>
      <w:pPr>
        <w:rPr>
          <w:rFonts w:ascii="仿宋_GB2312" w:eastAsia="仿宋_GB2312"/>
          <w:sz w:val="32"/>
          <w:szCs w:val="32"/>
        </w:rPr>
      </w:pPr>
      <w:r>
        <w:rPr>
          <w:rFonts w:hint="eastAsia" w:eastAsia="仿宋"/>
          <w:lang w:eastAsia="zh-CN"/>
        </w:rPr>
        <w:drawing>
          <wp:inline distT="0" distB="0" distL="114300" distR="114300">
            <wp:extent cx="3985260" cy="1630680"/>
            <wp:effectExtent l="4445" t="4445" r="10795" b="222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eastAsia="仿宋"/>
          <w:lang w:val="en-US" w:eastAsia="zh-CN"/>
        </w:rPr>
        <w:t xml:space="preserve">   图3</w:t>
      </w:r>
    </w:p>
    <w:p>
      <w:pPr>
        <w:spacing w:line="600" w:lineRule="exact"/>
        <w:ind w:firstLine="640" w:firstLineChars="200"/>
        <w:outlineLvl w:val="1"/>
        <w:rPr>
          <w:rStyle w:val="32"/>
          <w:rFonts w:ascii="黑体" w:hAnsi="黑体" w:eastAsia="黑体"/>
          <w:b w:val="0"/>
        </w:rPr>
      </w:pPr>
      <w:bookmarkStart w:id="28" w:name="_Toc15377208"/>
      <w:bookmarkStart w:id="29" w:name="_Toc15396606"/>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8"/>
      <w:bookmarkEnd w:id="29"/>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348.31</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21年相比，财政拨款收、支总计各增加</w:t>
      </w:r>
      <w:r>
        <w:rPr>
          <w:rFonts w:hint="eastAsia" w:ascii="仿宋" w:hAnsi="仿宋" w:eastAsia="仿宋"/>
          <w:sz w:val="32"/>
          <w:szCs w:val="32"/>
          <w:lang w:val="en-US" w:eastAsia="zh-CN"/>
        </w:rPr>
        <w:t>78.09</w:t>
      </w:r>
      <w:r>
        <w:rPr>
          <w:rFonts w:hint="eastAsia" w:ascii="仿宋" w:hAnsi="仿宋" w:eastAsia="仿宋"/>
          <w:sz w:val="32"/>
          <w:szCs w:val="32"/>
        </w:rPr>
        <w:t>万元，增长</w:t>
      </w:r>
      <w:r>
        <w:rPr>
          <w:rFonts w:hint="eastAsia" w:ascii="仿宋" w:hAnsi="仿宋" w:eastAsia="仿宋"/>
          <w:sz w:val="32"/>
          <w:szCs w:val="32"/>
          <w:lang w:val="en-US" w:eastAsia="zh-CN"/>
        </w:rPr>
        <w:t>28.9</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sz w:val="32"/>
          <w:szCs w:val="32"/>
          <w:lang w:val="en-US" w:eastAsia="zh-CN"/>
        </w:rPr>
        <w:t>2022年</w:t>
      </w:r>
      <w:r>
        <w:rPr>
          <w:rFonts w:hint="eastAsia" w:ascii="仿宋_GB2312" w:hAnsi="仿宋" w:eastAsia="仿宋_GB2312"/>
          <w:sz w:val="32"/>
          <w:szCs w:val="32"/>
          <w:lang w:eastAsia="zh-CN"/>
        </w:rPr>
        <w:t>人员晋级晋档以及职务晋升增加人员经费，以及住房保障支出增加；</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年大事要事相比</w:t>
      </w:r>
      <w:r>
        <w:rPr>
          <w:rFonts w:hint="eastAsia" w:ascii="仿宋_GB2312" w:hAnsi="仿宋" w:eastAsia="仿宋_GB2312"/>
          <w:sz w:val="32"/>
          <w:szCs w:val="32"/>
          <w:lang w:eastAsia="zh-CN"/>
        </w:rPr>
        <w:t>增加，增加了北京冬残奥会、党的二十大等处访经费</w:t>
      </w:r>
      <w:r>
        <w:rPr>
          <w:rFonts w:hint="eastAsia" w:ascii="仿宋" w:hAnsi="仿宋" w:eastAsia="仿宋"/>
          <w:sz w:val="32"/>
          <w:szCs w:val="32"/>
        </w:rPr>
        <w:t>。</w:t>
      </w:r>
    </w:p>
    <w:p>
      <w:pPr>
        <w:pStyle w:val="2"/>
        <w:ind w:left="0" w:leftChars="0" w:firstLine="0" w:firstLineChars="0"/>
        <w:rPr>
          <w:rFonts w:hint="eastAsia"/>
        </w:rPr>
      </w:pPr>
    </w:p>
    <w:p>
      <w:pPr>
        <w:pStyle w:val="2"/>
        <w:rPr>
          <w:rFonts w:hint="default" w:eastAsia="仿宋"/>
          <w:lang w:val="en-US" w:eastAsia="zh-CN"/>
        </w:rPr>
      </w:pPr>
      <w:r>
        <w:rPr>
          <w:rFonts w:hint="eastAsia" w:eastAsia="仿宋"/>
          <w:lang w:eastAsia="zh-CN"/>
        </w:rPr>
        <w:drawing>
          <wp:inline distT="0" distB="0" distL="114300" distR="114300">
            <wp:extent cx="4398645" cy="1960245"/>
            <wp:effectExtent l="4445" t="444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eastAsia="仿宋"/>
          <w:lang w:val="en-US" w:eastAsia="zh-CN"/>
        </w:rPr>
        <w:t xml:space="preserve">   图4</w:t>
      </w:r>
    </w:p>
    <w:p>
      <w:pPr>
        <w:spacing w:line="600" w:lineRule="exact"/>
        <w:ind w:firstLine="640" w:firstLineChars="200"/>
        <w:outlineLvl w:val="1"/>
        <w:rPr>
          <w:rStyle w:val="32"/>
          <w:rFonts w:ascii="黑体" w:hAnsi="黑体" w:eastAsia="黑体"/>
          <w:b w:val="0"/>
        </w:rPr>
      </w:pPr>
      <w:bookmarkStart w:id="30" w:name="_Toc15396607"/>
      <w:bookmarkStart w:id="31" w:name="_Toc15377209"/>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30"/>
      <w:bookmarkEnd w:id="31"/>
    </w:p>
    <w:p>
      <w:pPr>
        <w:spacing w:line="600" w:lineRule="exact"/>
        <w:ind w:firstLine="643" w:firstLineChars="200"/>
        <w:outlineLvl w:val="2"/>
        <w:rPr>
          <w:rFonts w:ascii="仿宋" w:hAnsi="仿宋" w:eastAsia="仿宋"/>
          <w:b/>
          <w:sz w:val="32"/>
          <w:szCs w:val="32"/>
        </w:rPr>
      </w:pPr>
      <w:bookmarkStart w:id="32" w:name="_Toc15377210"/>
      <w:r>
        <w:rPr>
          <w:rFonts w:hint="eastAsia" w:ascii="仿宋" w:hAnsi="仿宋" w:eastAsia="仿宋"/>
          <w:b/>
          <w:sz w:val="32"/>
          <w:szCs w:val="32"/>
        </w:rPr>
        <w:t>（一）一般公共预算财政拨款支出决算总体情况</w:t>
      </w:r>
      <w:bookmarkEnd w:id="32"/>
    </w:p>
    <w:p>
      <w:pPr>
        <w:spacing w:line="600" w:lineRule="exact"/>
        <w:ind w:firstLine="640" w:firstLineChars="20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348.31</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w:t>
      </w:r>
      <w:r>
        <w:rPr>
          <w:rFonts w:hint="eastAsia" w:ascii="仿宋" w:hAnsi="仿宋" w:eastAsia="仿宋"/>
          <w:sz w:val="32"/>
          <w:szCs w:val="32"/>
          <w:lang w:val="en-US" w:eastAsia="zh-CN"/>
        </w:rPr>
        <w:t>78.09</w:t>
      </w:r>
      <w:r>
        <w:rPr>
          <w:rFonts w:hint="eastAsia" w:ascii="仿宋" w:hAnsi="仿宋" w:eastAsia="仿宋"/>
          <w:sz w:val="32"/>
          <w:szCs w:val="32"/>
        </w:rPr>
        <w:t>万元，增长</w:t>
      </w:r>
      <w:r>
        <w:rPr>
          <w:rFonts w:hint="eastAsia" w:ascii="仿宋" w:hAnsi="仿宋" w:eastAsia="仿宋"/>
          <w:sz w:val="32"/>
          <w:szCs w:val="32"/>
          <w:lang w:val="en-US" w:eastAsia="zh-CN"/>
        </w:rPr>
        <w:t>28.9</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sz w:val="32"/>
          <w:szCs w:val="32"/>
          <w:lang w:val="en-US" w:eastAsia="zh-CN"/>
        </w:rPr>
        <w:t>2022年</w:t>
      </w:r>
      <w:r>
        <w:rPr>
          <w:rFonts w:hint="eastAsia" w:ascii="仿宋_GB2312" w:hAnsi="仿宋" w:eastAsia="仿宋_GB2312"/>
          <w:sz w:val="32"/>
          <w:szCs w:val="32"/>
          <w:lang w:eastAsia="zh-CN"/>
        </w:rPr>
        <w:t>人员晋级晋档以及职务晋升增加人员经费，以及住房保障支出增加；</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年大事要事相比</w:t>
      </w:r>
      <w:r>
        <w:rPr>
          <w:rFonts w:hint="eastAsia" w:ascii="仿宋_GB2312" w:hAnsi="仿宋" w:eastAsia="仿宋_GB2312"/>
          <w:sz w:val="32"/>
          <w:szCs w:val="32"/>
          <w:lang w:eastAsia="zh-CN"/>
        </w:rPr>
        <w:t>增加，增加了北京冬残奥会、党的二十大等处访经费</w:t>
      </w:r>
      <w:r>
        <w:rPr>
          <w:rFonts w:hint="eastAsia" w:ascii="仿宋" w:hAnsi="仿宋" w:eastAsia="仿宋"/>
          <w:sz w:val="32"/>
          <w:szCs w:val="32"/>
        </w:rPr>
        <w:t>。</w:t>
      </w:r>
    </w:p>
    <w:p>
      <w:pPr>
        <w:pStyle w:val="2"/>
        <w:rPr>
          <w:rFonts w:hint="eastAsia"/>
        </w:rPr>
      </w:pPr>
    </w:p>
    <w:p>
      <w:pPr>
        <w:pStyle w:val="10"/>
        <w:rPr>
          <w:rFonts w:hint="default" w:eastAsia="仿宋"/>
          <w:lang w:val="en-US" w:eastAsia="zh-CN"/>
        </w:rPr>
      </w:pPr>
      <w:r>
        <w:rPr>
          <w:rFonts w:hint="eastAsia" w:ascii="仿宋" w:hAnsi="仿宋" w:eastAsia="仿宋"/>
          <w:sz w:val="32"/>
          <w:szCs w:val="32"/>
          <w:lang w:val="en-US" w:eastAsia="zh-CN"/>
        </w:rPr>
        <w:t>一般公共预算财政拨款支出决算变动情况</w:t>
      </w:r>
    </w:p>
    <w:p>
      <w:pPr>
        <w:pStyle w:val="10"/>
        <w:rPr>
          <w:rFonts w:hint="eastAsia" w:eastAsia="宋体"/>
          <w:lang w:eastAsia="zh-CN"/>
        </w:rPr>
      </w:pPr>
      <w:r>
        <w:rPr>
          <w:rFonts w:hint="eastAsia" w:eastAsia="宋体"/>
          <w:lang w:eastAsia="zh-CN"/>
        </w:rPr>
        <w:drawing>
          <wp:inline distT="0" distB="0" distL="114300" distR="114300">
            <wp:extent cx="3422650" cy="1882775"/>
            <wp:effectExtent l="4445" t="4445" r="20955"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lang w:val="en-US" w:eastAsia="zh-CN"/>
        </w:rPr>
        <w:t xml:space="preserve">   图5</w:t>
      </w:r>
    </w:p>
    <w:p>
      <w:pPr>
        <w:spacing w:line="600" w:lineRule="exact"/>
        <w:ind w:firstLine="643" w:firstLineChars="200"/>
        <w:outlineLvl w:val="2"/>
        <w:rPr>
          <w:rFonts w:ascii="仿宋" w:hAnsi="仿宋" w:eastAsia="仿宋"/>
          <w:b/>
          <w:sz w:val="32"/>
          <w:szCs w:val="32"/>
        </w:rPr>
      </w:pPr>
      <w:bookmarkStart w:id="33" w:name="_Toc15377211"/>
      <w:r>
        <w:rPr>
          <w:rFonts w:hint="eastAsia" w:ascii="仿宋" w:hAnsi="仿宋" w:eastAsia="仿宋"/>
          <w:b/>
          <w:sz w:val="32"/>
          <w:szCs w:val="32"/>
        </w:rPr>
        <w:t>（二）一般公共预算财政拨款支出决算结构情况</w:t>
      </w:r>
      <w:bookmarkEnd w:id="33"/>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348.31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305.17</w:t>
      </w:r>
      <w:r>
        <w:rPr>
          <w:rFonts w:hint="eastAsia" w:ascii="仿宋" w:hAnsi="仿宋" w:eastAsia="仿宋"/>
          <w:sz w:val="32"/>
          <w:szCs w:val="32"/>
        </w:rPr>
        <w:t>万元，占</w:t>
      </w:r>
      <w:r>
        <w:rPr>
          <w:rFonts w:hint="eastAsia" w:ascii="仿宋" w:hAnsi="仿宋" w:eastAsia="仿宋"/>
          <w:sz w:val="32"/>
          <w:szCs w:val="32"/>
          <w:lang w:val="en-US" w:eastAsia="zh-CN"/>
        </w:rPr>
        <w:t>87.61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13.82</w:t>
      </w:r>
      <w:r>
        <w:rPr>
          <w:rFonts w:hint="eastAsia" w:ascii="仿宋" w:hAnsi="仿宋" w:eastAsia="仿宋"/>
          <w:sz w:val="32"/>
          <w:szCs w:val="32"/>
        </w:rPr>
        <w:t>万元，占</w:t>
      </w:r>
      <w:r>
        <w:rPr>
          <w:rFonts w:hint="eastAsia" w:ascii="仿宋" w:hAnsi="仿宋" w:eastAsia="仿宋"/>
          <w:sz w:val="32"/>
          <w:szCs w:val="32"/>
          <w:lang w:val="en-US" w:eastAsia="zh-CN"/>
        </w:rPr>
        <w:t>3.97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8.12</w:t>
      </w:r>
      <w:r>
        <w:rPr>
          <w:rFonts w:hint="eastAsia" w:ascii="仿宋" w:hAnsi="仿宋" w:eastAsia="仿宋"/>
          <w:sz w:val="32"/>
          <w:szCs w:val="32"/>
        </w:rPr>
        <w:t>万元，占</w:t>
      </w:r>
      <w:r>
        <w:rPr>
          <w:rFonts w:hint="eastAsia" w:ascii="仿宋" w:hAnsi="仿宋" w:eastAsia="仿宋"/>
          <w:sz w:val="32"/>
          <w:szCs w:val="32"/>
          <w:lang w:val="en-US" w:eastAsia="zh-CN"/>
        </w:rPr>
        <w:t>2.33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21.21</w:t>
      </w:r>
      <w:r>
        <w:rPr>
          <w:rFonts w:hint="eastAsia" w:ascii="仿宋" w:hAnsi="仿宋" w:eastAsia="仿宋"/>
          <w:sz w:val="32"/>
          <w:szCs w:val="32"/>
        </w:rPr>
        <w:t>万元，占</w:t>
      </w:r>
      <w:r>
        <w:rPr>
          <w:rFonts w:hint="eastAsia" w:ascii="仿宋" w:hAnsi="仿宋" w:eastAsia="仿宋"/>
          <w:sz w:val="32"/>
          <w:szCs w:val="32"/>
          <w:lang w:val="en-US" w:eastAsia="zh-CN"/>
        </w:rPr>
        <w:t>6.09</w:t>
      </w:r>
      <w:r>
        <w:rPr>
          <w:rFonts w:ascii="仿宋" w:hAnsi="仿宋" w:eastAsia="仿宋"/>
          <w:sz w:val="32"/>
          <w:szCs w:val="32"/>
        </w:rPr>
        <w:t>%</w:t>
      </w:r>
      <w:r>
        <w:rPr>
          <w:rFonts w:hint="eastAsia" w:ascii="仿宋" w:hAnsi="仿宋" w:eastAsia="仿宋"/>
          <w:sz w:val="32"/>
          <w:szCs w:val="32"/>
        </w:rPr>
        <w:t>。</w:t>
      </w:r>
    </w:p>
    <w:p>
      <w:pPr>
        <w:pStyle w:val="10"/>
        <w:rPr>
          <w:rFonts w:hint="default" w:eastAsia="仿宋"/>
          <w:lang w:val="en-US" w:eastAsia="zh-CN"/>
        </w:rPr>
      </w:pPr>
      <w:r>
        <w:rPr>
          <w:rFonts w:hint="eastAsia" w:eastAsia="仿宋"/>
          <w:lang w:eastAsia="zh-CN"/>
        </w:rPr>
        <w:drawing>
          <wp:inline distT="0" distB="0" distL="114300" distR="114300">
            <wp:extent cx="3916045" cy="1997710"/>
            <wp:effectExtent l="4445" t="4445" r="2286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eastAsia="仿宋"/>
          <w:lang w:val="en-US" w:eastAsia="zh-CN"/>
        </w:rPr>
        <w:t xml:space="preserve">   图6</w:t>
      </w:r>
    </w:p>
    <w:p>
      <w:pPr>
        <w:spacing w:line="600" w:lineRule="exact"/>
        <w:ind w:firstLine="643" w:firstLineChars="200"/>
        <w:outlineLvl w:val="2"/>
        <w:rPr>
          <w:rFonts w:ascii="仿宋" w:hAnsi="仿宋" w:eastAsia="仿宋"/>
          <w:b/>
          <w:sz w:val="32"/>
          <w:szCs w:val="32"/>
        </w:rPr>
      </w:pPr>
      <w:bookmarkStart w:id="34" w:name="_Toc15377212"/>
      <w:r>
        <w:rPr>
          <w:rFonts w:hint="eastAsia" w:ascii="仿宋" w:hAnsi="仿宋" w:eastAsia="仿宋"/>
          <w:b/>
          <w:sz w:val="32"/>
          <w:szCs w:val="32"/>
        </w:rPr>
        <w:t>（三）一般公共预算财政拨款支出决算具体情况</w:t>
      </w:r>
      <w:bookmarkEnd w:id="34"/>
    </w:p>
    <w:p>
      <w:pPr>
        <w:spacing w:line="600" w:lineRule="exact"/>
        <w:ind w:firstLine="643" w:firstLineChars="200"/>
        <w:outlineLvl w:val="2"/>
        <w:rPr>
          <w:rFonts w:ascii="仿宋" w:hAnsi="仿宋" w:eastAsia="仿宋"/>
          <w:sz w:val="32"/>
          <w:szCs w:val="32"/>
        </w:rPr>
      </w:pPr>
      <w:bookmarkStart w:id="35" w:name="_Toc15377213"/>
      <w:bookmarkStart w:id="36" w:name="_Toc15377444"/>
      <w:bookmarkStart w:id="37" w:name="_Toc15378460"/>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348.31万元</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35"/>
      <w:bookmarkEnd w:id="36"/>
      <w:bookmarkEnd w:id="37"/>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val="en-US" w:eastAsia="zh-CN"/>
        </w:rPr>
        <w:t>1.</w:t>
      </w:r>
      <w:r>
        <w:rPr>
          <w:rStyle w:val="20"/>
          <w:rFonts w:hint="eastAsia" w:ascii="仿宋" w:hAnsi="仿宋" w:eastAsia="仿宋"/>
          <w:bCs/>
          <w:sz w:val="32"/>
          <w:szCs w:val="32"/>
        </w:rPr>
        <w:t>一般公共服务（</w:t>
      </w:r>
      <w:r>
        <w:rPr>
          <w:rStyle w:val="20"/>
          <w:rFonts w:hint="eastAsia" w:ascii="仿宋" w:hAnsi="仿宋" w:eastAsia="仿宋"/>
          <w:bCs/>
          <w:sz w:val="32"/>
          <w:szCs w:val="32"/>
          <w:lang w:val="en-US" w:eastAsia="zh-CN"/>
        </w:rPr>
        <w:t>201</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）政府办公厅（室）及相关机构事务</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 w:val="0"/>
          <w:bCs/>
          <w:sz w:val="32"/>
          <w:szCs w:val="32"/>
        </w:rPr>
      </w:pPr>
      <w:r>
        <w:rPr>
          <w:rStyle w:val="20"/>
          <w:rFonts w:hint="eastAsia" w:ascii="仿宋" w:hAnsi="仿宋" w:eastAsia="仿宋"/>
          <w:bCs/>
          <w:sz w:val="32"/>
          <w:szCs w:val="32"/>
          <w:lang w:eastAsia="zh-CN"/>
        </w:rPr>
        <w:t>行政运行</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2010301</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143.09</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pPr>
        <w:pStyle w:val="2"/>
        <w:rPr>
          <w:rStyle w:val="20"/>
          <w:rFonts w:hint="eastAsia" w:ascii="仿宋" w:hAnsi="仿宋" w:eastAsia="仿宋"/>
          <w:b w:val="0"/>
          <w:bCs/>
          <w:sz w:val="32"/>
          <w:szCs w:val="32"/>
          <w:lang w:eastAsia="zh-CN"/>
        </w:rPr>
      </w:pPr>
      <w:r>
        <w:rPr>
          <w:rStyle w:val="20"/>
          <w:rFonts w:hint="eastAsia" w:ascii="仿宋" w:hAnsi="仿宋" w:eastAsia="仿宋"/>
          <w:b w:val="0"/>
          <w:bCs/>
          <w:sz w:val="32"/>
          <w:szCs w:val="32"/>
          <w:lang w:eastAsia="zh-CN"/>
        </w:rPr>
        <w:t>信访事务</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2010308</w:t>
      </w:r>
      <w:r>
        <w:rPr>
          <w:rStyle w:val="20"/>
          <w:rFonts w:hint="eastAsia" w:ascii="仿宋" w:hAnsi="仿宋" w:eastAsia="仿宋"/>
          <w:bCs/>
          <w:sz w:val="32"/>
          <w:szCs w:val="32"/>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128.7</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rPr>
          <w:rFonts w:hint="eastAsia" w:eastAsia="仿宋"/>
          <w:lang w:val="en-US" w:eastAsia="zh-CN"/>
        </w:rPr>
      </w:pPr>
      <w:r>
        <w:rPr>
          <w:rStyle w:val="20"/>
          <w:rFonts w:hint="eastAsia" w:ascii="仿宋" w:hAnsi="仿宋" w:eastAsia="仿宋"/>
          <w:b w:val="0"/>
          <w:bCs/>
          <w:sz w:val="32"/>
          <w:szCs w:val="32"/>
          <w:lang w:val="en-US" w:eastAsia="zh-CN"/>
        </w:rPr>
        <w:t xml:space="preserve">   事业运行</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2010350</w:t>
      </w:r>
      <w:r>
        <w:rPr>
          <w:rStyle w:val="20"/>
          <w:rFonts w:hint="eastAsia" w:ascii="仿宋" w:hAnsi="仿宋" w:eastAsia="仿宋"/>
          <w:bCs/>
          <w:sz w:val="32"/>
          <w:szCs w:val="32"/>
        </w:rPr>
        <w:t>）</w:t>
      </w:r>
      <w:r>
        <w:rPr>
          <w:rStyle w:val="20"/>
          <w:rFonts w:hint="eastAsia" w:ascii="仿宋" w:hAnsi="仿宋" w:eastAsia="仿宋"/>
          <w:b w:val="0"/>
          <w:bCs/>
          <w:sz w:val="32"/>
          <w:szCs w:val="32"/>
          <w:lang w:val="en-US"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33.38</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numPr>
          <w:ilvl w:val="0"/>
          <w:numId w:val="0"/>
        </w:numPr>
        <w:spacing w:line="600" w:lineRule="exact"/>
        <w:ind w:leftChars="200" w:firstLine="321" w:firstLineChars="100"/>
        <w:rPr>
          <w:rStyle w:val="20"/>
          <w:rFonts w:hint="eastAsia" w:ascii="仿宋" w:hAnsi="仿宋" w:eastAsia="仿宋"/>
          <w:bCs/>
          <w:sz w:val="32"/>
          <w:szCs w:val="32"/>
        </w:rPr>
      </w:pPr>
      <w:r>
        <w:rPr>
          <w:rStyle w:val="20"/>
          <w:rFonts w:hint="eastAsia" w:ascii="仿宋" w:hAnsi="仿宋" w:eastAsia="仿宋"/>
          <w:bCs/>
          <w:sz w:val="32"/>
          <w:szCs w:val="32"/>
          <w:lang w:val="en-US" w:eastAsia="zh-CN"/>
        </w:rPr>
        <w:t>2.</w:t>
      </w:r>
      <w:r>
        <w:rPr>
          <w:rStyle w:val="20"/>
          <w:rFonts w:hint="eastAsia" w:ascii="仿宋" w:hAnsi="仿宋" w:eastAsia="仿宋"/>
          <w:bCs/>
          <w:sz w:val="32"/>
          <w:szCs w:val="32"/>
        </w:rPr>
        <w:t>社会保障和就业（</w:t>
      </w:r>
      <w:r>
        <w:rPr>
          <w:rStyle w:val="20"/>
          <w:rFonts w:hint="eastAsia" w:ascii="仿宋" w:hAnsi="仿宋" w:eastAsia="仿宋"/>
          <w:bCs/>
          <w:sz w:val="32"/>
          <w:szCs w:val="32"/>
          <w:lang w:val="en-US" w:eastAsia="zh-CN"/>
        </w:rPr>
        <w:t>208</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）行政机关事业单位养老支出</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20805</w:t>
      </w:r>
      <w:r>
        <w:rPr>
          <w:rStyle w:val="20"/>
          <w:rFonts w:hint="eastAsia" w:ascii="仿宋" w:hAnsi="仿宋" w:eastAsia="仿宋"/>
          <w:bCs/>
          <w:sz w:val="32"/>
          <w:szCs w:val="32"/>
        </w:rPr>
        <w:t>）</w:t>
      </w:r>
    </w:p>
    <w:p>
      <w:pPr>
        <w:numPr>
          <w:ilvl w:val="0"/>
          <w:numId w:val="0"/>
        </w:numPr>
        <w:spacing w:line="600" w:lineRule="exact"/>
        <w:ind w:firstLine="643" w:firstLineChars="200"/>
        <w:rPr>
          <w:rFonts w:ascii="仿宋" w:hAnsi="仿宋" w:eastAsia="仿宋"/>
          <w:b/>
          <w:sz w:val="32"/>
          <w:szCs w:val="32"/>
        </w:rPr>
      </w:pPr>
      <w:r>
        <w:rPr>
          <w:rStyle w:val="20"/>
          <w:rFonts w:hint="eastAsia" w:ascii="仿宋" w:hAnsi="仿宋" w:eastAsia="仿宋"/>
          <w:bCs/>
          <w:sz w:val="32"/>
          <w:szCs w:val="32"/>
          <w:lang w:eastAsia="zh-CN"/>
        </w:rPr>
        <w:t>机关事业单位基本养老保险缴费支出</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2080505</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13.82</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0"/>
        </w:numPr>
        <w:spacing w:line="600" w:lineRule="exact"/>
        <w:ind w:leftChars="200"/>
        <w:rPr>
          <w:rStyle w:val="20"/>
          <w:rFonts w:hint="eastAsia" w:ascii="仿宋" w:hAnsi="仿宋" w:eastAsia="仿宋"/>
          <w:bCs/>
          <w:sz w:val="32"/>
          <w:szCs w:val="32"/>
        </w:rPr>
      </w:pPr>
      <w:r>
        <w:rPr>
          <w:rFonts w:hint="eastAsia" w:ascii="仿宋" w:hAnsi="仿宋" w:eastAsia="仿宋"/>
          <w:b/>
          <w:bCs/>
          <w:sz w:val="32"/>
          <w:szCs w:val="32"/>
          <w:lang w:val="en-US" w:eastAsia="zh-CN"/>
        </w:rPr>
        <w:t>3.</w:t>
      </w:r>
      <w:r>
        <w:rPr>
          <w:rFonts w:hint="eastAsia" w:ascii="仿宋" w:hAnsi="仿宋" w:eastAsia="仿宋"/>
          <w:b/>
          <w:bCs/>
          <w:sz w:val="32"/>
          <w:szCs w:val="32"/>
        </w:rPr>
        <w:t>卫生健康</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210</w:t>
      </w:r>
      <w:r>
        <w:rPr>
          <w:rStyle w:val="20"/>
          <w:rFonts w:hint="eastAsia" w:ascii="仿宋" w:hAnsi="仿宋" w:eastAsia="仿宋"/>
          <w:bCs/>
          <w:sz w:val="32"/>
          <w:szCs w:val="32"/>
        </w:rPr>
        <w:t>）</w:t>
      </w:r>
    </w:p>
    <w:p>
      <w:pPr>
        <w:numPr>
          <w:ilvl w:val="0"/>
          <w:numId w:val="0"/>
        </w:numPr>
        <w:spacing w:line="600" w:lineRule="exact"/>
        <w:ind w:left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）行政事业单位医疗</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21011</w:t>
      </w:r>
      <w:r>
        <w:rPr>
          <w:rStyle w:val="20"/>
          <w:rFonts w:hint="eastAsia" w:ascii="仿宋" w:hAnsi="仿宋" w:eastAsia="仿宋"/>
          <w:bCs/>
          <w:sz w:val="32"/>
          <w:szCs w:val="32"/>
        </w:rPr>
        <w:t>）</w:t>
      </w:r>
    </w:p>
    <w:p>
      <w:pPr>
        <w:numPr>
          <w:ilvl w:val="0"/>
          <w:numId w:val="0"/>
        </w:numPr>
        <w:spacing w:line="600" w:lineRule="exact"/>
        <w:ind w:firstLine="643" w:firstLineChars="200"/>
        <w:rPr>
          <w:rFonts w:ascii="仿宋" w:hAnsi="仿宋" w:eastAsia="仿宋"/>
          <w:b/>
          <w:sz w:val="32"/>
          <w:szCs w:val="32"/>
        </w:rPr>
      </w:pPr>
      <w:r>
        <w:rPr>
          <w:rStyle w:val="20"/>
          <w:rFonts w:hint="eastAsia" w:ascii="仿宋" w:hAnsi="仿宋" w:eastAsia="仿宋"/>
          <w:bCs/>
          <w:sz w:val="32"/>
          <w:szCs w:val="32"/>
          <w:lang w:eastAsia="zh-CN"/>
        </w:rPr>
        <w:t>行政单位医疗</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lang w:val="en-US" w:eastAsia="zh-CN"/>
        </w:rPr>
        <w:t>2101101</w:t>
      </w:r>
      <w:r>
        <w:rPr>
          <w:rStyle w:val="20"/>
          <w:rFonts w:hint="eastAsia" w:ascii="仿宋" w:hAnsi="仿宋" w:eastAsia="仿宋"/>
          <w:b w:val="0"/>
          <w:bCs/>
          <w:sz w:val="32"/>
          <w:szCs w:val="32"/>
          <w:lang w:eastAsia="zh-CN"/>
        </w:rPr>
        <w:t>）</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5.9</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spacing w:line="600" w:lineRule="exact"/>
        <w:ind w:firstLine="643" w:firstLineChars="200"/>
        <w:rPr>
          <w:rStyle w:val="20"/>
          <w:rFonts w:hint="eastAsia" w:ascii="仿宋" w:hAnsi="仿宋" w:eastAsia="仿宋"/>
          <w:b w:val="0"/>
          <w:bCs/>
          <w:sz w:val="32"/>
          <w:szCs w:val="32"/>
          <w:lang w:eastAsia="zh-CN"/>
        </w:rPr>
      </w:pPr>
      <w:r>
        <w:rPr>
          <w:rStyle w:val="20"/>
          <w:rFonts w:hint="eastAsia" w:ascii="仿宋" w:hAnsi="仿宋" w:eastAsia="仿宋"/>
          <w:bCs/>
          <w:sz w:val="32"/>
          <w:szCs w:val="32"/>
          <w:lang w:eastAsia="zh-CN"/>
        </w:rPr>
        <w:t>事业单位医疗</w:t>
      </w:r>
      <w:r>
        <w:rPr>
          <w:rStyle w:val="20"/>
          <w:rFonts w:hint="eastAsia" w:ascii="仿宋" w:hAnsi="仿宋" w:eastAsia="仿宋"/>
          <w:bCs/>
          <w:sz w:val="32"/>
          <w:szCs w:val="32"/>
        </w:rPr>
        <w:t>（</w:t>
      </w:r>
      <w:r>
        <w:rPr>
          <w:rStyle w:val="20"/>
          <w:rFonts w:hint="eastAsia" w:ascii="仿宋" w:hAnsi="仿宋" w:eastAsia="仿宋"/>
          <w:b w:val="0"/>
          <w:bCs/>
          <w:sz w:val="32"/>
          <w:szCs w:val="32"/>
          <w:lang w:val="en-US" w:eastAsia="zh-CN"/>
        </w:rPr>
        <w:t>2101102</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1.56</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spacing w:line="600" w:lineRule="exact"/>
        <w:ind w:firstLine="643" w:firstLineChars="200"/>
        <w:rPr>
          <w:rStyle w:val="20"/>
          <w:rFonts w:hint="eastAsia" w:ascii="仿宋" w:hAnsi="仿宋" w:eastAsia="仿宋"/>
          <w:b w:val="0"/>
          <w:bCs/>
          <w:sz w:val="32"/>
          <w:szCs w:val="32"/>
          <w:lang w:eastAsia="zh-CN"/>
        </w:rPr>
      </w:pPr>
      <w:r>
        <w:rPr>
          <w:rStyle w:val="20"/>
          <w:rFonts w:hint="eastAsia" w:ascii="仿宋" w:hAnsi="仿宋" w:eastAsia="仿宋" w:cstheme="minorBidi"/>
          <w:bCs/>
          <w:sz w:val="32"/>
          <w:szCs w:val="32"/>
          <w:lang w:eastAsia="zh-CN"/>
        </w:rPr>
        <w:t>公务员医疗补助（</w:t>
      </w:r>
      <w:r>
        <w:rPr>
          <w:rStyle w:val="20"/>
          <w:rFonts w:hint="eastAsia" w:ascii="仿宋" w:hAnsi="仿宋" w:eastAsia="仿宋" w:cstheme="minorBidi"/>
          <w:bCs/>
          <w:sz w:val="32"/>
          <w:szCs w:val="32"/>
          <w:lang w:val="en-US" w:eastAsia="zh-CN"/>
        </w:rPr>
        <w:t>2101103</w:t>
      </w:r>
      <w:r>
        <w:rPr>
          <w:rStyle w:val="20"/>
          <w:rFonts w:hint="eastAsia" w:ascii="仿宋" w:hAnsi="仿宋" w:eastAsia="仿宋" w:cstheme="minorBidi"/>
          <w:bCs/>
          <w:sz w:val="32"/>
          <w:szCs w:val="32"/>
          <w:lang w:eastAsia="zh-CN"/>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0.65</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spacing w:line="600" w:lineRule="exact"/>
        <w:ind w:firstLine="643" w:firstLineChars="200"/>
        <w:rPr>
          <w:rStyle w:val="20"/>
          <w:rFonts w:hint="eastAsia" w:ascii="仿宋" w:hAnsi="仿宋" w:eastAsia="仿宋" w:cstheme="minorBidi"/>
          <w:bCs/>
          <w:sz w:val="32"/>
          <w:szCs w:val="32"/>
          <w:lang w:eastAsia="zh-CN"/>
        </w:rPr>
      </w:pPr>
      <w:r>
        <w:rPr>
          <w:rStyle w:val="20"/>
          <w:rFonts w:hint="eastAsia" w:ascii="仿宋" w:hAnsi="仿宋" w:eastAsia="仿宋" w:cstheme="minorBidi"/>
          <w:bCs/>
          <w:sz w:val="32"/>
          <w:szCs w:val="32"/>
          <w:lang w:val="en-US" w:eastAsia="zh-CN"/>
        </w:rPr>
        <w:t>4.</w:t>
      </w:r>
      <w:r>
        <w:rPr>
          <w:rStyle w:val="20"/>
          <w:rFonts w:hint="eastAsia" w:ascii="仿宋" w:hAnsi="仿宋" w:eastAsia="仿宋" w:cstheme="minorBidi"/>
          <w:bCs/>
          <w:sz w:val="32"/>
          <w:szCs w:val="32"/>
          <w:lang w:eastAsia="zh-CN"/>
        </w:rPr>
        <w:t>住房保障支出（</w:t>
      </w:r>
      <w:r>
        <w:rPr>
          <w:rStyle w:val="20"/>
          <w:rFonts w:hint="eastAsia" w:ascii="仿宋" w:hAnsi="仿宋" w:eastAsia="仿宋" w:cstheme="minorBidi"/>
          <w:bCs/>
          <w:sz w:val="32"/>
          <w:szCs w:val="32"/>
          <w:lang w:val="en-US" w:eastAsia="zh-CN"/>
        </w:rPr>
        <w:t>221</w:t>
      </w:r>
      <w:r>
        <w:rPr>
          <w:rStyle w:val="20"/>
          <w:rFonts w:hint="eastAsia" w:ascii="仿宋" w:hAnsi="仿宋" w:eastAsia="仿宋" w:cstheme="minorBidi"/>
          <w:bCs/>
          <w:sz w:val="32"/>
          <w:szCs w:val="32"/>
          <w:lang w:eastAsia="zh-CN"/>
        </w:rPr>
        <w:t>）</w:t>
      </w:r>
    </w:p>
    <w:p>
      <w:pPr>
        <w:spacing w:line="600" w:lineRule="exact"/>
        <w:ind w:firstLine="643" w:firstLineChars="200"/>
        <w:rPr>
          <w:rStyle w:val="20"/>
          <w:rFonts w:hint="eastAsia" w:ascii="仿宋" w:hAnsi="仿宋" w:eastAsia="仿宋" w:cstheme="minorBidi"/>
          <w:bCs/>
          <w:sz w:val="32"/>
          <w:szCs w:val="32"/>
          <w:lang w:eastAsia="zh-CN"/>
        </w:rPr>
      </w:pPr>
      <w:r>
        <w:rPr>
          <w:rStyle w:val="20"/>
          <w:rFonts w:hint="eastAsia" w:ascii="仿宋" w:hAnsi="仿宋" w:eastAsia="仿宋" w:cstheme="minorBidi"/>
          <w:bCs/>
          <w:sz w:val="32"/>
          <w:szCs w:val="32"/>
          <w:lang w:eastAsia="zh-CN"/>
        </w:rPr>
        <w:t>（</w:t>
      </w:r>
      <w:r>
        <w:rPr>
          <w:rStyle w:val="20"/>
          <w:rFonts w:hint="eastAsia" w:ascii="仿宋" w:hAnsi="仿宋" w:eastAsia="仿宋" w:cstheme="minorBidi"/>
          <w:bCs/>
          <w:sz w:val="32"/>
          <w:szCs w:val="32"/>
          <w:lang w:val="en-US" w:eastAsia="zh-CN"/>
        </w:rPr>
        <w:t>1</w:t>
      </w:r>
      <w:r>
        <w:rPr>
          <w:rStyle w:val="20"/>
          <w:rFonts w:hint="eastAsia" w:ascii="仿宋" w:hAnsi="仿宋" w:eastAsia="仿宋" w:cstheme="minorBidi"/>
          <w:bCs/>
          <w:sz w:val="32"/>
          <w:szCs w:val="32"/>
          <w:lang w:eastAsia="zh-CN"/>
        </w:rPr>
        <w:t>）住房改革支出（</w:t>
      </w:r>
      <w:r>
        <w:rPr>
          <w:rStyle w:val="20"/>
          <w:rFonts w:hint="eastAsia" w:ascii="仿宋" w:hAnsi="仿宋" w:eastAsia="仿宋" w:cstheme="minorBidi"/>
          <w:bCs/>
          <w:sz w:val="32"/>
          <w:szCs w:val="32"/>
          <w:lang w:val="en-US" w:eastAsia="zh-CN"/>
        </w:rPr>
        <w:t>22102</w:t>
      </w:r>
      <w:r>
        <w:rPr>
          <w:rStyle w:val="20"/>
          <w:rFonts w:hint="eastAsia" w:ascii="仿宋" w:hAnsi="仿宋" w:eastAsia="仿宋" w:cstheme="minorBidi"/>
          <w:bCs/>
          <w:sz w:val="32"/>
          <w:szCs w:val="32"/>
          <w:lang w:eastAsia="zh-CN"/>
        </w:rPr>
        <w:t>）</w:t>
      </w:r>
    </w:p>
    <w:p>
      <w:pPr>
        <w:spacing w:line="600" w:lineRule="exact"/>
        <w:ind w:firstLine="643" w:firstLineChars="200"/>
        <w:rPr>
          <w:rFonts w:ascii="仿宋" w:hAnsi="仿宋" w:eastAsia="仿宋"/>
          <w:b/>
          <w:sz w:val="32"/>
          <w:szCs w:val="32"/>
        </w:rPr>
      </w:pPr>
      <w:r>
        <w:rPr>
          <w:rStyle w:val="20"/>
          <w:rFonts w:hint="eastAsia" w:ascii="仿宋" w:hAnsi="仿宋" w:eastAsia="仿宋" w:cstheme="minorBidi"/>
          <w:bCs/>
          <w:sz w:val="32"/>
          <w:szCs w:val="32"/>
          <w:lang w:eastAsia="zh-CN"/>
        </w:rPr>
        <w:t>住房公积金（</w:t>
      </w:r>
      <w:r>
        <w:rPr>
          <w:rStyle w:val="20"/>
          <w:rFonts w:hint="eastAsia" w:ascii="仿宋" w:hAnsi="仿宋" w:eastAsia="仿宋" w:cstheme="minorBidi"/>
          <w:bCs/>
          <w:sz w:val="32"/>
          <w:szCs w:val="32"/>
          <w:lang w:val="en-US" w:eastAsia="zh-CN"/>
        </w:rPr>
        <w:t>2210201</w:t>
      </w:r>
      <w:r>
        <w:rPr>
          <w:rStyle w:val="20"/>
          <w:rFonts w:hint="eastAsia" w:ascii="仿宋" w:hAnsi="仿宋" w:eastAsia="仿宋" w:cstheme="minorBidi"/>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21.21</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tabs>
          <w:tab w:val="right" w:pos="8306"/>
        </w:tabs>
        <w:spacing w:line="600" w:lineRule="exact"/>
        <w:ind w:firstLine="640"/>
        <w:outlineLvl w:val="1"/>
        <w:rPr>
          <w:rStyle w:val="32"/>
        </w:rPr>
      </w:pPr>
      <w:bookmarkStart w:id="38" w:name="_Toc15377214"/>
      <w:bookmarkStart w:id="39"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8"/>
      <w:bookmarkEnd w:id="39"/>
      <w:r>
        <w:rPr>
          <w:rStyle w:val="32"/>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219.61</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194.48</w:t>
      </w:r>
      <w:r>
        <w:rPr>
          <w:rFonts w:hint="eastAsia" w:ascii="仿宋" w:hAnsi="仿宋" w:eastAsia="仿宋"/>
          <w:sz w:val="32"/>
          <w:szCs w:val="32"/>
        </w:rPr>
        <w:t>万元，主要包括：基本工资、津贴补贴、奖金、绩效工资、机关事业单位基本养老保险缴费、其他社会保障缴费、其他工资福利支出、奖励金、住房公积金、其他对个人和家庭的补助支出等。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25.14</w:t>
      </w:r>
      <w:r>
        <w:rPr>
          <w:rFonts w:hint="eastAsia" w:ascii="仿宋" w:hAnsi="仿宋" w:eastAsia="仿宋"/>
          <w:sz w:val="32"/>
          <w:szCs w:val="32"/>
        </w:rPr>
        <w:t>万元，主要包括：办公费、印刷费、邮电费、差旅费、维修（护）费、公务接待费、工会经费、福利费、公务用车运行维护费、其他交通费、其他商品和服务支出等。</w:t>
      </w:r>
    </w:p>
    <w:p>
      <w:pPr>
        <w:spacing w:line="600" w:lineRule="exact"/>
        <w:ind w:firstLine="640"/>
        <w:outlineLvl w:val="1"/>
        <w:rPr>
          <w:rStyle w:val="32"/>
          <w:rFonts w:ascii="黑体" w:hAnsi="黑体" w:eastAsia="黑体"/>
          <w:b w:val="0"/>
        </w:rPr>
      </w:pPr>
      <w:bookmarkStart w:id="40" w:name="_Toc15396609"/>
      <w:bookmarkStart w:id="41" w:name="_Toc15377215"/>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40"/>
      <w:bookmarkEnd w:id="41"/>
    </w:p>
    <w:p>
      <w:pPr>
        <w:spacing w:line="600" w:lineRule="exact"/>
        <w:ind w:firstLine="640"/>
        <w:outlineLvl w:val="2"/>
        <w:rPr>
          <w:rFonts w:ascii="仿宋" w:hAnsi="仿宋" w:eastAsia="仿宋"/>
          <w:b/>
          <w:sz w:val="32"/>
          <w:szCs w:val="32"/>
        </w:rPr>
      </w:pPr>
      <w:bookmarkStart w:id="42" w:name="_Toc15377216"/>
      <w:r>
        <w:rPr>
          <w:rFonts w:hint="eastAsia" w:ascii="仿宋" w:hAnsi="仿宋" w:eastAsia="仿宋"/>
          <w:b/>
          <w:sz w:val="32"/>
          <w:szCs w:val="32"/>
        </w:rPr>
        <w:t>（一）“三公”经费财政拨款支出决算总体情况说明</w:t>
      </w:r>
      <w:bookmarkEnd w:id="42"/>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2.98</w:t>
      </w:r>
      <w:r>
        <w:rPr>
          <w:rFonts w:hint="eastAsia" w:ascii="仿宋" w:hAnsi="仿宋" w:eastAsia="仿宋"/>
          <w:sz w:val="32"/>
          <w:szCs w:val="32"/>
        </w:rPr>
        <w:t>万元，完成预算</w:t>
      </w:r>
      <w:r>
        <w:rPr>
          <w:rFonts w:hint="eastAsia" w:ascii="仿宋" w:hAnsi="仿宋" w:eastAsia="仿宋"/>
          <w:sz w:val="32"/>
          <w:szCs w:val="32"/>
          <w:lang w:val="en-US" w:eastAsia="zh-CN"/>
        </w:rPr>
        <w:t>69.3</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1</w:t>
      </w:r>
      <w:r>
        <w:rPr>
          <w:rFonts w:hint="eastAsia" w:ascii="仿宋" w:hAnsi="仿宋" w:eastAsia="仿宋"/>
          <w:sz w:val="32"/>
          <w:szCs w:val="32"/>
        </w:rPr>
        <w:t>万元，下降</w:t>
      </w:r>
      <w:r>
        <w:rPr>
          <w:rFonts w:hint="eastAsia" w:ascii="仿宋" w:hAnsi="仿宋" w:eastAsia="仿宋"/>
          <w:sz w:val="32"/>
          <w:szCs w:val="32"/>
          <w:lang w:val="en-US" w:eastAsia="zh-CN"/>
        </w:rPr>
        <w:t>25.13</w:t>
      </w:r>
      <w:r>
        <w:rPr>
          <w:rFonts w:hint="eastAsia" w:ascii="仿宋" w:hAnsi="仿宋" w:eastAsia="仿宋"/>
          <w:sz w:val="32"/>
          <w:szCs w:val="32"/>
        </w:rPr>
        <w:t>%。决算数小于预算数的主要原因是</w:t>
      </w:r>
      <w:r>
        <w:rPr>
          <w:rFonts w:hint="eastAsia" w:ascii="仿宋" w:hAnsi="仿宋" w:eastAsia="仿宋"/>
          <w:sz w:val="32"/>
          <w:szCs w:val="32"/>
          <w:lang w:eastAsia="zh-CN"/>
        </w:rPr>
        <w:t>认真落实中央八项规定，严格控制三公经费开支</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43" w:name="_Toc15377217"/>
      <w:r>
        <w:rPr>
          <w:rFonts w:hint="eastAsia" w:ascii="仿宋" w:hAnsi="仿宋" w:eastAsia="仿宋"/>
          <w:b/>
          <w:sz w:val="32"/>
          <w:szCs w:val="32"/>
        </w:rPr>
        <w:t>（二）“三公”经费财政拨款支出决算具体情况说明</w:t>
      </w:r>
      <w:bookmarkEnd w:id="43"/>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83.89</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0.48</w:t>
      </w:r>
      <w:r>
        <w:rPr>
          <w:rFonts w:hint="eastAsia" w:ascii="仿宋" w:hAnsi="仿宋" w:eastAsia="仿宋"/>
          <w:sz w:val="32"/>
          <w:szCs w:val="32"/>
        </w:rPr>
        <w:t>万元，占</w:t>
      </w:r>
      <w:r>
        <w:rPr>
          <w:rFonts w:hint="eastAsia" w:ascii="仿宋" w:hAnsi="仿宋" w:eastAsia="仿宋"/>
          <w:sz w:val="32"/>
          <w:szCs w:val="32"/>
          <w:lang w:val="en-US" w:eastAsia="zh-CN"/>
        </w:rPr>
        <w:t>16.11</w:t>
      </w:r>
      <w:r>
        <w:rPr>
          <w:rFonts w:ascii="仿宋" w:hAnsi="仿宋" w:eastAsia="仿宋"/>
          <w:sz w:val="32"/>
          <w:szCs w:val="32"/>
        </w:rPr>
        <w:t>%</w:t>
      </w:r>
      <w:r>
        <w:rPr>
          <w:rFonts w:hint="eastAsia" w:ascii="仿宋" w:hAnsi="仿宋" w:eastAsia="仿宋"/>
          <w:sz w:val="32"/>
          <w:szCs w:val="32"/>
        </w:rPr>
        <w:t>。具体情况如下：</w:t>
      </w:r>
    </w:p>
    <w:p>
      <w:pPr>
        <w:pStyle w:val="10"/>
        <w:rPr>
          <w:rFonts w:hint="default" w:eastAsia="仿宋"/>
          <w:lang w:val="en-US" w:eastAsia="zh-CN"/>
        </w:rPr>
      </w:pPr>
      <w:r>
        <w:rPr>
          <w:rFonts w:hint="eastAsia" w:eastAsia="仿宋"/>
          <w:lang w:eastAsia="zh-CN"/>
        </w:rPr>
        <w:drawing>
          <wp:inline distT="0" distB="0" distL="114300" distR="114300">
            <wp:extent cx="3321050" cy="1972310"/>
            <wp:effectExtent l="5080" t="4445" r="7620" b="2349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eastAsia="仿宋"/>
          <w:lang w:val="en-US" w:eastAsia="zh-CN"/>
        </w:rPr>
        <w:t xml:space="preserve">   图7</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2.5</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w:t>
      </w:r>
      <w:r>
        <w:rPr>
          <w:rFonts w:hint="eastAsia" w:ascii="仿宋_GB2312" w:eastAsia="仿宋_GB2312"/>
          <w:sz w:val="32"/>
          <w:szCs w:val="32"/>
          <w:lang w:eastAsia="zh-CN"/>
        </w:rPr>
        <w:t>与</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eastAsia="zh-CN"/>
        </w:rPr>
        <w:t>持平</w:t>
      </w:r>
      <w:r>
        <w:rPr>
          <w:rFonts w:hint="eastAsia" w:ascii="仿宋_GB2312" w:eastAsia="仿宋_GB2312"/>
          <w:sz w:val="32"/>
          <w:szCs w:val="32"/>
        </w:rPr>
        <w:t>。</w:t>
      </w:r>
    </w:p>
    <w:p>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2.5</w:t>
      </w:r>
      <w:r>
        <w:rPr>
          <w:rFonts w:hint="eastAsia" w:ascii="仿宋_GB2312" w:eastAsia="仿宋_GB2312"/>
          <w:sz w:val="32"/>
          <w:szCs w:val="32"/>
        </w:rPr>
        <w:t>万元。主要用于</w:t>
      </w:r>
      <w:r>
        <w:rPr>
          <w:rFonts w:hint="eastAsia" w:ascii="宋体" w:hAnsi="宋体" w:eastAsia="方正仿宋简体" w:cs="方正仿宋简体"/>
          <w:color w:val="000000"/>
          <w:sz w:val="33"/>
          <w:szCs w:val="33"/>
        </w:rPr>
        <w:t>到省、市开会、处访，到乡镇督查和开展其他业务工作</w:t>
      </w:r>
      <w:r>
        <w:rPr>
          <w:rFonts w:hint="eastAsia" w:ascii="仿宋_GB2312" w:eastAsia="仿宋_GB2312"/>
          <w:sz w:val="32"/>
          <w:szCs w:val="32"/>
        </w:rPr>
        <w:t>等所需的公务用车燃料费、维修费、过路过桥费、保险费等支出。</w:t>
      </w:r>
    </w:p>
    <w:p>
      <w:pPr>
        <w:spacing w:line="600" w:lineRule="exact"/>
        <w:ind w:firstLine="640"/>
        <w:rPr>
          <w:rFonts w:ascii="仿宋" w:hAnsi="仿宋" w:eastAsia="仿宋"/>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0.48</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26.67</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21年增减少</w:t>
      </w:r>
      <w:r>
        <w:rPr>
          <w:rFonts w:hint="eastAsia" w:ascii="仿宋_GB2312" w:eastAsia="仿宋_GB2312"/>
          <w:sz w:val="32"/>
          <w:szCs w:val="32"/>
          <w:lang w:val="en-US" w:eastAsia="zh-CN"/>
        </w:rPr>
        <w:t>1</w:t>
      </w:r>
      <w:r>
        <w:rPr>
          <w:rFonts w:hint="eastAsia" w:ascii="仿宋_GB2312" w:eastAsia="仿宋_GB2312"/>
          <w:sz w:val="32"/>
          <w:szCs w:val="32"/>
        </w:rPr>
        <w:t>万元，下降</w:t>
      </w:r>
      <w:r>
        <w:rPr>
          <w:rFonts w:hint="eastAsia" w:ascii="仿宋_GB2312" w:eastAsia="仿宋_GB2312"/>
          <w:sz w:val="32"/>
          <w:szCs w:val="32"/>
          <w:lang w:val="en-US" w:eastAsia="zh-CN"/>
        </w:rPr>
        <w:t>67.57</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认真落实中央八项规定，严格控制三公经费开支</w:t>
      </w:r>
      <w:r>
        <w:rPr>
          <w:rFonts w:hint="eastAsia" w:ascii="仿宋" w:hAnsi="仿宋" w:eastAsia="仿宋"/>
          <w:sz w:val="32"/>
          <w:szCs w:val="32"/>
        </w:rPr>
        <w:t>。</w:t>
      </w:r>
    </w:p>
    <w:p>
      <w:pPr>
        <w:spacing w:line="600" w:lineRule="exact"/>
        <w:rPr>
          <w:rFonts w:ascii="仿宋_GB2312" w:eastAsia="仿宋_GB2312"/>
          <w:sz w:val="32"/>
          <w:szCs w:val="32"/>
        </w:rPr>
      </w:pP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0.48</w:t>
      </w:r>
      <w:r>
        <w:rPr>
          <w:rFonts w:hint="eastAsia" w:ascii="仿宋_GB2312" w:eastAsia="仿宋_GB2312"/>
          <w:sz w:val="32"/>
          <w:szCs w:val="32"/>
        </w:rPr>
        <w:t>万元，主要用于</w:t>
      </w:r>
      <w:r>
        <w:rPr>
          <w:rFonts w:hint="eastAsia" w:ascii="Times New Roman" w:hAnsi="Times New Roman" w:eastAsia="仿宋_GB2312" w:cs="Times New Roman"/>
          <w:color w:val="000000"/>
          <w:sz w:val="32"/>
          <w:szCs w:val="32"/>
        </w:rPr>
        <w:t>上级检查、考察调研</w:t>
      </w:r>
      <w:r>
        <w:rPr>
          <w:rFonts w:hint="eastAsia" w:ascii="Times New Roman" w:hAnsi="Times New Roman" w:eastAsia="仿宋_GB2312" w:cs="Times New Roman"/>
          <w:color w:val="000000"/>
          <w:sz w:val="32"/>
          <w:szCs w:val="32"/>
          <w:lang w:eastAsia="zh-CN"/>
        </w:rPr>
        <w:t>等执行公务的用餐费</w:t>
      </w:r>
      <w:r>
        <w:rPr>
          <w:rFonts w:hint="eastAsia" w:ascii="仿宋_GB2312" w:eastAsia="仿宋_GB2312"/>
          <w:sz w:val="32"/>
          <w:szCs w:val="32"/>
        </w:rPr>
        <w:t>。国内公务接待</w:t>
      </w:r>
      <w:r>
        <w:rPr>
          <w:rFonts w:hint="eastAsia" w:ascii="仿宋_GB2312" w:eastAsia="仿宋_GB2312"/>
          <w:sz w:val="32"/>
          <w:szCs w:val="32"/>
          <w:lang w:val="en-US" w:eastAsia="zh-CN"/>
        </w:rPr>
        <w:t>5</w:t>
      </w:r>
      <w:r>
        <w:rPr>
          <w:rFonts w:hint="eastAsia" w:ascii="仿宋_GB2312" w:eastAsia="仿宋_GB2312"/>
          <w:sz w:val="32"/>
          <w:szCs w:val="32"/>
        </w:rPr>
        <w:t>批次，</w:t>
      </w:r>
      <w:r>
        <w:rPr>
          <w:rFonts w:hint="eastAsia" w:ascii="仿宋_GB2312" w:eastAsia="仿宋_GB2312"/>
          <w:sz w:val="32"/>
          <w:szCs w:val="32"/>
          <w:lang w:val="en-US" w:eastAsia="zh-CN"/>
        </w:rPr>
        <w:t>24</w:t>
      </w:r>
      <w:r>
        <w:rPr>
          <w:rFonts w:hint="eastAsia" w:ascii="仿宋_GB2312" w:eastAsia="仿宋_GB2312"/>
          <w:sz w:val="32"/>
          <w:szCs w:val="32"/>
        </w:rPr>
        <w:t>人次，共计支出</w:t>
      </w:r>
      <w:r>
        <w:rPr>
          <w:rFonts w:hint="eastAsia" w:ascii="仿宋_GB2312" w:eastAsia="仿宋_GB2312"/>
          <w:sz w:val="32"/>
          <w:szCs w:val="32"/>
          <w:lang w:val="en-US" w:eastAsia="zh-CN"/>
        </w:rPr>
        <w:t>0.48</w:t>
      </w:r>
      <w:r>
        <w:rPr>
          <w:rFonts w:hint="eastAsia" w:ascii="仿宋_GB2312" w:eastAsia="仿宋_GB2312"/>
          <w:sz w:val="32"/>
          <w:szCs w:val="32"/>
        </w:rPr>
        <w:t>万元，具体内容包括：</w:t>
      </w:r>
      <w:r>
        <w:rPr>
          <w:rFonts w:hint="eastAsia" w:ascii="仿宋_GB2312" w:eastAsia="仿宋_GB2312"/>
          <w:sz w:val="32"/>
          <w:szCs w:val="32"/>
          <w:lang w:eastAsia="zh-CN"/>
        </w:rPr>
        <w:t>接待市督查组</w:t>
      </w:r>
      <w:r>
        <w:rPr>
          <w:rFonts w:hint="eastAsia" w:ascii="仿宋_GB2312" w:eastAsia="仿宋_GB2312"/>
          <w:sz w:val="32"/>
          <w:szCs w:val="32"/>
          <w:lang w:val="en-US" w:eastAsia="zh-CN"/>
        </w:rPr>
        <w:t>1000元、接待安岳信访局935元、二十大期间督查930元等</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32"/>
          <w:rFonts w:ascii="黑体" w:hAnsi="黑体" w:eastAsia="黑体"/>
        </w:rPr>
      </w:pPr>
      <w:bookmarkStart w:id="44" w:name="_Toc15377218"/>
      <w:bookmarkStart w:id="45" w:name="_Toc15396610"/>
      <w:r>
        <w:rPr>
          <w:rFonts w:hint="eastAsia" w:ascii="黑体" w:eastAsia="黑体"/>
          <w:sz w:val="32"/>
          <w:szCs w:val="32"/>
        </w:rPr>
        <w:t>八、</w:t>
      </w:r>
      <w:r>
        <w:rPr>
          <w:rStyle w:val="32"/>
          <w:rFonts w:hint="eastAsia" w:ascii="黑体" w:hAnsi="黑体" w:eastAsia="黑体"/>
          <w:b w:val="0"/>
        </w:rPr>
        <w:t>政府性基金预算支出决算情况说明</w:t>
      </w:r>
      <w:bookmarkEnd w:id="44"/>
      <w:bookmarkEnd w:id="4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outlineLvl w:val="1"/>
        <w:rPr>
          <w:rStyle w:val="32"/>
          <w:rFonts w:ascii="黑体" w:hAnsi="黑体" w:eastAsia="黑体"/>
          <w:b w:val="0"/>
        </w:rPr>
      </w:pPr>
      <w:bookmarkStart w:id="46" w:name="_Toc15377219"/>
      <w:bookmarkStart w:id="47" w:name="_Toc15396611"/>
      <w:r>
        <w:rPr>
          <w:rStyle w:val="32"/>
          <w:rFonts w:hint="eastAsia" w:ascii="黑体" w:hAnsi="黑体" w:eastAsia="黑体"/>
          <w:b w:val="0"/>
        </w:rPr>
        <w:t>国有资本经营预算支出决算情况说明</w:t>
      </w:r>
      <w:bookmarkEnd w:id="46"/>
      <w:bookmarkEnd w:id="47"/>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outlineLvl w:val="1"/>
        <w:rPr>
          <w:rStyle w:val="32"/>
          <w:rFonts w:ascii="黑体" w:hAnsi="黑体" w:eastAsia="黑体"/>
          <w:b w:val="0"/>
        </w:rPr>
      </w:pPr>
      <w:bookmarkStart w:id="48" w:name="_Toc15377221"/>
      <w:bookmarkStart w:id="49" w:name="_Toc15396612"/>
      <w:r>
        <w:rPr>
          <w:rStyle w:val="32"/>
          <w:rFonts w:hint="eastAsia" w:ascii="黑体" w:hAnsi="黑体" w:eastAsia="黑体"/>
          <w:b w:val="0"/>
        </w:rPr>
        <w:t>其他重要事项的情况说明</w:t>
      </w:r>
      <w:bookmarkEnd w:id="48"/>
      <w:bookmarkEnd w:id="49"/>
    </w:p>
    <w:p>
      <w:pPr>
        <w:spacing w:line="600" w:lineRule="exact"/>
        <w:ind w:firstLine="643" w:firstLineChars="200"/>
        <w:outlineLvl w:val="2"/>
        <w:rPr>
          <w:rFonts w:ascii="仿宋" w:hAnsi="仿宋" w:eastAsia="仿宋"/>
          <w:sz w:val="32"/>
          <w:szCs w:val="32"/>
        </w:rPr>
      </w:pPr>
      <w:bookmarkStart w:id="50" w:name="_Toc15377222"/>
      <w:r>
        <w:rPr>
          <w:rFonts w:hint="eastAsia" w:ascii="仿宋" w:hAnsi="仿宋" w:eastAsia="仿宋"/>
          <w:b/>
          <w:sz w:val="32"/>
          <w:szCs w:val="32"/>
        </w:rPr>
        <w:t>（一）机关运行经费支出情况</w:t>
      </w:r>
      <w:bookmarkEnd w:id="50"/>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乐至县信访局</w:t>
      </w:r>
      <w:r>
        <w:rPr>
          <w:rFonts w:hint="eastAsia" w:ascii="仿宋_GB2312" w:eastAsia="仿宋_GB2312"/>
          <w:sz w:val="32"/>
          <w:szCs w:val="32"/>
        </w:rPr>
        <w:t>机关运行经费支出</w:t>
      </w:r>
      <w:r>
        <w:rPr>
          <w:rFonts w:hint="eastAsia" w:ascii="仿宋_GB2312" w:eastAsia="仿宋_GB2312"/>
          <w:sz w:val="32"/>
          <w:szCs w:val="32"/>
          <w:lang w:val="en-US" w:eastAsia="zh-CN"/>
        </w:rPr>
        <w:t>25.14</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2.69</w:t>
      </w:r>
      <w:r>
        <w:rPr>
          <w:rFonts w:hint="eastAsia" w:ascii="仿宋_GB2312" w:eastAsia="仿宋_GB2312"/>
          <w:sz w:val="32"/>
          <w:szCs w:val="32"/>
        </w:rPr>
        <w:t>万元，增长</w:t>
      </w:r>
      <w:r>
        <w:rPr>
          <w:rFonts w:hint="eastAsia" w:ascii="仿宋_GB2312" w:eastAsia="仿宋_GB2312"/>
          <w:sz w:val="32"/>
          <w:szCs w:val="32"/>
          <w:lang w:val="en-US" w:eastAsia="zh-CN"/>
        </w:rPr>
        <w:t>11.99</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增加其他交通费用</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1" w:name="_Toc15377223"/>
      <w:r>
        <w:rPr>
          <w:rFonts w:hint="eastAsia" w:ascii="仿宋" w:hAnsi="仿宋" w:eastAsia="仿宋"/>
          <w:b/>
          <w:sz w:val="32"/>
          <w:szCs w:val="32"/>
        </w:rPr>
        <w:t>（二）政府采购支出情况</w:t>
      </w:r>
      <w:bookmarkEnd w:id="51"/>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乐至县信访局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2" w:name="_Toc15377224"/>
      <w:r>
        <w:rPr>
          <w:rFonts w:hint="eastAsia" w:ascii="仿宋" w:hAnsi="仿宋" w:eastAsia="仿宋"/>
          <w:b/>
          <w:sz w:val="32"/>
          <w:szCs w:val="32"/>
        </w:rPr>
        <w:t>（三）国有资产占有使用情况</w:t>
      </w:r>
      <w:bookmarkEnd w:id="5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乐至县信访局</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辆，其他用车主要是用于</w:t>
      </w:r>
      <w:r>
        <w:rPr>
          <w:rFonts w:hint="eastAsia" w:ascii="宋体" w:hAnsi="宋体" w:eastAsia="方正仿宋简体" w:cs="方正仿宋简体"/>
          <w:color w:val="000000"/>
          <w:sz w:val="33"/>
          <w:szCs w:val="33"/>
        </w:rPr>
        <w:t>到省、市开会、处访，到乡镇督查和开展其他业务工作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根据预算绩效管理要求，本部门在2022年度预算编制阶段，组织对重大敏感政治活动处访工作经费项目（项目名称）等</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个项目开展绩效监控。</w:t>
      </w:r>
    </w:p>
    <w:p>
      <w:pPr>
        <w:widowControl/>
        <w:ind w:firstLine="640" w:firstLineChars="200"/>
        <w:jc w:val="left"/>
        <w:rPr>
          <w:rFonts w:ascii="仿宋_GB2312" w:eastAsia="仿宋_GB2312"/>
          <w:b/>
          <w:sz w:val="32"/>
          <w:szCs w:val="32"/>
        </w:rPr>
      </w:pPr>
      <w:r>
        <w:rPr>
          <w:rFonts w:hint="eastAsia" w:ascii="仿宋_GB2312" w:hAnsi="仿宋_GB2312" w:eastAsia="仿宋_GB2312" w:cs="仿宋_GB2312"/>
          <w:sz w:val="32"/>
          <w:szCs w:val="32"/>
        </w:rPr>
        <w:t>组织对2022年度一般公共预算全面开展绩效自评，形成</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eastAsia="zh-CN"/>
        </w:rPr>
        <w:t>乐至县信访局部门项目</w:t>
      </w:r>
      <w:r>
        <w:rPr>
          <w:rFonts w:hint="eastAsia" w:ascii="仿宋_GB2312" w:hAnsi="仿宋_GB2312" w:eastAsia="仿宋_GB2312" w:cs="仿宋_GB2312"/>
          <w:sz w:val="32"/>
          <w:szCs w:val="32"/>
        </w:rPr>
        <w:t>绩效自评报告等专项预算项目绩效自评报告，其中，</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94.9</w:t>
      </w:r>
      <w:r>
        <w:rPr>
          <w:rFonts w:hint="eastAsia" w:ascii="仿宋_GB2312" w:hAnsi="仿宋_GB2312" w:eastAsia="仿宋_GB2312" w:cs="仿宋_GB2312"/>
          <w:sz w:val="32"/>
          <w:szCs w:val="32"/>
        </w:rPr>
        <w:t>分，绩效自评综述：</w:t>
      </w:r>
      <w:r>
        <w:rPr>
          <w:rFonts w:hint="eastAsia" w:ascii="方正仿宋简体" w:hAnsi="方正仿宋简体" w:eastAsia="方正仿宋简体" w:cs="方正仿宋简体"/>
          <w:kern w:val="2"/>
          <w:sz w:val="32"/>
          <w:szCs w:val="32"/>
          <w:lang w:val="en-US" w:eastAsia="zh-CN" w:bidi="ar-SA"/>
        </w:rPr>
        <w:t>在2022年度部门整体绩效自评工作中，我局认真筹划，严密组织，以严谨、务实的态度，不折不扣的落实县委、县政府和县财政局的相关要求，认真收集整理评价资料，全面真实反映年度部门整体经费使用管理情况，对照县信访局2022年部门整体支出绩效自评体系评分表，我局自评分94.9分，自评结果为“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分，绩效自评综述：</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2022年项目支出绩效自评体系评分表，我局自评分95分，自评结果为“优”</w:t>
      </w:r>
      <w:r>
        <w:rPr>
          <w:rFonts w:hint="eastAsia" w:ascii="仿宋_GB2312" w:hAnsi="仿宋_GB2312" w:eastAsia="仿宋_GB2312" w:cs="仿宋_GB2312"/>
          <w:sz w:val="32"/>
          <w:szCs w:val="32"/>
        </w:rPr>
        <w:t>。绩效自评报告详见附件。</w:t>
      </w:r>
    </w:p>
    <w:p>
      <w:pPr>
        <w:pStyle w:val="7"/>
        <w:spacing w:before="93"/>
      </w:pPr>
    </w:p>
    <w:p>
      <w:pPr>
        <w:numPr>
          <w:ilvl w:val="0"/>
          <w:numId w:val="5"/>
        </w:numPr>
        <w:spacing w:line="600" w:lineRule="exact"/>
        <w:ind w:firstLine="660" w:firstLineChars="150"/>
        <w:jc w:val="center"/>
        <w:outlineLvl w:val="0"/>
        <w:rPr>
          <w:rStyle w:val="31"/>
          <w:rFonts w:ascii="黑体" w:hAnsi="黑体" w:eastAsia="黑体"/>
          <w:b w:val="0"/>
        </w:rPr>
      </w:pPr>
      <w:bookmarkStart w:id="53" w:name="_Toc15377225"/>
      <w:bookmarkStart w:id="54" w:name="_Toc15396613"/>
      <w:r>
        <w:rPr>
          <w:rFonts w:hint="eastAsia" w:ascii="黑体" w:hAnsi="黑体" w:eastAsia="黑体"/>
          <w:sz w:val="44"/>
          <w:szCs w:val="44"/>
        </w:rPr>
        <w:t>名</w:t>
      </w:r>
      <w:r>
        <w:rPr>
          <w:rStyle w:val="31"/>
          <w:rFonts w:hint="eastAsia" w:ascii="黑体" w:hAnsi="黑体" w:eastAsia="黑体"/>
          <w:b w:val="0"/>
        </w:rPr>
        <w:t>词解释</w:t>
      </w:r>
      <w:bookmarkEnd w:id="53"/>
      <w:bookmarkEnd w:id="54"/>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9.一般公共服务（201）政府办公厅（室）及相关机构事务（20103）：行政运行（2010301）、信访事务（2010308）、事业运行（2010350）：指行政单位用于保障机构正常运行，开展财政管理活动的支出。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10.社会保障和就业（208）行政机关事业单位养老支出（20805）机关事业单位基本养老保险缴费支出（2080505）：指行政事业单位基本养老保险和职业年金等的支出。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11.卫生健康（210）行政事业单位医疗（21011）：行政单位医疗（2101101）、事业单位医疗（2101102）、公务员医疗补助（2101103）：指行政事业单位医疗类的支出。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12.住房保障支出（221）住房改革支出（22102）住房公积金（2210201）指按照国家政策规定用于住房改革方面的支出。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15</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16</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rPr>
      </w:pPr>
      <w:bookmarkStart w:id="55" w:name="_Toc15377226"/>
      <w:r>
        <w:rPr>
          <w:rFonts w:ascii="宋体"/>
          <w:b/>
          <w:sz w:val="44"/>
          <w:szCs w:val="44"/>
        </w:rPr>
        <w:br w:type="page"/>
      </w:r>
      <w:bookmarkStart w:id="56" w:name="_Toc15396614"/>
      <w:r>
        <w:rPr>
          <w:rFonts w:hint="eastAsia" w:ascii="黑体" w:hAnsi="黑体" w:eastAsia="黑体"/>
          <w:sz w:val="44"/>
          <w:szCs w:val="44"/>
        </w:rPr>
        <w:t>第</w:t>
      </w:r>
      <w:r>
        <w:rPr>
          <w:rStyle w:val="31"/>
          <w:rFonts w:hint="eastAsia" w:ascii="黑体" w:hAnsi="黑体" w:eastAsia="黑体"/>
          <w:b w:val="0"/>
        </w:rPr>
        <w:t>四部分 附件</w:t>
      </w:r>
      <w:bookmarkEnd w:id="56"/>
    </w:p>
    <w:p>
      <w:pPr>
        <w:spacing w:line="572" w:lineRule="exact"/>
        <w:jc w:val="left"/>
        <w:outlineLvl w:val="0"/>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1</w:t>
      </w:r>
    </w:p>
    <w:p>
      <w:pPr>
        <w:spacing w:line="580" w:lineRule="exact"/>
        <w:ind w:firstLine="1320" w:firstLineChars="300"/>
        <w:jc w:val="both"/>
        <w:rPr>
          <w:rFonts w:eastAsia="方正小标宋简体"/>
          <w:color w:val="auto"/>
          <w:sz w:val="44"/>
          <w:szCs w:val="44"/>
        </w:rPr>
      </w:pPr>
      <w:r>
        <w:rPr>
          <w:rFonts w:eastAsia="方正小标宋简体"/>
          <w:color w:val="auto"/>
          <w:sz w:val="44"/>
          <w:szCs w:val="44"/>
        </w:rPr>
        <w:t>202</w:t>
      </w:r>
      <w:r>
        <w:rPr>
          <w:rFonts w:hint="eastAsia" w:eastAsia="方正小标宋简体"/>
          <w:color w:val="auto"/>
          <w:sz w:val="44"/>
          <w:szCs w:val="44"/>
        </w:rPr>
        <w:t>2年度乐至县部门整体支出绩效</w:t>
      </w:r>
    </w:p>
    <w:p>
      <w:pPr>
        <w:spacing w:line="580" w:lineRule="exact"/>
        <w:jc w:val="center"/>
        <w:rPr>
          <w:rFonts w:eastAsia="方正小标宋简体"/>
          <w:color w:val="auto"/>
          <w:sz w:val="44"/>
          <w:szCs w:val="44"/>
        </w:rPr>
      </w:pPr>
      <w:r>
        <w:rPr>
          <w:rFonts w:hint="eastAsia" w:eastAsia="方正小标宋简体"/>
          <w:color w:val="auto"/>
          <w:sz w:val="44"/>
          <w:szCs w:val="44"/>
        </w:rPr>
        <w:t>自评报告</w:t>
      </w:r>
    </w:p>
    <w:p>
      <w:pPr>
        <w:spacing w:line="580" w:lineRule="exact"/>
        <w:ind w:firstLine="640" w:firstLineChars="200"/>
        <w:rPr>
          <w:rFonts w:eastAsia="方正仿宋简体"/>
          <w:color w:val="auto"/>
          <w:sz w:val="32"/>
          <w:szCs w:val="32"/>
        </w:rPr>
      </w:pPr>
    </w:p>
    <w:p>
      <w:pPr>
        <w:spacing w:line="580" w:lineRule="exact"/>
        <w:jc w:val="center"/>
        <w:rPr>
          <w:rFonts w:eastAsia="方正黑体简体"/>
          <w:color w:val="auto"/>
          <w:sz w:val="32"/>
          <w:szCs w:val="32"/>
        </w:rPr>
      </w:pPr>
      <w:r>
        <w:rPr>
          <w:rFonts w:hint="eastAsia" w:eastAsia="方正黑体简体"/>
          <w:color w:val="auto"/>
          <w:sz w:val="32"/>
          <w:szCs w:val="32"/>
        </w:rPr>
        <w:t>前</w:t>
      </w:r>
      <w:r>
        <w:rPr>
          <w:rFonts w:eastAsia="方正黑体简体"/>
          <w:color w:val="auto"/>
          <w:sz w:val="32"/>
          <w:szCs w:val="32"/>
        </w:rPr>
        <w:t xml:space="preserve">    </w:t>
      </w:r>
      <w:r>
        <w:rPr>
          <w:rFonts w:hint="eastAsia" w:eastAsia="方正黑体简体"/>
          <w:color w:val="auto"/>
          <w:sz w:val="32"/>
          <w:szCs w:val="32"/>
        </w:rPr>
        <w:t>言</w:t>
      </w:r>
    </w:p>
    <w:p>
      <w:pPr>
        <w:pStyle w:val="2"/>
        <w:rPr>
          <w:rFonts w:ascii="宋体" w:hAnsi="宋体" w:eastAsia="方正小标宋简体"/>
          <w:bCs/>
          <w:color w:val="auto"/>
          <w:kern w:val="0"/>
          <w:sz w:val="40"/>
          <w:szCs w:val="40"/>
        </w:rPr>
      </w:pP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一、单位概况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（一）机构组成</w:t>
      </w:r>
    </w:p>
    <w:p>
      <w:pPr>
        <w:ind w:firstLine="640" w:firstLineChars="200"/>
        <w:rPr>
          <w:rFonts w:eastAsia="方正楷体简体"/>
          <w:b/>
          <w:color w:val="auto"/>
        </w:rPr>
      </w:pPr>
      <w:r>
        <w:rPr>
          <w:rFonts w:hint="eastAsia" w:ascii="方正仿宋简体" w:hAnsi="方正仿宋简体" w:eastAsia="方正仿宋简体" w:cs="方正仿宋简体"/>
          <w:color w:val="auto"/>
          <w:sz w:val="32"/>
          <w:szCs w:val="32"/>
        </w:rPr>
        <w:t>乐至县信访局</w:t>
      </w:r>
      <w:r>
        <w:rPr>
          <w:rFonts w:hint="eastAsia" w:ascii="方正仿宋简体" w:hAnsi="方正仿宋简体" w:eastAsia="方正仿宋简体" w:cs="方正仿宋简体"/>
          <w:color w:val="auto"/>
          <w:sz w:val="32"/>
          <w:szCs w:val="32"/>
          <w:lang w:eastAsia="zh-CN"/>
        </w:rPr>
        <w:t>是乐至县人民政府工作部门，为正科级。有独立机构编制</w:t>
      </w:r>
      <w:r>
        <w:rPr>
          <w:rFonts w:hint="eastAsia" w:ascii="方正仿宋简体" w:hAnsi="方正仿宋简体" w:eastAsia="方正仿宋简体" w:cs="方正仿宋简体"/>
          <w:color w:val="auto"/>
          <w:sz w:val="32"/>
          <w:szCs w:val="32"/>
          <w:lang w:val="en-US" w:eastAsia="zh-CN"/>
        </w:rPr>
        <w:t>2个，其中政府机关单位1个，财政全额拨款事业单位1个，独立核算机构1个，是政府机关单位。</w:t>
      </w:r>
      <w:r>
        <w:rPr>
          <w:rFonts w:hint="eastAsia" w:ascii="方正仿宋简体" w:eastAsia="方正仿宋简体"/>
          <w:color w:val="auto"/>
          <w:sz w:val="33"/>
          <w:szCs w:val="33"/>
          <w:lang w:eastAsia="zh-CN"/>
        </w:rPr>
        <w:t>人员</w:t>
      </w:r>
      <w:r>
        <w:rPr>
          <w:rFonts w:hint="eastAsia" w:ascii="方正仿宋简体" w:eastAsia="方正仿宋简体"/>
          <w:color w:val="auto"/>
          <w:sz w:val="33"/>
          <w:szCs w:val="33"/>
        </w:rPr>
        <w:t>编制14名，其中：行政编制11名，事业编制3名。</w:t>
      </w:r>
    </w:p>
    <w:p>
      <w:pPr>
        <w:keepNext w:val="0"/>
        <w:keepLines w:val="0"/>
        <w:pageBreakBefore w:val="0"/>
        <w:numPr>
          <w:ilvl w:val="0"/>
          <w:numId w:val="6"/>
        </w:numPr>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机构职能</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color w:val="auto"/>
        </w:rPr>
      </w:pPr>
      <w:r>
        <w:rPr>
          <w:rFonts w:hint="eastAsia" w:ascii="方正仿宋简体" w:hAnsi="方正仿宋简体" w:eastAsia="方正仿宋简体" w:cs="方正仿宋简体"/>
          <w:color w:val="auto"/>
          <w:sz w:val="32"/>
          <w:szCs w:val="32"/>
        </w:rPr>
        <w:t>乐至县信访局</w:t>
      </w:r>
      <w:r>
        <w:rPr>
          <w:rFonts w:hint="eastAsia" w:ascii="方正仿宋简体" w:hAnsi="方正仿宋简体" w:eastAsia="方正仿宋简体" w:cs="方正仿宋简体"/>
          <w:color w:val="auto"/>
          <w:sz w:val="32"/>
          <w:szCs w:val="32"/>
          <w:lang w:eastAsia="zh-CN"/>
        </w:rPr>
        <w:t>贯彻落实党中央关于信访工作的方针政策和省委、市委、县委的决策部署，在履行职责过程中坚持和加强党对信访工作的集中统一领导</w:t>
      </w:r>
      <w:r>
        <w:rPr>
          <w:rFonts w:hint="eastAsia" w:ascii="方正仿宋简体" w:hAnsi="方正仿宋简体" w:eastAsia="方正仿宋简体" w:cs="方正仿宋简体"/>
          <w:color w:val="auto"/>
          <w:sz w:val="32"/>
          <w:szCs w:val="32"/>
        </w:rPr>
        <w:t>。其主要职责：</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（1）</w:t>
      </w:r>
      <w:r>
        <w:rPr>
          <w:rFonts w:hint="eastAsia" w:ascii="方正仿宋简体" w:hAnsi="方正仿宋简体" w:eastAsia="方正仿宋简体" w:cs="方正仿宋简体"/>
          <w:color w:val="auto"/>
          <w:sz w:val="32"/>
          <w:szCs w:val="32"/>
          <w:lang w:eastAsia="zh-CN"/>
        </w:rPr>
        <w:t>起草有关信访工作的政策、制度，制定信访问题排查化解、风险评估等制度并组织实施，提出改进和加强信访工作的意见和建议。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（2）</w:t>
      </w:r>
      <w:r>
        <w:rPr>
          <w:rFonts w:hint="eastAsia" w:ascii="方正仿宋简体" w:hAnsi="方正仿宋简体" w:eastAsia="方正仿宋简体" w:cs="方正仿宋简体"/>
          <w:color w:val="auto"/>
          <w:sz w:val="32"/>
          <w:szCs w:val="32"/>
          <w:lang w:eastAsia="zh-CN"/>
        </w:rPr>
        <w:t>负责向县委、县政府反映来信来电来访中提出的重要建议、意见和问题，综合研判信访信息，开展社情民意调查研究，提出制定修改完善有关政策和工作的建议。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（3）</w:t>
      </w:r>
      <w:r>
        <w:rPr>
          <w:rFonts w:hint="eastAsia" w:ascii="方正仿宋简体" w:hAnsi="方正仿宋简体" w:eastAsia="方正仿宋简体" w:cs="方正仿宋简体"/>
          <w:color w:val="auto"/>
          <w:sz w:val="32"/>
          <w:szCs w:val="32"/>
          <w:lang w:eastAsia="zh-CN"/>
        </w:rPr>
        <w:t>综合协调指导全县信访工作，督促检查各乡镇和县级各部门（单位）信访工作，总结推广各地、各部门信访工作经验，协调信访工作宣传和信息发布。</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（4）</w:t>
      </w:r>
      <w:r>
        <w:rPr>
          <w:rFonts w:hint="eastAsia" w:ascii="方正仿宋简体" w:hAnsi="方正仿宋简体" w:eastAsia="方正仿宋简体" w:cs="方正仿宋简体"/>
          <w:color w:val="auto"/>
          <w:sz w:val="32"/>
          <w:szCs w:val="32"/>
          <w:lang w:eastAsia="zh-CN"/>
        </w:rPr>
        <w:t>负责处理县内外群众、境外人士、法人及其他组织通过信访渠道给县委、县政府及领导同志的来信来电，接待来访</w:t>
      </w:r>
      <w:r>
        <w:rPr>
          <w:rFonts w:hint="eastAsia" w:ascii="方正仿宋简体" w:hAnsi="方正仿宋简体" w:eastAsia="方正仿宋简体" w:cs="方正仿宋简体"/>
          <w:color w:val="auto"/>
          <w:sz w:val="32"/>
          <w:szCs w:val="32"/>
        </w:rPr>
        <w:t>承</w:t>
      </w:r>
      <w:r>
        <w:rPr>
          <w:rFonts w:hint="eastAsia" w:ascii="方正仿宋简体" w:hAnsi="方正仿宋简体" w:eastAsia="方正仿宋简体" w:cs="方正仿宋简体"/>
          <w:color w:val="auto"/>
          <w:sz w:val="32"/>
          <w:szCs w:val="32"/>
          <w:lang w:eastAsia="zh-CN"/>
        </w:rPr>
        <w:t>。</w:t>
      </w:r>
    </w:p>
    <w:p>
      <w:pPr>
        <w:pStyle w:val="2"/>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（5）承担协调处理群众进京和到省委、省政府，市委、市政</w:t>
      </w:r>
    </w:p>
    <w:p>
      <w:pPr>
        <w:pStyle w:val="2"/>
        <w:ind w:left="0" w:leftChars="0" w:firstLine="0" w:firstLineChars="0"/>
        <w:rPr>
          <w:rFonts w:hint="default"/>
          <w:color w:val="auto"/>
          <w:lang w:val="en-US"/>
        </w:rPr>
      </w:pPr>
      <w:r>
        <w:rPr>
          <w:rFonts w:hint="eastAsia" w:ascii="方正仿宋简体" w:hAnsi="方正仿宋简体" w:eastAsia="方正仿宋简体" w:cs="方正仿宋简体"/>
          <w:color w:val="auto"/>
          <w:sz w:val="32"/>
          <w:szCs w:val="32"/>
          <w:lang w:val="en-US" w:eastAsia="zh-CN"/>
        </w:rPr>
        <w:t>府以及县委、县政府的集体上访和非正常上访的责任，综合协调处理跨地区、跨部门的重要信访问题。</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（6）</w:t>
      </w:r>
      <w:r>
        <w:rPr>
          <w:rFonts w:hint="eastAsia" w:ascii="方正仿宋简体" w:hAnsi="方正仿宋简体" w:eastAsia="方正仿宋简体" w:cs="方正仿宋简体"/>
          <w:color w:val="auto"/>
          <w:sz w:val="32"/>
          <w:szCs w:val="32"/>
          <w:lang w:eastAsia="zh-CN"/>
        </w:rPr>
        <w:t>负责落实中央、省、市、县领导批示交办信访事项，县各乡镇、县级各部门（单位）转办、交办信访事项，督促检查重要信访事项的处理和落实。</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（7）</w:t>
      </w:r>
      <w:r>
        <w:rPr>
          <w:rFonts w:hint="eastAsia" w:ascii="方正仿宋简体" w:hAnsi="方正仿宋简体" w:eastAsia="方正仿宋简体" w:cs="方正仿宋简体"/>
          <w:color w:val="auto"/>
          <w:sz w:val="32"/>
          <w:szCs w:val="32"/>
          <w:lang w:eastAsia="zh-CN"/>
        </w:rPr>
        <w:t>建立和完善信访信息汇集分析机制，指导信访信息系统建设和应用。</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（8）</w:t>
      </w:r>
      <w:r>
        <w:rPr>
          <w:rFonts w:hint="eastAsia" w:ascii="方正仿宋简体" w:hAnsi="方正仿宋简体" w:eastAsia="方正仿宋简体" w:cs="方正仿宋简体"/>
          <w:color w:val="auto"/>
          <w:sz w:val="32"/>
          <w:szCs w:val="32"/>
          <w:lang w:eastAsia="zh-CN"/>
        </w:rPr>
        <w:t>承担县信访工作联席会议、县政府信访事项复查复核委员会日常</w:t>
      </w:r>
      <w:r>
        <w:rPr>
          <w:rFonts w:hint="eastAsia" w:ascii="方正仿宋简体" w:hAnsi="方正仿宋简体" w:eastAsia="方正仿宋简体" w:cs="方正仿宋简体"/>
          <w:color w:val="auto"/>
          <w:sz w:val="32"/>
          <w:szCs w:val="32"/>
          <w:lang w:val="en-US" w:eastAsia="zh-CN"/>
        </w:rPr>
        <w:t>工作，督促落实有关事项。</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（9）</w:t>
      </w:r>
      <w:r>
        <w:rPr>
          <w:rFonts w:hint="eastAsia" w:ascii="方正仿宋简体" w:hAnsi="方正仿宋简体" w:eastAsia="方正仿宋简体" w:cs="方正仿宋简体"/>
          <w:color w:val="auto"/>
          <w:sz w:val="32"/>
          <w:szCs w:val="32"/>
          <w:lang w:eastAsia="zh-CN"/>
        </w:rPr>
        <w:t>负责职责范围内的安全生产和职业健康、生态黄精保护、审批服务便民化等工作</w:t>
      </w:r>
      <w:r>
        <w:rPr>
          <w:rFonts w:hint="eastAsia" w:ascii="方正仿宋简体" w:hAnsi="方正仿宋简体" w:eastAsia="方正仿宋简体" w:cs="方正仿宋简体"/>
          <w:color w:val="auto"/>
          <w:sz w:val="32"/>
          <w:szCs w:val="32"/>
        </w:rPr>
        <w:t>。</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（10）</w:t>
      </w:r>
      <w:r>
        <w:rPr>
          <w:rFonts w:hint="eastAsia" w:ascii="方正仿宋简体" w:hAnsi="方正仿宋简体" w:eastAsia="方正仿宋简体" w:cs="方正仿宋简体"/>
          <w:color w:val="auto"/>
          <w:sz w:val="32"/>
          <w:szCs w:val="32"/>
          <w:lang w:eastAsia="zh-CN"/>
        </w:rPr>
        <w:t>承办县委、县政府交办的其他任务。</w:t>
      </w:r>
    </w:p>
    <w:p>
      <w:pPr>
        <w:keepNext w:val="0"/>
        <w:keepLines w:val="0"/>
        <w:pageBreakBefore w:val="0"/>
        <w:numPr>
          <w:ilvl w:val="0"/>
          <w:numId w:val="6"/>
        </w:numPr>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人员概况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截止202</w:t>
      </w:r>
      <w:r>
        <w:rPr>
          <w:rFonts w:hint="eastAsia" w:ascii="方正仿宋简体" w:hAnsi="方正仿宋简体" w:eastAsia="方正仿宋简体" w:cs="方正仿宋简体"/>
          <w:color w:val="auto"/>
          <w:sz w:val="32"/>
          <w:szCs w:val="32"/>
          <w:lang w:val="en-US" w:eastAsia="zh-CN"/>
        </w:rPr>
        <w:t>2</w:t>
      </w:r>
      <w:r>
        <w:rPr>
          <w:rFonts w:hint="eastAsia" w:ascii="方正仿宋简体" w:hAnsi="方正仿宋简体" w:eastAsia="方正仿宋简体" w:cs="方正仿宋简体"/>
          <w:color w:val="auto"/>
          <w:sz w:val="32"/>
          <w:szCs w:val="32"/>
        </w:rPr>
        <w:t>年底，实有人数1</w:t>
      </w:r>
      <w:r>
        <w:rPr>
          <w:rFonts w:hint="eastAsia" w:ascii="方正仿宋简体" w:hAnsi="方正仿宋简体" w:eastAsia="方正仿宋简体" w:cs="方正仿宋简体"/>
          <w:color w:val="auto"/>
          <w:sz w:val="32"/>
          <w:szCs w:val="32"/>
          <w:lang w:val="en-US" w:eastAsia="zh-CN"/>
        </w:rPr>
        <w:t>3</w:t>
      </w:r>
      <w:r>
        <w:rPr>
          <w:rFonts w:hint="eastAsia" w:ascii="方正仿宋简体" w:hAnsi="方正仿宋简体" w:eastAsia="方正仿宋简体" w:cs="方正仿宋简体"/>
          <w:color w:val="auto"/>
          <w:sz w:val="32"/>
          <w:szCs w:val="32"/>
        </w:rPr>
        <w:t>人，其中：行政编制10人，行政空编1名，事业编制3人。</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二、部门财政资金收支情况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仿宋简体" w:hAnsi="方正仿宋简体" w:eastAsia="方正仿宋简体" w:cs="方正仿宋简体"/>
          <w:color w:val="auto"/>
          <w:sz w:val="32"/>
          <w:szCs w:val="32"/>
        </w:rPr>
      </w:pPr>
      <w:r>
        <w:rPr>
          <w:rFonts w:hint="eastAsia" w:ascii="方正楷体简体" w:hAnsi="方正楷体简体" w:eastAsia="方正楷体简体" w:cs="方正楷体简体"/>
          <w:b/>
          <w:color w:val="auto"/>
          <w:sz w:val="32"/>
          <w:szCs w:val="32"/>
        </w:rPr>
        <w:t>（一）部门财政资金收入情况</w:t>
      </w:r>
    </w:p>
    <w:p>
      <w:pPr>
        <w:spacing w:line="520" w:lineRule="exact"/>
        <w:ind w:firstLine="640" w:firstLineChars="200"/>
        <w:jc w:val="left"/>
        <w:rPr>
          <w:rFonts w:hint="default"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2022年财政拨款收入348.31万元，占收入的100%，与2021年</w:t>
      </w:r>
      <w:r>
        <w:rPr>
          <w:rFonts w:hint="eastAsia" w:ascii="方正仿宋简体" w:hAnsi="方正仿宋简体" w:eastAsia="方正仿宋简体" w:cs="方正仿宋简体"/>
          <w:color w:val="auto"/>
          <w:sz w:val="32"/>
          <w:szCs w:val="32"/>
          <w:lang w:val="en-US" w:eastAsia="zh-CN"/>
        </w:rPr>
        <w:t>270.22</w:t>
      </w:r>
      <w:r>
        <w:rPr>
          <w:rFonts w:hint="eastAsia" w:ascii="方正仿宋简体" w:hAnsi="方正仿宋简体" w:eastAsia="方正仿宋简体" w:cs="方正仿宋简体"/>
          <w:color w:val="auto"/>
          <w:sz w:val="32"/>
          <w:szCs w:val="32"/>
        </w:rPr>
        <w:t>万元相比上升</w:t>
      </w:r>
      <w:r>
        <w:rPr>
          <w:rFonts w:hint="eastAsia" w:ascii="方正仿宋简体" w:hAnsi="方正仿宋简体" w:eastAsia="方正仿宋简体" w:cs="方正仿宋简体"/>
          <w:color w:val="auto"/>
          <w:sz w:val="32"/>
          <w:szCs w:val="32"/>
          <w:lang w:val="en-US" w:eastAsia="zh-CN"/>
        </w:rPr>
        <w:t>28.9</w:t>
      </w:r>
      <w:r>
        <w:rPr>
          <w:rFonts w:hint="eastAsia" w:ascii="方正仿宋简体" w:hAnsi="方正仿宋简体" w:eastAsia="方正仿宋简体" w:cs="方正仿宋简体"/>
          <w:color w:val="auto"/>
          <w:sz w:val="32"/>
          <w:szCs w:val="32"/>
        </w:rPr>
        <w:t>%，主要原因是2022年晋级晋档增加人员经费；大事要事多，增加项目经费。</w:t>
      </w:r>
    </w:p>
    <w:p>
      <w:pPr>
        <w:keepNext w:val="0"/>
        <w:keepLines w:val="0"/>
        <w:pageBreakBefore w:val="0"/>
        <w:numPr>
          <w:ilvl w:val="0"/>
          <w:numId w:val="7"/>
        </w:numPr>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部门财政资金支出情况</w:t>
      </w:r>
    </w:p>
    <w:p>
      <w:pPr>
        <w:spacing w:line="540" w:lineRule="exact"/>
        <w:ind w:firstLine="800" w:firstLineChars="250"/>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2022年支出合计</w:t>
      </w:r>
      <w:r>
        <w:rPr>
          <w:rFonts w:hint="eastAsia" w:ascii="方正仿宋简体" w:hAnsi="方正仿宋简体" w:eastAsia="方正仿宋简体" w:cs="方正仿宋简体"/>
          <w:color w:val="auto"/>
          <w:sz w:val="32"/>
          <w:szCs w:val="32"/>
          <w:lang w:val="en-US" w:eastAsia="zh-CN"/>
        </w:rPr>
        <w:t>348.31</w:t>
      </w:r>
      <w:r>
        <w:rPr>
          <w:rFonts w:hint="eastAsia" w:ascii="方正仿宋简体" w:hAnsi="方正仿宋简体" w:eastAsia="方正仿宋简体" w:cs="方正仿宋简体"/>
          <w:color w:val="auto"/>
          <w:sz w:val="32"/>
          <w:szCs w:val="32"/>
        </w:rPr>
        <w:t>万元，与2021年支出合计27</w:t>
      </w:r>
      <w:r>
        <w:rPr>
          <w:rFonts w:hint="eastAsia" w:ascii="方正仿宋简体" w:hAnsi="方正仿宋简体" w:eastAsia="方正仿宋简体" w:cs="方正仿宋简体"/>
          <w:color w:val="auto"/>
          <w:sz w:val="32"/>
          <w:szCs w:val="32"/>
          <w:lang w:val="en-US" w:eastAsia="zh-CN"/>
        </w:rPr>
        <w:t>0.22</w:t>
      </w:r>
      <w:r>
        <w:rPr>
          <w:rFonts w:hint="eastAsia" w:ascii="方正仿宋简体" w:hAnsi="方正仿宋简体" w:eastAsia="方正仿宋简体" w:cs="方正仿宋简体"/>
          <w:color w:val="auto"/>
          <w:sz w:val="32"/>
          <w:szCs w:val="32"/>
        </w:rPr>
        <w:t>万元相比增加了2</w:t>
      </w:r>
      <w:r>
        <w:rPr>
          <w:rFonts w:hint="eastAsia" w:ascii="方正仿宋简体" w:hAnsi="方正仿宋简体" w:eastAsia="方正仿宋简体" w:cs="方正仿宋简体"/>
          <w:color w:val="auto"/>
          <w:sz w:val="32"/>
          <w:szCs w:val="32"/>
          <w:lang w:val="en-US" w:eastAsia="zh-CN"/>
        </w:rPr>
        <w:t>8.9</w:t>
      </w:r>
      <w:r>
        <w:rPr>
          <w:rFonts w:hint="eastAsia" w:ascii="方正仿宋简体" w:hAnsi="方正仿宋简体" w:eastAsia="方正仿宋简体" w:cs="方正仿宋简体"/>
          <w:color w:val="auto"/>
          <w:sz w:val="32"/>
          <w:szCs w:val="32"/>
        </w:rPr>
        <w:t>%，其中：工资和福利费用147.9万元，占42.</w:t>
      </w:r>
      <w:r>
        <w:rPr>
          <w:rFonts w:hint="eastAsia" w:ascii="方正仿宋简体" w:hAnsi="方正仿宋简体" w:eastAsia="方正仿宋简体" w:cs="方正仿宋简体"/>
          <w:color w:val="auto"/>
          <w:sz w:val="32"/>
          <w:szCs w:val="32"/>
          <w:lang w:val="en-US" w:eastAsia="zh-CN"/>
        </w:rPr>
        <w:t>4</w:t>
      </w:r>
      <w:r>
        <w:rPr>
          <w:rFonts w:hint="eastAsia" w:ascii="方正仿宋简体" w:hAnsi="方正仿宋简体" w:eastAsia="方正仿宋简体" w:cs="方正仿宋简体"/>
          <w:color w:val="auto"/>
          <w:sz w:val="32"/>
          <w:szCs w:val="32"/>
        </w:rPr>
        <w:t>6%，与2021年116.51万元相比，环比增长26.94%，主要原因是2022年晋级晋档增加人员经费；商品和服务费用153.84万元，占4</w:t>
      </w:r>
      <w:r>
        <w:rPr>
          <w:rFonts w:hint="eastAsia" w:ascii="方正仿宋简体" w:hAnsi="方正仿宋简体" w:eastAsia="方正仿宋简体" w:cs="方正仿宋简体"/>
          <w:color w:val="auto"/>
          <w:sz w:val="32"/>
          <w:szCs w:val="32"/>
          <w:lang w:val="en-US" w:eastAsia="zh-CN"/>
        </w:rPr>
        <w:t>4.17</w:t>
      </w:r>
      <w:r>
        <w:rPr>
          <w:rFonts w:hint="eastAsia" w:ascii="方正仿宋简体" w:hAnsi="方正仿宋简体" w:eastAsia="方正仿宋简体" w:cs="方正仿宋简体"/>
          <w:color w:val="auto"/>
          <w:sz w:val="32"/>
          <w:szCs w:val="32"/>
        </w:rPr>
        <w:t>%，与2021年125.47万元相比，环比增长22.61%，主要原因是北京冬残奥会、党的二十大等敏感节点增加项目经费；对家庭和个人的补助费用46.57万元，占13.3</w:t>
      </w:r>
      <w:r>
        <w:rPr>
          <w:rFonts w:hint="eastAsia" w:ascii="方正仿宋简体" w:hAnsi="方正仿宋简体" w:eastAsia="方正仿宋简体" w:cs="方正仿宋简体"/>
          <w:color w:val="auto"/>
          <w:sz w:val="32"/>
          <w:szCs w:val="32"/>
          <w:lang w:val="en-US" w:eastAsia="zh-CN"/>
        </w:rPr>
        <w:t>7</w:t>
      </w:r>
      <w:r>
        <w:rPr>
          <w:rFonts w:hint="eastAsia" w:ascii="方正仿宋简体" w:hAnsi="方正仿宋简体" w:eastAsia="方正仿宋简体" w:cs="方正仿宋简体"/>
          <w:color w:val="auto"/>
          <w:sz w:val="32"/>
          <w:szCs w:val="32"/>
        </w:rPr>
        <w:t>%，与2021年28.25万元相比，环比增长64.85%，主要原因</w:t>
      </w:r>
      <w:r>
        <w:rPr>
          <w:rFonts w:hint="eastAsia" w:ascii="方正仿宋简体" w:hAnsi="方正仿宋简体" w:eastAsia="方正仿宋简体" w:cs="方正仿宋简体"/>
          <w:color w:val="auto"/>
          <w:sz w:val="32"/>
          <w:szCs w:val="32"/>
          <w:lang w:eastAsia="zh-CN"/>
        </w:rPr>
        <w:t>职级晋升以及晋级晋档增加基础绩效奖。</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三、评价工作开展情况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kern w:val="2"/>
          <w:sz w:val="32"/>
          <w:szCs w:val="32"/>
          <w:lang w:val="en-US" w:eastAsia="zh-CN" w:bidi="ar-SA"/>
        </w:rPr>
        <w:t>我局高度重视绩效评价工作，成立了以局长为组长，分管副局为副组长，办公室、网信股、督查督办股、接待中心工作人员为成员的绩效评价领导小组，明确绩效工作评价责任，进一步强化各股室对财政预算支出的管理意识。收集、整理资料，客观分析，实事求是，形成报告。报送部门整体、项目支出绩效自评报告。总结提高，配合县财政局开展绩效评价工作并按要求公开绩效自评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（二）自评方式、方法、重点等</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48"/>
        <w:jc w:val="left"/>
        <w:textAlignment w:val="auto"/>
        <w:rPr>
          <w:rFonts w:hint="eastAsia" w:ascii="方正仿宋简体" w:hAnsi="方正仿宋简体" w:eastAsia="方正仿宋简体" w:cs="方正仿宋简体"/>
          <w:i w:val="0"/>
          <w:iCs w:val="0"/>
          <w:caps w:val="0"/>
          <w:color w:val="auto"/>
          <w:spacing w:val="0"/>
          <w:sz w:val="32"/>
          <w:szCs w:val="32"/>
        </w:rPr>
      </w:pP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val="en-US" w:eastAsia="zh-CN"/>
        </w:rPr>
        <w:t>1.成立</w:t>
      </w: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eastAsia="zh-CN"/>
        </w:rPr>
        <w:t>评价领导小组。</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为加强局整体支出绩效评价工作，我局成立了评价工作领导小组，负责本次绩效评价的具体工作。工作组构成如下：组长：局长；副组长：分管副局长</w:t>
      </w:r>
      <w:r>
        <w:rPr>
          <w:rFonts w:hint="eastAsia" w:ascii="方正仿宋简体" w:hAnsi="方正仿宋简体" w:eastAsia="方正仿宋简体" w:cs="方正仿宋简体"/>
          <w:i w:val="0"/>
          <w:iCs w:val="0"/>
          <w:caps w:val="0"/>
          <w:color w:val="auto"/>
          <w:spacing w:val="0"/>
          <w:sz w:val="32"/>
          <w:szCs w:val="32"/>
          <w:shd w:val="clear" w:color="auto" w:fill="FFFFFF"/>
          <w:lang w:val="en-US"/>
        </w:rPr>
        <w:t>;</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成员：办公室主任、督查督办股股长、网信股股长、来访接待股股长，来访接待股组织和协调项目支出绩效自评和整体支出绩效自评工作。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48"/>
        <w:jc w:val="left"/>
        <w:textAlignment w:val="auto"/>
        <w:rPr>
          <w:rFonts w:hint="eastAsia" w:ascii="方正仿宋简体" w:hAnsi="方正仿宋简体" w:eastAsia="方正仿宋简体" w:cs="方正仿宋简体"/>
          <w:i w:val="0"/>
          <w:iCs w:val="0"/>
          <w:caps w:val="0"/>
          <w:color w:val="auto"/>
          <w:spacing w:val="0"/>
          <w:sz w:val="32"/>
          <w:szCs w:val="32"/>
        </w:rPr>
      </w:pP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val="en-US" w:eastAsia="zh-CN"/>
        </w:rPr>
        <w:t>2.</w:t>
      </w: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eastAsia="zh-CN"/>
        </w:rPr>
        <w:t>自评方式、方法。</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我局采取的评价方法是通过开展部门支出管理综合评价，促进部门从整体上提升预算绩效管理工作水平，提高财政资金使用效益，保障单位更好地履行职责。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48"/>
        <w:jc w:val="left"/>
        <w:textAlignment w:val="auto"/>
        <w:rPr>
          <w:rFonts w:hint="eastAsia" w:ascii="方正仿宋简体" w:hAnsi="方正仿宋简体" w:eastAsia="方正仿宋简体" w:cs="方正仿宋简体"/>
          <w:i w:val="0"/>
          <w:iCs w:val="0"/>
          <w:caps w:val="0"/>
          <w:color w:val="auto"/>
          <w:spacing w:val="0"/>
          <w:sz w:val="32"/>
          <w:szCs w:val="32"/>
        </w:rPr>
      </w:pP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val="en-US" w:eastAsia="zh-CN"/>
        </w:rPr>
        <w:t>3.</w:t>
      </w: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eastAsia="zh-CN"/>
        </w:rPr>
        <w:t>自评注重材料报送时间及质量。</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我局通过资料收集、绩效评价、工作总结及撰写报告等几个阶段，认真、准确填写自评数据表，形成详实的自评报告，按时完成自评工作。我单位对所报送自评材料真实性、完整性、一致性、规范性负责。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textAlignment w:val="auto"/>
        <w:rPr>
          <w:rFonts w:hint="eastAsia" w:ascii="方正仿宋简体" w:hAnsi="方正仿宋简体" w:eastAsia="方正仿宋简体" w:cs="方正仿宋简体"/>
          <w:color w:val="auto"/>
          <w:sz w:val="32"/>
          <w:szCs w:val="32"/>
        </w:rPr>
      </w:pP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val="en-US" w:eastAsia="zh-CN"/>
        </w:rPr>
        <w:t>4.</w:t>
      </w:r>
      <w:r>
        <w:rPr>
          <w:rStyle w:val="20"/>
          <w:rFonts w:hint="eastAsia" w:ascii="方正楷体简体" w:hAnsi="方正楷体简体" w:eastAsia="方正楷体简体" w:cs="方正楷体简体"/>
          <w:b w:val="0"/>
          <w:bCs/>
          <w:i w:val="0"/>
          <w:iCs w:val="0"/>
          <w:caps w:val="0"/>
          <w:color w:val="auto"/>
          <w:spacing w:val="0"/>
          <w:sz w:val="32"/>
          <w:szCs w:val="32"/>
          <w:shd w:val="clear" w:color="auto" w:fill="FFFFFF"/>
          <w:lang w:eastAsia="zh-CN"/>
        </w:rPr>
        <w:t>自评材料报送及公开一致情况。</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我单位所报送的自评报告、数据表、评分表与公开的决算数据一致。</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四、评价结论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textAlignment w:val="auto"/>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我局今年开展了部门整体支出绩效自评。根据年初设定的绩效目标，部门整体支出绩效自评得分为</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94.9</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体支出目标实现程度及绩效如下：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textAlignment w:val="auto"/>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lang w:val="en-US"/>
        </w:rPr>
        <w:t>20</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22</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年，在县委、县政府的正确领导下，在上级信访部门的指导下，我局主动作为，攻坚克难，在防范社会风险、化解矛盾纠纷、维护社会稳定上持续发力，切实维护群众合法权益和社会大局和谐稳定。</w:t>
      </w:r>
    </w:p>
    <w:p>
      <w:pPr>
        <w:keepNext w:val="0"/>
        <w:keepLines w:val="0"/>
        <w:pageBreakBefore w:val="0"/>
        <w:numPr>
          <w:ilvl w:val="0"/>
          <w:numId w:val="8"/>
        </w:numPr>
        <w:kinsoku/>
        <w:wordWrap/>
        <w:overflowPunct/>
        <w:topLinePunct w:val="0"/>
        <w:autoSpaceDE/>
        <w:autoSpaceDN/>
        <w:bidi w:val="0"/>
        <w:spacing w:line="440" w:lineRule="exact"/>
        <w:ind w:left="0" w:leftChars="0" w:firstLine="640" w:firstLineChars="200"/>
        <w:textAlignment w:val="auto"/>
        <w:rPr>
          <w:rFonts w:hint="eastAsia"/>
          <w:color w:val="auto"/>
        </w:rPr>
      </w:pPr>
      <w:r>
        <w:rPr>
          <w:rFonts w:hint="eastAsia" w:ascii="方正黑体简体" w:hAnsi="方正黑体简体" w:eastAsia="方正黑体简体" w:cs="方正黑体简体"/>
          <w:color w:val="auto"/>
          <w:sz w:val="32"/>
          <w:szCs w:val="32"/>
        </w:rPr>
        <w:t>绩效分析</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（一）指标分析</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jc w:val="left"/>
        <w:textAlignment w:val="auto"/>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pPr>
      <w:r>
        <w:rPr>
          <w:rFonts w:hint="eastAsia" w:ascii="方正楷体简体" w:hAnsi="方正楷体简体" w:eastAsia="方正楷体简体" w:cs="方正楷体简体"/>
          <w:i w:val="0"/>
          <w:iCs w:val="0"/>
          <w:caps w:val="0"/>
          <w:color w:val="auto"/>
          <w:spacing w:val="0"/>
          <w:sz w:val="32"/>
          <w:szCs w:val="32"/>
          <w:shd w:val="clear" w:color="auto" w:fill="FFFFFF"/>
          <w:lang w:eastAsia="zh-CN"/>
        </w:rPr>
        <w:t>1</w:t>
      </w: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w:t>
      </w:r>
      <w:r>
        <w:rPr>
          <w:rFonts w:hint="eastAsia" w:ascii="方正楷体简体" w:hAnsi="方正楷体简体" w:eastAsia="方正楷体简体" w:cs="方正楷体简体"/>
          <w:i w:val="0"/>
          <w:iCs w:val="0"/>
          <w:caps w:val="0"/>
          <w:color w:val="auto"/>
          <w:spacing w:val="0"/>
          <w:sz w:val="32"/>
          <w:szCs w:val="32"/>
          <w:shd w:val="clear" w:color="auto" w:fill="FFFFFF"/>
          <w:lang w:eastAsia="zh-CN"/>
        </w:rPr>
        <w:t>投入得</w:t>
      </w: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20分。</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主要为：</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目标设定较好得5分。我局设立的整体绩效目绩效目标合理，绩效指标明确，整体绩效目标依据充分，符合客观实际，整体绩效目标所设定的绩效指标清晰、细化、可衡量。预算配置控制较好得</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1</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5分。主要为：在职人员控制率（在职</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13</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人/编制1</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4</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人*100%=</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92.9</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%）为</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92.9</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%，小于</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1得5分；</w:t>
      </w:r>
      <w:r>
        <w:rPr>
          <w:rFonts w:hint="eastAsia" w:ascii="方正仿宋简体" w:hAnsi="方正仿宋简体" w:eastAsia="方正仿宋简体" w:cs="方正仿宋简体"/>
          <w:i w:val="0"/>
          <w:iCs w:val="0"/>
          <w:caps w:val="0"/>
          <w:color w:val="auto"/>
          <w:spacing w:val="0"/>
          <w:sz w:val="32"/>
          <w:szCs w:val="32"/>
          <w:shd w:val="clear" w:color="auto" w:fill="FFFFFF"/>
          <w:lang w:eastAsia="zh-CN"/>
        </w:rPr>
        <w:t>“三公经费”变动率</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:（本年2.98-上年3.98）/上年3.98*100%=-25.13%，下降得5分；重点支出安排率=（重点项目支出信访事务128.7万元/项目总支出信访事务128.7万元）×100%=100%，得五分。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jc w:val="left"/>
        <w:textAlignment w:val="auto"/>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pP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2.</w:t>
      </w:r>
      <w:r>
        <w:rPr>
          <w:rFonts w:hint="eastAsia" w:ascii="方正楷体简体" w:hAnsi="方正楷体简体" w:eastAsia="方正楷体简体" w:cs="方正楷体简体"/>
          <w:i w:val="0"/>
          <w:iCs w:val="0"/>
          <w:caps w:val="0"/>
          <w:color w:val="auto"/>
          <w:spacing w:val="0"/>
          <w:sz w:val="32"/>
          <w:szCs w:val="32"/>
          <w:shd w:val="clear" w:color="auto" w:fill="FFFFFF"/>
          <w:lang w:eastAsia="zh-CN"/>
        </w:rPr>
        <w:t>过程得</w:t>
      </w: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24.9分。</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主要为：预算完成率=（预算完成数348.31万元/预算数348.31万元）×100%=100%得4分；预算调整得0分；完成年终支付进度得2分；结转结余率0%低于5个百分点得2分。“三公经费”控制率=（“三公经费”实际支出数2.98万/“三公经费”预算安排数4.3万）×100%=69.3%，得0分；严格遵守政府采购规定得4分；完善健全了财务管理制度得2分；预算资金符合相关的预算财务管理制度的规定得1分；按照政府信息公开有关规定公开相关预决算信息得1分；完善了基础信息得1分；严格按照资产管理办法管理固定资产得5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jc w:val="left"/>
        <w:textAlignment w:val="auto"/>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pP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3.产出得30分。</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主要为：完成及时得4分；质量达标得8分；重点工作及时办结得10分。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440" w:lineRule="exact"/>
        <w:ind w:left="0" w:leftChars="0" w:right="0" w:firstLine="634"/>
        <w:jc w:val="left"/>
        <w:textAlignment w:val="auto"/>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pPr>
      <w:r>
        <w:rPr>
          <w:rFonts w:hint="eastAsia" w:ascii="方正楷体简体" w:hAnsi="方正楷体简体" w:eastAsia="方正楷体简体" w:cs="方正楷体简体"/>
          <w:i w:val="0"/>
          <w:iCs w:val="0"/>
          <w:caps w:val="0"/>
          <w:color w:val="auto"/>
          <w:spacing w:val="0"/>
          <w:sz w:val="32"/>
          <w:szCs w:val="32"/>
          <w:shd w:val="clear" w:color="auto" w:fill="FFFFFF"/>
          <w:lang w:val="en-US" w:eastAsia="zh-CN"/>
        </w:rPr>
        <w:t>4.效果得20分。</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主要为：提高了信访办理质量，提高了社会稳定性；降低了上访量，让信访数据多跑路、上访群众少跑腿得20分。</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color w:val="auto"/>
          <w:sz w:val="32"/>
          <w:szCs w:val="32"/>
        </w:rPr>
      </w:pPr>
      <w:r>
        <w:rPr>
          <w:rFonts w:hint="eastAsia" w:ascii="方正楷体简体" w:hAnsi="方正楷体简体" w:eastAsia="方正楷体简体" w:cs="方正楷体简体"/>
          <w:b/>
          <w:color w:val="auto"/>
          <w:sz w:val="32"/>
          <w:szCs w:val="32"/>
        </w:rPr>
        <w:t>（二）综合绩效分析</w:t>
      </w:r>
    </w:p>
    <w:p>
      <w:pPr>
        <w:keepNext w:val="0"/>
        <w:keepLines w:val="0"/>
        <w:pageBreakBefore w:val="0"/>
        <w:kinsoku/>
        <w:wordWrap/>
        <w:overflowPunct/>
        <w:topLinePunct w:val="0"/>
        <w:autoSpaceDE/>
        <w:autoSpaceDN/>
        <w:bidi w:val="0"/>
        <w:spacing w:line="440" w:lineRule="exact"/>
        <w:ind w:left="0" w:leftChars="0" w:firstLine="640" w:firstLineChars="200"/>
        <w:jc w:val="left"/>
        <w:textAlignment w:val="auto"/>
        <w:rPr>
          <w:rFonts w:hint="eastAsia" w:ascii="方正仿宋简体" w:hAnsi="方正仿宋简体" w:eastAsia="方正仿宋简体" w:cs="方正仿宋简体"/>
          <w:color w:val="auto"/>
          <w:sz w:val="32"/>
          <w:szCs w:val="32"/>
        </w:rPr>
      </w:pPr>
      <w:r>
        <w:rPr>
          <w:rFonts w:hint="eastAsia" w:ascii="方正楷体简体" w:hAnsi="方正楷体简体" w:eastAsia="方正楷体简体" w:cs="方正楷体简体"/>
          <w:b w:val="0"/>
          <w:bCs/>
          <w:color w:val="auto"/>
          <w:sz w:val="32"/>
          <w:szCs w:val="32"/>
        </w:rPr>
        <w:t>1</w:t>
      </w:r>
      <w:r>
        <w:rPr>
          <w:rFonts w:hint="eastAsia" w:ascii="方正楷体简体" w:hAnsi="方正楷体简体" w:eastAsia="方正楷体简体" w:cs="方正楷体简体"/>
          <w:b w:val="0"/>
          <w:bCs/>
          <w:color w:val="auto"/>
          <w:sz w:val="32"/>
          <w:szCs w:val="32"/>
          <w:lang w:val="en-US" w:eastAsia="zh-CN"/>
        </w:rPr>
        <w:t>.</w:t>
      </w:r>
      <w:r>
        <w:rPr>
          <w:rFonts w:hint="eastAsia" w:ascii="方正楷体简体" w:hAnsi="方正楷体简体" w:eastAsia="方正楷体简体" w:cs="方正楷体简体"/>
          <w:b w:val="0"/>
          <w:bCs/>
          <w:color w:val="auto"/>
          <w:sz w:val="32"/>
          <w:szCs w:val="32"/>
        </w:rPr>
        <w:t>部门职能履行情况。</w:t>
      </w:r>
      <w:r>
        <w:rPr>
          <w:rFonts w:hint="eastAsia" w:ascii="方正仿宋简体" w:hAnsi="方正仿宋简体" w:eastAsia="方正仿宋简体" w:cs="方正仿宋简体"/>
          <w:i w:val="0"/>
          <w:iCs w:val="0"/>
          <w:caps w:val="0"/>
          <w:color w:val="auto"/>
          <w:spacing w:val="0"/>
          <w:kern w:val="0"/>
          <w:sz w:val="32"/>
          <w:szCs w:val="32"/>
          <w:shd w:val="clear" w:color="auto" w:fill="FFFFFF"/>
          <w:lang w:val="en-US" w:eastAsia="zh-CN" w:bidi="ar"/>
        </w:rPr>
        <w:t>我局严格遵守各项财经纪律，加强单位财务管理工作，严格按照预算管理有关规定，目前部门预算的编制实行综合预算制度，即全部收入和支出都反映在预算中，确保财务收支平衡，保障了日常工作运转的需要，加强了信访案件协调化解力度，维护了信访秩序和群众合法权益，达到群众基本满意。</w:t>
      </w:r>
    </w:p>
    <w:p>
      <w:pPr>
        <w:keepNext w:val="0"/>
        <w:keepLines w:val="0"/>
        <w:pageBreakBefore w:val="0"/>
        <w:kinsoku/>
        <w:wordWrap/>
        <w:overflowPunct/>
        <w:topLinePunct w:val="0"/>
        <w:autoSpaceDE/>
        <w:autoSpaceDN/>
        <w:bidi w:val="0"/>
        <w:spacing w:line="440" w:lineRule="exact"/>
        <w:ind w:left="0" w:leftChars="0" w:firstLine="640" w:firstLineChars="200"/>
        <w:jc w:val="left"/>
        <w:textAlignment w:val="auto"/>
        <w:rPr>
          <w:rFonts w:hint="eastAsia" w:ascii="方正仿宋简体" w:hAnsi="方正仿宋简体" w:eastAsia="方正仿宋简体" w:cs="方正仿宋简体"/>
          <w:i w:val="0"/>
          <w:iCs w:val="0"/>
          <w:caps w:val="0"/>
          <w:color w:val="auto"/>
          <w:spacing w:val="0"/>
          <w:sz w:val="32"/>
          <w:szCs w:val="32"/>
        </w:rPr>
      </w:pPr>
      <w:r>
        <w:rPr>
          <w:rFonts w:hint="eastAsia" w:ascii="方正楷体简体" w:hAnsi="方正楷体简体" w:eastAsia="方正楷体简体" w:cs="方正楷体简体"/>
          <w:b w:val="0"/>
          <w:bCs/>
          <w:color w:val="auto"/>
          <w:sz w:val="32"/>
          <w:szCs w:val="32"/>
        </w:rPr>
        <w:t>2</w:t>
      </w:r>
      <w:r>
        <w:rPr>
          <w:rFonts w:hint="eastAsia" w:ascii="方正楷体简体" w:hAnsi="方正楷体简体" w:eastAsia="方正楷体简体" w:cs="方正楷体简体"/>
          <w:b w:val="0"/>
          <w:bCs/>
          <w:color w:val="auto"/>
          <w:sz w:val="32"/>
          <w:szCs w:val="32"/>
          <w:lang w:val="en-US" w:eastAsia="zh-CN"/>
        </w:rPr>
        <w:t>.</w:t>
      </w:r>
      <w:r>
        <w:rPr>
          <w:rFonts w:hint="eastAsia" w:ascii="方正楷体简体" w:hAnsi="方正楷体简体" w:eastAsia="方正楷体简体" w:cs="方正楷体简体"/>
          <w:b w:val="0"/>
          <w:bCs/>
          <w:color w:val="auto"/>
          <w:sz w:val="32"/>
          <w:szCs w:val="32"/>
        </w:rPr>
        <w:t>部门履职有效性。</w:t>
      </w:r>
      <w:r>
        <w:rPr>
          <w:rFonts w:hint="eastAsia" w:ascii="方正仿宋简体" w:hAnsi="方正仿宋简体" w:eastAsia="方正仿宋简体" w:cs="方正仿宋简体"/>
          <w:i w:val="0"/>
          <w:iCs w:val="0"/>
          <w:caps w:val="0"/>
          <w:color w:val="auto"/>
          <w:spacing w:val="0"/>
          <w:sz w:val="32"/>
          <w:szCs w:val="32"/>
          <w:lang w:eastAsia="zh-CN"/>
        </w:rPr>
        <w:t>一是</w:t>
      </w:r>
      <w:r>
        <w:rPr>
          <w:rFonts w:hint="eastAsia" w:ascii="方正仿宋简体" w:hAnsi="方正仿宋简体" w:eastAsia="方正仿宋简体" w:cs="方正仿宋简体"/>
          <w:i w:val="0"/>
          <w:iCs w:val="0"/>
          <w:caps w:val="0"/>
          <w:color w:val="auto"/>
          <w:spacing w:val="0"/>
          <w:sz w:val="32"/>
          <w:szCs w:val="32"/>
        </w:rPr>
        <w:t>根据相关制度，结合实际，制定了收支管理、政府采购、资产管理、合同管理等制度</w:t>
      </w:r>
      <w:r>
        <w:rPr>
          <w:rFonts w:hint="eastAsia" w:ascii="方正仿宋简体" w:hAnsi="方正仿宋简体" w:eastAsia="方正仿宋简体" w:cs="方正仿宋简体"/>
          <w:i w:val="0"/>
          <w:iCs w:val="0"/>
          <w:caps w:val="0"/>
          <w:color w:val="auto"/>
          <w:spacing w:val="0"/>
          <w:sz w:val="32"/>
          <w:szCs w:val="32"/>
          <w:lang w:eastAsia="zh-CN"/>
        </w:rPr>
        <w:t>；二是</w:t>
      </w:r>
      <w:r>
        <w:rPr>
          <w:rFonts w:hint="eastAsia" w:ascii="方正仿宋简体" w:hAnsi="方正仿宋简体" w:eastAsia="方正仿宋简体" w:cs="方正仿宋简体"/>
          <w:i w:val="0"/>
          <w:iCs w:val="0"/>
          <w:caps w:val="0"/>
          <w:color w:val="auto"/>
          <w:spacing w:val="0"/>
          <w:sz w:val="32"/>
          <w:szCs w:val="32"/>
        </w:rPr>
        <w:t>为建立健全预算管理体制，强化预算的分配和监督职能，维护预算的严肃性，保证资金的合理使用和正常运行，促进</w:t>
      </w:r>
      <w:r>
        <w:rPr>
          <w:rFonts w:hint="eastAsia" w:ascii="方正仿宋简体" w:hAnsi="方正仿宋简体" w:eastAsia="方正仿宋简体" w:cs="方正仿宋简体"/>
          <w:i w:val="0"/>
          <w:iCs w:val="0"/>
          <w:caps w:val="0"/>
          <w:color w:val="auto"/>
          <w:spacing w:val="0"/>
          <w:sz w:val="32"/>
          <w:szCs w:val="32"/>
          <w:lang w:eastAsia="zh-CN"/>
        </w:rPr>
        <w:t>中心工作</w:t>
      </w:r>
      <w:r>
        <w:rPr>
          <w:rFonts w:hint="eastAsia" w:ascii="方正仿宋简体" w:hAnsi="方正仿宋简体" w:eastAsia="方正仿宋简体" w:cs="方正仿宋简体"/>
          <w:i w:val="0"/>
          <w:iCs w:val="0"/>
          <w:caps w:val="0"/>
          <w:color w:val="auto"/>
          <w:spacing w:val="0"/>
          <w:sz w:val="32"/>
          <w:szCs w:val="32"/>
        </w:rPr>
        <w:t>的稳定发展，制定了预算管理制度</w:t>
      </w:r>
      <w:r>
        <w:rPr>
          <w:rFonts w:hint="eastAsia" w:ascii="方正仿宋简体" w:hAnsi="方正仿宋简体" w:eastAsia="方正仿宋简体" w:cs="方正仿宋简体"/>
          <w:i w:val="0"/>
          <w:iCs w:val="0"/>
          <w:caps w:val="0"/>
          <w:color w:val="auto"/>
          <w:spacing w:val="0"/>
          <w:sz w:val="32"/>
          <w:szCs w:val="32"/>
          <w:lang w:eastAsia="zh-CN"/>
        </w:rPr>
        <w:t>，</w:t>
      </w:r>
      <w:r>
        <w:rPr>
          <w:rFonts w:hint="eastAsia" w:ascii="方正仿宋简体" w:hAnsi="方正仿宋简体" w:eastAsia="方正仿宋简体" w:cs="方正仿宋简体"/>
          <w:i w:val="0"/>
          <w:iCs w:val="0"/>
          <w:caps w:val="0"/>
          <w:color w:val="auto"/>
          <w:spacing w:val="0"/>
          <w:sz w:val="32"/>
          <w:szCs w:val="32"/>
        </w:rPr>
        <w:t>通过明确划分权责，建立问责机制，保障了有序的管理，防范了财务风险</w:t>
      </w:r>
      <w:r>
        <w:rPr>
          <w:rFonts w:hint="eastAsia" w:ascii="方正仿宋简体" w:hAnsi="方正仿宋简体" w:eastAsia="方正仿宋简体" w:cs="方正仿宋简体"/>
          <w:i w:val="0"/>
          <w:iCs w:val="0"/>
          <w:caps w:val="0"/>
          <w:color w:val="auto"/>
          <w:spacing w:val="0"/>
          <w:sz w:val="32"/>
          <w:szCs w:val="32"/>
          <w:lang w:eastAsia="zh-CN"/>
        </w:rPr>
        <w:t>；三是</w:t>
      </w:r>
      <w:r>
        <w:rPr>
          <w:rFonts w:hint="eastAsia" w:ascii="方正仿宋简体" w:hAnsi="方正仿宋简体" w:eastAsia="方正仿宋简体" w:cs="方正仿宋简体"/>
          <w:i w:val="0"/>
          <w:iCs w:val="0"/>
          <w:caps w:val="0"/>
          <w:color w:val="auto"/>
          <w:spacing w:val="0"/>
          <w:sz w:val="32"/>
          <w:szCs w:val="32"/>
        </w:rPr>
        <w:t>认真贯彻落实中央、省、市</w:t>
      </w:r>
      <w:r>
        <w:rPr>
          <w:rFonts w:hint="eastAsia" w:ascii="方正仿宋简体" w:hAnsi="方正仿宋简体" w:eastAsia="方正仿宋简体" w:cs="方正仿宋简体"/>
          <w:i w:val="0"/>
          <w:iCs w:val="0"/>
          <w:caps w:val="0"/>
          <w:color w:val="auto"/>
          <w:spacing w:val="0"/>
          <w:sz w:val="32"/>
          <w:szCs w:val="32"/>
          <w:lang w:eastAsia="zh-CN"/>
        </w:rPr>
        <w:t>、县</w:t>
      </w:r>
      <w:r>
        <w:rPr>
          <w:rFonts w:hint="eastAsia" w:ascii="方正仿宋简体" w:hAnsi="方正仿宋简体" w:eastAsia="方正仿宋简体" w:cs="方正仿宋简体"/>
          <w:i w:val="0"/>
          <w:iCs w:val="0"/>
          <w:caps w:val="0"/>
          <w:color w:val="auto"/>
          <w:spacing w:val="0"/>
          <w:sz w:val="32"/>
          <w:szCs w:val="32"/>
        </w:rPr>
        <w:t>关于信访工作的决策部署，全面加强政治建设，深入推进信访工作制度改革，不断巩固工作机制，努力夯实基层基础，积极推进阳光信访、责任信访、法治信访建设，为</w:t>
      </w:r>
      <w:r>
        <w:rPr>
          <w:rFonts w:hint="eastAsia" w:ascii="方正仿宋简体" w:hAnsi="方正仿宋简体" w:eastAsia="方正仿宋简体" w:cs="方正仿宋简体"/>
          <w:i w:val="0"/>
          <w:iCs w:val="0"/>
          <w:caps w:val="0"/>
          <w:color w:val="auto"/>
          <w:spacing w:val="0"/>
          <w:sz w:val="32"/>
          <w:szCs w:val="32"/>
          <w:lang w:eastAsia="zh-CN"/>
        </w:rPr>
        <w:t>乐至县经济发展</w:t>
      </w:r>
      <w:r>
        <w:rPr>
          <w:rFonts w:hint="eastAsia" w:ascii="方正仿宋简体" w:hAnsi="方正仿宋简体" w:eastAsia="方正仿宋简体" w:cs="方正仿宋简体"/>
          <w:i w:val="0"/>
          <w:iCs w:val="0"/>
          <w:caps w:val="0"/>
          <w:color w:val="auto"/>
          <w:spacing w:val="0"/>
          <w:sz w:val="32"/>
          <w:szCs w:val="32"/>
        </w:rPr>
        <w:t>营造了和谐稳定的社会环境。</w:t>
      </w:r>
    </w:p>
    <w:p>
      <w:pPr>
        <w:keepNext w:val="0"/>
        <w:keepLines w:val="0"/>
        <w:pageBreakBefore w:val="0"/>
        <w:kinsoku/>
        <w:wordWrap/>
        <w:overflowPunct/>
        <w:topLinePunct w:val="0"/>
        <w:autoSpaceDE/>
        <w:autoSpaceDN/>
        <w:bidi w:val="0"/>
        <w:spacing w:line="440" w:lineRule="exact"/>
        <w:ind w:left="0" w:leftChars="0" w:firstLine="640" w:firstLineChars="200"/>
        <w:jc w:val="left"/>
        <w:textAlignment w:val="auto"/>
        <w:rPr>
          <w:rFonts w:hint="eastAsia" w:ascii="方正仿宋简体" w:hAnsi="方正仿宋简体" w:eastAsia="方正仿宋简体" w:cs="方正仿宋简体"/>
          <w:i w:val="0"/>
          <w:iCs w:val="0"/>
          <w:caps w:val="0"/>
          <w:color w:val="auto"/>
          <w:spacing w:val="0"/>
          <w:sz w:val="32"/>
          <w:szCs w:val="32"/>
        </w:rPr>
      </w:pPr>
      <w:r>
        <w:rPr>
          <w:rFonts w:hint="eastAsia" w:ascii="方正楷体简体" w:hAnsi="方正楷体简体" w:eastAsia="方正楷体简体" w:cs="方正楷体简体"/>
          <w:b w:val="0"/>
          <w:bCs/>
          <w:color w:val="auto"/>
          <w:sz w:val="32"/>
          <w:szCs w:val="32"/>
        </w:rPr>
        <w:t>3</w:t>
      </w:r>
      <w:r>
        <w:rPr>
          <w:rFonts w:hint="eastAsia" w:ascii="方正楷体简体" w:hAnsi="方正楷体简体" w:eastAsia="方正楷体简体" w:cs="方正楷体简体"/>
          <w:b w:val="0"/>
          <w:bCs/>
          <w:color w:val="auto"/>
          <w:sz w:val="32"/>
          <w:szCs w:val="32"/>
          <w:lang w:val="en-US" w:eastAsia="zh-CN"/>
        </w:rPr>
        <w:t>.</w:t>
      </w:r>
      <w:r>
        <w:rPr>
          <w:rFonts w:hint="eastAsia" w:ascii="方正楷体简体" w:hAnsi="方正楷体简体" w:eastAsia="方正楷体简体" w:cs="方正楷体简体"/>
          <w:b w:val="0"/>
          <w:bCs/>
          <w:color w:val="auto"/>
          <w:sz w:val="32"/>
          <w:szCs w:val="32"/>
        </w:rPr>
        <w:t>部门职能实现程度。</w:t>
      </w:r>
      <w:r>
        <w:rPr>
          <w:rFonts w:hint="eastAsia" w:ascii="方正仿宋简体" w:hAnsi="方正仿宋简体" w:eastAsia="方正仿宋简体" w:cs="方正仿宋简体"/>
          <w:i w:val="0"/>
          <w:iCs w:val="0"/>
          <w:caps w:val="0"/>
          <w:color w:val="auto"/>
          <w:spacing w:val="0"/>
          <w:sz w:val="32"/>
          <w:szCs w:val="32"/>
        </w:rPr>
        <w:t>信访工作紧紧围绕“营造安全稳定社会环境”这一核心任务，强力推进信访积案化解，有效实现“去存量、控增量、严防极端恶性事件”工作目标。深入推进“最多访一次”改革，认真办理初信初访，严格落实首接首办责任，对群众信访事项马上办、简易办，依法及时就地解决群众诉求，最大限度减少重复访，提高信访工作效率和公信力。持之以恒转变作风，强化底线思维，加强信访干部培训，切实保障群众的合法权益，不断提升群众的获得感和幸福感。</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六、问题分析</w:t>
      </w:r>
    </w:p>
    <w:p>
      <w:pPr>
        <w:keepNext w:val="0"/>
        <w:keepLines w:val="0"/>
        <w:pageBreakBefore w:val="0"/>
        <w:kinsoku/>
        <w:wordWrap/>
        <w:overflowPunct/>
        <w:topLinePunct w:val="0"/>
        <w:autoSpaceDE/>
        <w:autoSpaceDN/>
        <w:bidi w:val="0"/>
        <w:spacing w:line="440" w:lineRule="exact"/>
        <w:ind w:left="0" w:leftChars="0" w:firstLine="640" w:firstLineChars="200"/>
        <w:jc w:val="left"/>
        <w:textAlignment w:val="auto"/>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rPr>
        <w:t>由于机构设置少，单位职能和业务相对单一，执行项目预算绩效管理时，相应的绩效指标设计不到位，难以科学把控。导致预算绩效管理不能达到预期效果，影响预算绩效管理的实施效率。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七、建议</w:t>
      </w:r>
    </w:p>
    <w:p>
      <w:pPr>
        <w:pStyle w:val="7"/>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仿宋简体" w:hAnsi="方正仿宋简体" w:eastAsia="方正仿宋简体" w:cs="方正仿宋简体"/>
          <w:color w:val="auto"/>
          <w:sz w:val="32"/>
          <w:szCs w:val="32"/>
        </w:rPr>
      </w:pPr>
      <w:r>
        <w:rPr>
          <w:rFonts w:hint="eastAsia" w:ascii="方正楷体简体" w:hAnsi="方正楷体简体" w:eastAsia="方正楷体简体" w:cs="方正楷体简体"/>
          <w:b/>
          <w:bCs/>
          <w:i w:val="0"/>
          <w:iCs w:val="0"/>
          <w:caps w:val="0"/>
          <w:color w:val="auto"/>
          <w:spacing w:val="0"/>
          <w:sz w:val="32"/>
          <w:szCs w:val="32"/>
        </w:rPr>
        <w:t>一是</w:t>
      </w:r>
      <w:r>
        <w:rPr>
          <w:rFonts w:hint="eastAsia" w:ascii="方正仿宋简体" w:hAnsi="方正仿宋简体" w:eastAsia="方正仿宋简体" w:cs="方正仿宋简体"/>
          <w:i w:val="0"/>
          <w:iCs w:val="0"/>
          <w:caps w:val="0"/>
          <w:color w:val="auto"/>
          <w:spacing w:val="0"/>
          <w:sz w:val="32"/>
          <w:szCs w:val="32"/>
        </w:rPr>
        <w:t>进一步提升预算管理的科学性，增强大局意识，提高预算编制合理性。</w:t>
      </w:r>
      <w:r>
        <w:rPr>
          <w:rFonts w:hint="eastAsia" w:ascii="方正楷体简体" w:hAnsi="方正楷体简体" w:eastAsia="方正楷体简体" w:cs="方正楷体简体"/>
          <w:b/>
          <w:bCs/>
          <w:i w:val="0"/>
          <w:iCs w:val="0"/>
          <w:caps w:val="0"/>
          <w:color w:val="auto"/>
          <w:spacing w:val="0"/>
          <w:sz w:val="32"/>
          <w:szCs w:val="32"/>
        </w:rPr>
        <w:t>二是</w:t>
      </w:r>
      <w:r>
        <w:rPr>
          <w:rFonts w:hint="eastAsia" w:ascii="方正仿宋简体" w:hAnsi="方正仿宋简体" w:eastAsia="方正仿宋简体" w:cs="方正仿宋简体"/>
          <w:i w:val="0"/>
          <w:iCs w:val="0"/>
          <w:caps w:val="0"/>
          <w:color w:val="auto"/>
          <w:spacing w:val="0"/>
          <w:sz w:val="32"/>
          <w:szCs w:val="32"/>
        </w:rPr>
        <w:t>明确各收支流程步骤上的关键控制措施，防范支出业务活动的相关风险，确保支出管理规范有序。</w:t>
      </w:r>
      <w:r>
        <w:rPr>
          <w:rFonts w:hint="eastAsia" w:ascii="方正楷体简体" w:hAnsi="方正楷体简体" w:eastAsia="方正楷体简体" w:cs="方正楷体简体"/>
          <w:b/>
          <w:bCs/>
          <w:i w:val="0"/>
          <w:iCs w:val="0"/>
          <w:caps w:val="0"/>
          <w:color w:val="auto"/>
          <w:spacing w:val="0"/>
          <w:sz w:val="32"/>
          <w:szCs w:val="32"/>
        </w:rPr>
        <w:t>三是</w:t>
      </w:r>
      <w:r>
        <w:rPr>
          <w:rFonts w:hint="eastAsia" w:ascii="方正仿宋简体" w:hAnsi="方正仿宋简体" w:eastAsia="方正仿宋简体" w:cs="方正仿宋简体"/>
          <w:i w:val="0"/>
          <w:iCs w:val="0"/>
          <w:caps w:val="0"/>
          <w:color w:val="auto"/>
          <w:spacing w:val="0"/>
          <w:sz w:val="32"/>
          <w:szCs w:val="32"/>
        </w:rPr>
        <w:t>做好固定资产管理、使用、清查，防止资产流失，确保各项资产安全，防止被挪用、转移、侵占、毁损及被低价出售。正确反映资产的价值，确保核算真实、准确、完整。建议对单位项目负责人及预算管理人员加强业务培训，提高预算绩效管理政策理解和综合协调能力。</w:t>
      </w:r>
    </w:p>
    <w:p>
      <w:pPr>
        <w:rPr>
          <w:color w:val="auto"/>
        </w:rPr>
      </w:pPr>
    </w:p>
    <w:p>
      <w:pPr>
        <w:pStyle w:val="2"/>
        <w:rPr>
          <w:color w:val="auto"/>
        </w:rPr>
      </w:pPr>
      <w:bookmarkStart w:id="71" w:name="_GoBack"/>
      <w:bookmarkEnd w:id="71"/>
    </w:p>
    <w:p>
      <w:pPr>
        <w:spacing w:line="620" w:lineRule="exact"/>
        <w:jc w:val="center"/>
        <w:rPr>
          <w:rFonts w:hint="eastAsia" w:ascii="方正仿宋简体" w:hAnsi="方正仿宋简体" w:eastAsia="方正仿宋简体" w:cs="方正仿宋简体"/>
          <w:i w:val="0"/>
          <w:iCs w:val="0"/>
          <w:caps w:val="0"/>
          <w:color w:val="auto"/>
          <w:spacing w:val="0"/>
          <w:kern w:val="2"/>
          <w:sz w:val="32"/>
          <w:szCs w:val="32"/>
          <w:lang w:val="en-US" w:eastAsia="zh-CN" w:bidi="ar-SA"/>
        </w:rPr>
      </w:pPr>
      <w:r>
        <w:rPr>
          <w:rFonts w:hint="eastAsia" w:ascii="方正仿宋简体" w:hAnsi="方正仿宋简体" w:eastAsia="方正仿宋简体" w:cs="方正仿宋简体"/>
          <w:i w:val="0"/>
          <w:iCs w:val="0"/>
          <w:caps w:val="0"/>
          <w:color w:val="auto"/>
          <w:spacing w:val="0"/>
          <w:kern w:val="2"/>
          <w:sz w:val="32"/>
          <w:szCs w:val="32"/>
          <w:lang w:val="en-US" w:eastAsia="zh-CN" w:bidi="ar-SA"/>
        </w:rPr>
        <w:t>附件1：2022年度乐至县部门整体支出绩效自评计分表</w:t>
      </w:r>
    </w:p>
    <w:p>
      <w:pPr>
        <w:spacing w:line="620" w:lineRule="exact"/>
        <w:jc w:val="center"/>
        <w:rPr>
          <w:rFonts w:hint="eastAsia" w:ascii="方正仿宋简体" w:hAnsi="方正仿宋简体" w:eastAsia="方正仿宋简体" w:cs="方正仿宋简体"/>
          <w:i w:val="0"/>
          <w:iCs w:val="0"/>
          <w:caps w:val="0"/>
          <w:color w:val="auto"/>
          <w:spacing w:val="0"/>
          <w:kern w:val="2"/>
          <w:sz w:val="32"/>
          <w:szCs w:val="32"/>
          <w:lang w:val="en-US" w:eastAsia="zh-CN" w:bidi="ar-SA"/>
        </w:rPr>
      </w:pPr>
      <w:r>
        <w:rPr>
          <w:rFonts w:hint="eastAsia" w:ascii="方正仿宋简体" w:hAnsi="方正仿宋简体" w:eastAsia="方正仿宋简体" w:cs="方正仿宋简体"/>
          <w:i w:val="0"/>
          <w:iCs w:val="0"/>
          <w:caps w:val="0"/>
          <w:color w:val="auto"/>
          <w:spacing w:val="0"/>
          <w:kern w:val="2"/>
          <w:sz w:val="32"/>
          <w:szCs w:val="32"/>
          <w:lang w:val="en-US" w:eastAsia="zh-CN" w:bidi="ar-SA"/>
        </w:rPr>
        <w:t xml:space="preserve">        2：2022年度乐至县部门整体支出绩效目标完成情况表</w:t>
      </w:r>
    </w:p>
    <w:p>
      <w:pPr>
        <w:sectPr>
          <w:footerReference r:id="rId3" w:type="default"/>
          <w:pgSz w:w="11907" w:h="16840"/>
          <w:pgMar w:top="2098" w:right="1474" w:bottom="1928" w:left="1588" w:header="851" w:footer="992" w:gutter="0"/>
          <w:pgNumType w:fmt="numberInDash" w:start="1"/>
          <w:cols w:space="720" w:num="1"/>
          <w:docGrid w:type="lines" w:linePitch="312" w:charSpace="0"/>
        </w:sectPr>
      </w:pPr>
    </w:p>
    <w:p>
      <w:pPr>
        <w:spacing w:line="620" w:lineRule="exact"/>
        <w:jc w:val="left"/>
        <w:rPr>
          <w:rFonts w:eastAsia="方正黑体简体"/>
          <w:bCs/>
          <w:color w:val="auto"/>
          <w:kern w:val="0"/>
          <w:sz w:val="32"/>
          <w:szCs w:val="32"/>
        </w:rPr>
      </w:pPr>
      <w:r>
        <w:rPr>
          <w:rFonts w:hint="eastAsia" w:eastAsia="方正黑体简体"/>
          <w:bCs/>
          <w:color w:val="auto"/>
          <w:kern w:val="0"/>
          <w:sz w:val="32"/>
          <w:szCs w:val="32"/>
        </w:rPr>
        <w:t>附件</w:t>
      </w:r>
      <w:r>
        <w:rPr>
          <w:rFonts w:hint="eastAsia" w:eastAsia="方正黑体简体"/>
          <w:bCs/>
          <w:color w:val="auto"/>
          <w:kern w:val="0"/>
          <w:sz w:val="32"/>
          <w:szCs w:val="32"/>
          <w:lang w:val="en-US" w:eastAsia="zh-CN"/>
        </w:rPr>
        <w:t>1</w:t>
      </w:r>
      <w:r>
        <w:rPr>
          <w:rFonts w:eastAsia="方正黑体简体"/>
          <w:bCs/>
          <w:color w:val="auto"/>
          <w:kern w:val="0"/>
          <w:sz w:val="32"/>
          <w:szCs w:val="32"/>
        </w:rPr>
        <w:t>-1</w:t>
      </w:r>
    </w:p>
    <w:p>
      <w:pPr>
        <w:spacing w:line="620" w:lineRule="exact"/>
        <w:jc w:val="center"/>
        <w:rPr>
          <w:rFonts w:eastAsia="方正小标宋简体"/>
          <w:color w:val="auto"/>
          <w:w w:val="90"/>
          <w:kern w:val="0"/>
          <w:sz w:val="44"/>
          <w:szCs w:val="44"/>
        </w:rPr>
      </w:pPr>
      <w:r>
        <w:rPr>
          <w:rFonts w:eastAsia="方正小标宋简体"/>
          <w:bCs/>
          <w:color w:val="auto"/>
          <w:w w:val="90"/>
          <w:kern w:val="0"/>
          <w:sz w:val="44"/>
          <w:szCs w:val="44"/>
        </w:rPr>
        <w:t>202</w:t>
      </w:r>
      <w:r>
        <w:rPr>
          <w:rFonts w:hint="eastAsia" w:eastAsia="方正小标宋简体"/>
          <w:bCs/>
          <w:color w:val="auto"/>
          <w:w w:val="90"/>
          <w:kern w:val="0"/>
          <w:sz w:val="44"/>
          <w:szCs w:val="44"/>
        </w:rPr>
        <w:t>2年度乐至县部门整体支出绩效自评计分表</w:t>
      </w:r>
    </w:p>
    <w:p>
      <w:pPr>
        <w:spacing w:line="620" w:lineRule="exact"/>
        <w:rPr>
          <w:rFonts w:hint="eastAsia" w:eastAsia="宋体"/>
          <w:color w:val="auto"/>
          <w:kern w:val="0"/>
          <w:sz w:val="24"/>
          <w:lang w:eastAsia="zh-CN"/>
        </w:rPr>
      </w:pPr>
      <w:r>
        <w:rPr>
          <w:rFonts w:hint="eastAsia"/>
          <w:color w:val="auto"/>
          <w:kern w:val="0"/>
          <w:sz w:val="24"/>
        </w:rPr>
        <w:t>单位名称：</w:t>
      </w:r>
      <w:r>
        <w:rPr>
          <w:rFonts w:hint="eastAsia"/>
          <w:color w:val="auto"/>
          <w:kern w:val="0"/>
          <w:sz w:val="24"/>
          <w:lang w:eastAsia="zh-CN"/>
        </w:rPr>
        <w:t>乐至县信访局</w:t>
      </w:r>
      <w:r>
        <w:rPr>
          <w:rFonts w:hint="eastAsia"/>
          <w:color w:val="auto"/>
          <w:kern w:val="0"/>
          <w:sz w:val="24"/>
          <w:lang w:val="en-US" w:eastAsia="zh-CN"/>
        </w:rPr>
        <w:t xml:space="preserve">   </w:t>
      </w:r>
      <w:r>
        <w:rPr>
          <w:color w:val="auto"/>
          <w:kern w:val="0"/>
          <w:sz w:val="24"/>
        </w:rPr>
        <w:t xml:space="preserve">  </w:t>
      </w:r>
      <w:r>
        <w:rPr>
          <w:rFonts w:hint="eastAsia"/>
          <w:color w:val="auto"/>
          <w:kern w:val="0"/>
          <w:sz w:val="24"/>
        </w:rPr>
        <w:t>预算单位编码：</w:t>
      </w:r>
      <w:r>
        <w:rPr>
          <w:rFonts w:hint="eastAsia"/>
          <w:color w:val="auto"/>
          <w:kern w:val="0"/>
          <w:sz w:val="24"/>
          <w:lang w:val="en-US" w:eastAsia="zh-CN"/>
        </w:rPr>
        <w:t>111001</w:t>
      </w:r>
      <w:r>
        <w:rPr>
          <w:color w:val="auto"/>
          <w:kern w:val="0"/>
          <w:sz w:val="24"/>
        </w:rPr>
        <w:t xml:space="preserve"> </w:t>
      </w:r>
      <w:r>
        <w:rPr>
          <w:rFonts w:hint="eastAsia"/>
          <w:color w:val="auto"/>
          <w:kern w:val="0"/>
          <w:sz w:val="24"/>
          <w:lang w:val="en-US" w:eastAsia="zh-CN"/>
        </w:rPr>
        <w:t xml:space="preserve">  </w:t>
      </w:r>
      <w:r>
        <w:rPr>
          <w:color w:val="auto"/>
          <w:kern w:val="0"/>
          <w:sz w:val="24"/>
        </w:rPr>
        <w:t xml:space="preserve">  </w:t>
      </w:r>
      <w:r>
        <w:rPr>
          <w:rFonts w:hint="eastAsia"/>
          <w:color w:val="auto"/>
          <w:kern w:val="0"/>
          <w:sz w:val="24"/>
        </w:rPr>
        <w:t>自评等级：</w:t>
      </w:r>
      <w:r>
        <w:rPr>
          <w:rFonts w:hint="eastAsia"/>
          <w:color w:val="auto"/>
          <w:kern w:val="0"/>
          <w:sz w:val="24"/>
          <w:lang w:eastAsia="zh-CN"/>
        </w:rPr>
        <w:t>优</w:t>
      </w:r>
    </w:p>
    <w:tbl>
      <w:tblPr>
        <w:tblStyle w:val="18"/>
        <w:tblW w:w="5329" w:type="pct"/>
        <w:jc w:val="center"/>
        <w:tblLayout w:type="autofit"/>
        <w:tblCellMar>
          <w:top w:w="0" w:type="dxa"/>
          <w:left w:w="28" w:type="dxa"/>
          <w:bottom w:w="0" w:type="dxa"/>
          <w:right w:w="28" w:type="dxa"/>
        </w:tblCellMar>
      </w:tblPr>
      <w:tblGrid>
        <w:gridCol w:w="1474"/>
        <w:gridCol w:w="476"/>
        <w:gridCol w:w="476"/>
        <w:gridCol w:w="1092"/>
        <w:gridCol w:w="2339"/>
        <w:gridCol w:w="424"/>
        <w:gridCol w:w="3206"/>
      </w:tblGrid>
      <w:tr>
        <w:tblPrEx>
          <w:tblCellMar>
            <w:top w:w="0" w:type="dxa"/>
            <w:left w:w="28" w:type="dxa"/>
            <w:bottom w:w="0" w:type="dxa"/>
            <w:right w:w="28" w:type="dxa"/>
          </w:tblCellMar>
        </w:tblPrEx>
        <w:trPr>
          <w:trHeight w:val="518" w:hRule="atLeast"/>
          <w:tblHeader/>
          <w:jc w:val="center"/>
        </w:trPr>
        <w:tc>
          <w:tcPr>
            <w:tcW w:w="776"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一级指标</w:t>
            </w:r>
          </w:p>
        </w:tc>
        <w:tc>
          <w:tcPr>
            <w:tcW w:w="27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二级指标</w:t>
            </w:r>
          </w:p>
        </w:tc>
        <w:tc>
          <w:tcPr>
            <w:tcW w:w="437"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三级指标</w:t>
            </w:r>
          </w:p>
        </w:tc>
        <w:tc>
          <w:tcPr>
            <w:tcW w:w="1180"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指标解释</w:t>
            </w:r>
          </w:p>
        </w:tc>
        <w:tc>
          <w:tcPr>
            <w:tcW w:w="1536"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指标说明</w:t>
            </w:r>
            <w:r>
              <w:rPr>
                <w:rFonts w:eastAsia="方正黑体简体"/>
                <w:color w:val="auto"/>
                <w:szCs w:val="21"/>
              </w:rPr>
              <w:t>(</w:t>
            </w:r>
            <w:r>
              <w:rPr>
                <w:rFonts w:hint="eastAsia" w:eastAsia="方正黑体简体"/>
                <w:color w:val="auto"/>
                <w:szCs w:val="21"/>
              </w:rPr>
              <w:t>评价计分标准）</w:t>
            </w:r>
          </w:p>
        </w:tc>
        <w:tc>
          <w:tcPr>
            <w:tcW w:w="37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自评</w:t>
            </w:r>
          </w:p>
          <w:p>
            <w:pPr>
              <w:spacing w:line="240" w:lineRule="exact"/>
              <w:jc w:val="center"/>
              <w:rPr>
                <w:rFonts w:eastAsia="方正黑体简体"/>
                <w:color w:val="auto"/>
                <w:szCs w:val="21"/>
              </w:rPr>
            </w:pPr>
            <w:r>
              <w:rPr>
                <w:rFonts w:hint="eastAsia" w:eastAsia="方正黑体简体"/>
                <w:color w:val="auto"/>
                <w:szCs w:val="21"/>
              </w:rPr>
              <w:t>分数</w:t>
            </w:r>
          </w:p>
        </w:tc>
        <w:tc>
          <w:tcPr>
            <w:tcW w:w="410"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自评</w:t>
            </w:r>
          </w:p>
          <w:p>
            <w:pPr>
              <w:spacing w:line="240" w:lineRule="exact"/>
              <w:jc w:val="center"/>
              <w:rPr>
                <w:rFonts w:eastAsia="方正黑体简体"/>
                <w:color w:val="auto"/>
                <w:szCs w:val="21"/>
              </w:rPr>
            </w:pPr>
            <w:r>
              <w:rPr>
                <w:rFonts w:hint="eastAsia" w:eastAsia="方正黑体简体"/>
                <w:color w:val="auto"/>
                <w:szCs w:val="21"/>
              </w:rPr>
              <w:t>依据及说明</w:t>
            </w:r>
          </w:p>
        </w:tc>
      </w:tr>
      <w:tr>
        <w:tblPrEx>
          <w:tblCellMar>
            <w:top w:w="0" w:type="dxa"/>
            <w:left w:w="28" w:type="dxa"/>
            <w:bottom w:w="0" w:type="dxa"/>
            <w:right w:w="28" w:type="dxa"/>
          </w:tblCellMar>
        </w:tblPrEx>
        <w:trPr>
          <w:trHeight w:val="1330" w:hRule="atLeast"/>
          <w:jc w:val="center"/>
        </w:trPr>
        <w:tc>
          <w:tcPr>
            <w:tcW w:w="776" w:type="pct"/>
            <w:vMerge w:val="restart"/>
            <w:tcBorders>
              <w:top w:val="nil"/>
              <w:left w:val="single" w:color="auto" w:sz="12" w:space="0"/>
              <w:bottom w:val="single" w:color="000000" w:sz="4" w:space="0"/>
              <w:right w:val="single" w:color="auto" w:sz="4" w:space="0"/>
            </w:tcBorders>
            <w:noWrap/>
            <w:vAlign w:val="center"/>
          </w:tcPr>
          <w:p>
            <w:pPr>
              <w:spacing w:line="240" w:lineRule="exact"/>
              <w:jc w:val="center"/>
              <w:rPr>
                <w:color w:val="auto"/>
                <w:szCs w:val="21"/>
              </w:rPr>
            </w:pPr>
            <w:r>
              <w:rPr>
                <w:rFonts w:hint="eastAsia"/>
                <w:color w:val="auto"/>
                <w:szCs w:val="21"/>
              </w:rPr>
              <w:t>投入（</w:t>
            </w:r>
            <w:r>
              <w:rPr>
                <w:color w:val="auto"/>
                <w:szCs w:val="21"/>
              </w:rPr>
              <w:t>20</w:t>
            </w:r>
            <w:r>
              <w:rPr>
                <w:rFonts w:hint="eastAsia"/>
                <w:color w:val="auto"/>
                <w:szCs w:val="21"/>
              </w:rPr>
              <w:t>分）</w:t>
            </w:r>
          </w:p>
        </w:tc>
        <w:tc>
          <w:tcPr>
            <w:tcW w:w="278"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目标设定（</w:t>
            </w:r>
            <w:r>
              <w:rPr>
                <w:color w:val="auto"/>
                <w:szCs w:val="21"/>
              </w:rPr>
              <w:t>5</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绩效目标合理性（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部门（单位）所设立的整体绩效目标依据是否充分，是否符合客观实际，用以反映和考核部门（单位）整体绩效目标与部门履职、年度工作任务的相符性情况。</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①是否符合国家法律法规、国民经济和社会发展总体规划；</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②是否符合部门“三定”方案确定的职责；（</w:t>
            </w:r>
            <w:r>
              <w:rPr>
                <w:color w:val="auto"/>
                <w:szCs w:val="21"/>
              </w:rPr>
              <w:t>0.5</w:t>
            </w:r>
            <w:r>
              <w:rPr>
                <w:rFonts w:hint="eastAsia"/>
                <w:color w:val="auto"/>
                <w:szCs w:val="21"/>
              </w:rPr>
              <w:t>分）</w:t>
            </w:r>
          </w:p>
          <w:p>
            <w:pPr>
              <w:spacing w:line="240" w:lineRule="exact"/>
              <w:rPr>
                <w:color w:val="auto"/>
                <w:szCs w:val="21"/>
              </w:rPr>
            </w:pPr>
            <w:r>
              <w:rPr>
                <w:rFonts w:hint="eastAsia"/>
                <w:color w:val="auto"/>
                <w:szCs w:val="21"/>
              </w:rPr>
              <w:t>③是否符合部门制定的中长期实施规划。（</w:t>
            </w:r>
            <w:r>
              <w:rPr>
                <w:color w:val="auto"/>
                <w:szCs w:val="21"/>
              </w:rPr>
              <w:t>0.5</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color w:val="auto"/>
                <w:szCs w:val="21"/>
                <w:lang w:val="en-US" w:eastAsia="zh-CN"/>
              </w:rPr>
              <w:t>“</w:t>
            </w:r>
            <w:r>
              <w:rPr>
                <w:rFonts w:hint="eastAsia"/>
                <w:color w:val="auto"/>
                <w:szCs w:val="21"/>
                <w:lang w:val="en-US" w:eastAsia="zh-CN"/>
              </w:rPr>
              <w:t>三定</w:t>
            </w:r>
            <w:r>
              <w:rPr>
                <w:rFonts w:hint="default"/>
                <w:color w:val="auto"/>
                <w:szCs w:val="21"/>
                <w:lang w:val="en-US" w:eastAsia="zh-CN"/>
              </w:rPr>
              <w:t>”</w:t>
            </w:r>
            <w:r>
              <w:rPr>
                <w:rFonts w:hint="eastAsia"/>
                <w:color w:val="auto"/>
                <w:szCs w:val="21"/>
                <w:lang w:val="en-US" w:eastAsia="zh-CN"/>
              </w:rPr>
              <w:t>方案</w:t>
            </w:r>
          </w:p>
        </w:tc>
      </w:tr>
      <w:tr>
        <w:tblPrEx>
          <w:tblCellMar>
            <w:top w:w="0" w:type="dxa"/>
            <w:left w:w="28" w:type="dxa"/>
            <w:bottom w:w="0" w:type="dxa"/>
            <w:right w:w="28" w:type="dxa"/>
          </w:tblCellMar>
        </w:tblPrEx>
        <w:trPr>
          <w:trHeight w:val="1447"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绩效指标明确性（</w:t>
            </w:r>
            <w:r>
              <w:rPr>
                <w:color w:val="auto"/>
                <w:szCs w:val="21"/>
              </w:rPr>
              <w:t>3</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部门（单位）依据整体绩效目标所设定的绩效指标是否清晰、细化、可衡量，用以反映和考核部门（单位）整体绩效目标的明细化情况。</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①是否将部门整体的绩效目标细化分解为具体的工作任务；（</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②是否通过清晰、可衡量的指标值予以体现</w:t>
            </w:r>
            <w:r>
              <w:rPr>
                <w:color w:val="auto"/>
                <w:szCs w:val="21"/>
              </w:rPr>
              <w:t>;(0.5</w:t>
            </w:r>
            <w:r>
              <w:rPr>
                <w:rFonts w:hint="eastAsia"/>
                <w:color w:val="auto"/>
                <w:szCs w:val="21"/>
              </w:rPr>
              <w:t>分）</w:t>
            </w:r>
            <w:r>
              <w:rPr>
                <w:color w:val="auto"/>
                <w:szCs w:val="21"/>
              </w:rPr>
              <w:t xml:space="preserve">    </w:t>
            </w:r>
            <w:r>
              <w:rPr>
                <w:rFonts w:hint="eastAsia"/>
                <w:color w:val="auto"/>
                <w:szCs w:val="21"/>
              </w:rPr>
              <w:t>③是否与部门年度的任务数或计划数相对应；（</w:t>
            </w:r>
            <w:r>
              <w:rPr>
                <w:color w:val="auto"/>
                <w:szCs w:val="21"/>
              </w:rPr>
              <w:t>0.5</w:t>
            </w:r>
            <w:r>
              <w:rPr>
                <w:rFonts w:hint="eastAsia"/>
                <w:color w:val="auto"/>
                <w:szCs w:val="21"/>
              </w:rPr>
              <w:t>分）</w:t>
            </w:r>
          </w:p>
          <w:p>
            <w:pPr>
              <w:spacing w:line="240" w:lineRule="exact"/>
              <w:rPr>
                <w:color w:val="auto"/>
                <w:szCs w:val="21"/>
              </w:rPr>
            </w:pPr>
            <w:r>
              <w:rPr>
                <w:rFonts w:hint="eastAsia"/>
                <w:color w:val="auto"/>
                <w:szCs w:val="21"/>
              </w:rPr>
              <w:t>④是否与本年度部门预算资金相匹配。（</w:t>
            </w:r>
            <w:r>
              <w:rPr>
                <w:color w:val="auto"/>
                <w:szCs w:val="21"/>
              </w:rPr>
              <w:t>1</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3</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szCs w:val="21"/>
                <w:lang w:eastAsia="zh-CN"/>
              </w:rPr>
            </w:pPr>
            <w:r>
              <w:rPr>
                <w:rFonts w:hint="eastAsia"/>
                <w:color w:val="auto"/>
                <w:szCs w:val="21"/>
                <w:lang w:eastAsia="zh-CN"/>
              </w:rPr>
              <w:t>年初预算文件</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Cs w:val="21"/>
                <w:lang w:eastAsia="zh-CN"/>
              </w:rPr>
              <w:t>乐财预【</w:t>
            </w:r>
            <w:r>
              <w:rPr>
                <w:rFonts w:hint="eastAsia"/>
                <w:color w:val="auto"/>
                <w:szCs w:val="21"/>
                <w:lang w:val="en-US" w:eastAsia="zh-CN"/>
              </w:rPr>
              <w:t>2022</w:t>
            </w:r>
            <w:r>
              <w:rPr>
                <w:rFonts w:hint="eastAsia"/>
                <w:color w:val="auto"/>
                <w:szCs w:val="21"/>
                <w:lang w:eastAsia="zh-CN"/>
              </w:rPr>
              <w:t>】</w:t>
            </w:r>
            <w:r>
              <w:rPr>
                <w:rFonts w:hint="eastAsia"/>
                <w:color w:val="auto"/>
                <w:szCs w:val="21"/>
                <w:lang w:val="en-US" w:eastAsia="zh-CN"/>
              </w:rPr>
              <w:t>2号</w:t>
            </w:r>
          </w:p>
        </w:tc>
      </w:tr>
      <w:tr>
        <w:tblPrEx>
          <w:tblCellMar>
            <w:top w:w="0" w:type="dxa"/>
            <w:left w:w="28" w:type="dxa"/>
            <w:bottom w:w="0" w:type="dxa"/>
            <w:right w:w="28" w:type="dxa"/>
          </w:tblCellMar>
        </w:tblPrEx>
        <w:trPr>
          <w:trHeight w:val="1200"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8"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r>
              <w:rPr>
                <w:rFonts w:hint="eastAsia"/>
                <w:color w:val="auto"/>
                <w:szCs w:val="21"/>
              </w:rPr>
              <w:t>预算配置（</w:t>
            </w:r>
            <w:r>
              <w:rPr>
                <w:color w:val="auto"/>
                <w:szCs w:val="21"/>
              </w:rPr>
              <w:t>15</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在职人员控制率（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部门（单位）本年度实际在职人员数与编制数的比率，用以反映和考核部门（单位）对人员成本的控制程度。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在职人员控制率</w:t>
            </w:r>
            <w:r>
              <w:rPr>
                <w:color w:val="auto"/>
                <w:szCs w:val="21"/>
              </w:rPr>
              <w:t>=</w:t>
            </w:r>
            <w:r>
              <w:rPr>
                <w:rFonts w:hint="eastAsia"/>
                <w:color w:val="auto"/>
                <w:szCs w:val="21"/>
              </w:rPr>
              <w:t>（在职人员数</w:t>
            </w:r>
            <w:r>
              <w:rPr>
                <w:color w:val="auto"/>
                <w:szCs w:val="21"/>
              </w:rPr>
              <w:t>/</w:t>
            </w:r>
            <w:r>
              <w:rPr>
                <w:rFonts w:hint="eastAsia"/>
                <w:color w:val="auto"/>
                <w:szCs w:val="21"/>
              </w:rPr>
              <w:t>编制数）×</w:t>
            </w:r>
            <w:r>
              <w:rPr>
                <w:color w:val="auto"/>
                <w:szCs w:val="21"/>
              </w:rPr>
              <w:t>100%</w:t>
            </w:r>
            <w:r>
              <w:rPr>
                <w:rFonts w:hint="eastAsia"/>
                <w:color w:val="auto"/>
                <w:szCs w:val="21"/>
              </w:rPr>
              <w:t>。（小于或等于</w:t>
            </w:r>
            <w:r>
              <w:rPr>
                <w:color w:val="auto"/>
                <w:szCs w:val="21"/>
              </w:rPr>
              <w:t>1</w:t>
            </w:r>
            <w:r>
              <w:rPr>
                <w:rFonts w:hint="eastAsia"/>
                <w:color w:val="auto"/>
                <w:szCs w:val="21"/>
              </w:rPr>
              <w:t>计</w:t>
            </w:r>
            <w:r>
              <w:rPr>
                <w:color w:val="auto"/>
                <w:szCs w:val="21"/>
              </w:rPr>
              <w:t>5</w:t>
            </w:r>
            <w:r>
              <w:rPr>
                <w:rFonts w:hint="eastAsia"/>
                <w:color w:val="auto"/>
                <w:szCs w:val="21"/>
              </w:rPr>
              <w:t>分，否则按比例计分）</w:t>
            </w:r>
          </w:p>
          <w:p>
            <w:pPr>
              <w:spacing w:line="240" w:lineRule="exact"/>
              <w:rPr>
                <w:color w:val="auto"/>
                <w:szCs w:val="21"/>
              </w:rPr>
            </w:pPr>
            <w:r>
              <w:rPr>
                <w:rFonts w:hint="eastAsia"/>
                <w:color w:val="auto"/>
                <w:szCs w:val="21"/>
              </w:rPr>
              <w:t>在职人员数：部门（单位）实际在职人数，以财政部确定的部门决算编制口径为准。</w:t>
            </w:r>
          </w:p>
          <w:p>
            <w:pPr>
              <w:spacing w:line="240" w:lineRule="exact"/>
              <w:rPr>
                <w:color w:val="auto"/>
                <w:szCs w:val="21"/>
              </w:rPr>
            </w:pPr>
            <w:r>
              <w:rPr>
                <w:rFonts w:hint="eastAsia"/>
                <w:color w:val="auto"/>
                <w:szCs w:val="21"/>
              </w:rPr>
              <w:t>编制数：机构编制部门核定批复的部门（单位）的人员编制数。</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在职人员控制</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color w:val="auto"/>
                <w:lang w:val="en-US" w:eastAsia="zh-CN"/>
              </w:rPr>
            </w:pPr>
            <w:r>
              <w:rPr>
                <w:rFonts w:hint="eastAsia"/>
                <w:color w:val="auto"/>
                <w:lang w:eastAsia="zh-CN"/>
              </w:rPr>
              <w:t>率</w:t>
            </w:r>
            <w:r>
              <w:rPr>
                <w:rFonts w:hint="eastAsia"/>
                <w:color w:val="auto"/>
                <w:lang w:val="en-US" w:eastAsia="zh-CN"/>
              </w:rPr>
              <w:t>=13/14*100%=92.86%</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4"/>
                <w:lang w:val="en-US" w:eastAsia="zh-CN" w:bidi="ar-SA"/>
              </w:rPr>
            </w:pPr>
            <w:r>
              <w:rPr>
                <w:rFonts w:hint="eastAsia"/>
                <w:color w:val="auto"/>
                <w:szCs w:val="21"/>
                <w:lang w:val="en-US" w:eastAsia="zh-CN"/>
              </w:rPr>
              <w:t>（小于1）</w:t>
            </w:r>
          </w:p>
        </w:tc>
      </w:tr>
      <w:tr>
        <w:tblPrEx>
          <w:tblCellMar>
            <w:top w:w="0" w:type="dxa"/>
            <w:left w:w="28" w:type="dxa"/>
            <w:bottom w:w="0" w:type="dxa"/>
            <w:right w:w="28" w:type="dxa"/>
          </w:tblCellMar>
        </w:tblPrEx>
        <w:trPr>
          <w:trHeight w:val="1259"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“三公经费”变动率（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部门（单位）本年度“三公经费”预算数与上年度“三公经费”预算数的变动比率，用以反映和考核部门（单位）对控制重点行政成本的努力程度。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“三公经费”变动率</w:t>
            </w:r>
            <w:r>
              <w:rPr>
                <w:color w:val="auto"/>
                <w:szCs w:val="21"/>
              </w:rPr>
              <w:t>=[</w:t>
            </w:r>
            <w:r>
              <w:rPr>
                <w:rFonts w:hint="eastAsia"/>
                <w:color w:val="auto"/>
                <w:szCs w:val="21"/>
              </w:rPr>
              <w:t>（本年度“三公经费”总额</w:t>
            </w:r>
            <w:r>
              <w:rPr>
                <w:color w:val="auto"/>
                <w:szCs w:val="21"/>
              </w:rPr>
              <w:t>-</w:t>
            </w:r>
            <w:r>
              <w:rPr>
                <w:rFonts w:hint="eastAsia"/>
                <w:color w:val="auto"/>
                <w:szCs w:val="21"/>
              </w:rPr>
              <w:t>上年度“三公经费”总额）</w:t>
            </w:r>
            <w:r>
              <w:rPr>
                <w:color w:val="auto"/>
                <w:szCs w:val="21"/>
              </w:rPr>
              <w:t>/</w:t>
            </w:r>
            <w:r>
              <w:rPr>
                <w:rFonts w:hint="eastAsia"/>
                <w:color w:val="auto"/>
                <w:szCs w:val="21"/>
              </w:rPr>
              <w:t>上年度“三公经费”总额</w:t>
            </w:r>
            <w:r>
              <w:rPr>
                <w:color w:val="auto"/>
                <w:szCs w:val="21"/>
              </w:rPr>
              <w:t>]</w:t>
            </w:r>
            <w:r>
              <w:rPr>
                <w:rFonts w:hint="eastAsia"/>
                <w:color w:val="auto"/>
                <w:szCs w:val="21"/>
              </w:rPr>
              <w:t>×</w:t>
            </w:r>
            <w:r>
              <w:rPr>
                <w:color w:val="auto"/>
                <w:szCs w:val="21"/>
              </w:rPr>
              <w:t>100%</w:t>
            </w:r>
            <w:r>
              <w:rPr>
                <w:rFonts w:hint="eastAsia"/>
                <w:color w:val="auto"/>
                <w:szCs w:val="21"/>
              </w:rPr>
              <w:t>。（下降的计</w:t>
            </w:r>
            <w:r>
              <w:rPr>
                <w:color w:val="auto"/>
                <w:szCs w:val="21"/>
              </w:rPr>
              <w:t>5</w:t>
            </w:r>
            <w:r>
              <w:rPr>
                <w:rFonts w:hint="eastAsia"/>
                <w:color w:val="auto"/>
                <w:szCs w:val="21"/>
              </w:rPr>
              <w:t>分，增加的按比例扣减）</w:t>
            </w:r>
          </w:p>
          <w:p>
            <w:pPr>
              <w:spacing w:line="240" w:lineRule="exact"/>
              <w:rPr>
                <w:color w:val="auto"/>
                <w:szCs w:val="21"/>
              </w:rPr>
            </w:pPr>
            <w:r>
              <w:rPr>
                <w:rFonts w:hint="eastAsia"/>
                <w:color w:val="auto"/>
                <w:szCs w:val="21"/>
              </w:rPr>
              <w:t>“三公经费”：年度预算安排的因公出国（境）费、公务车辆购置及运行费和公务招待费。</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“三公经费”变动率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=(2.98-3.98)/3.98*100%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color w:val="auto"/>
                <w:szCs w:val="21"/>
                <w:lang w:val="en-US" w:eastAsia="zh-CN"/>
              </w:rPr>
            </w:pPr>
            <w:r>
              <w:rPr>
                <w:rFonts w:hint="eastAsia"/>
                <w:color w:val="auto"/>
                <w:szCs w:val="21"/>
                <w:lang w:val="en-US" w:eastAsia="zh-CN"/>
              </w:rPr>
              <w:t>=-25.1%</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(下降)</w:t>
            </w:r>
          </w:p>
        </w:tc>
      </w:tr>
      <w:tr>
        <w:tblPrEx>
          <w:tblCellMar>
            <w:top w:w="0" w:type="dxa"/>
            <w:left w:w="28" w:type="dxa"/>
            <w:bottom w:w="0" w:type="dxa"/>
            <w:right w:w="28" w:type="dxa"/>
          </w:tblCellMar>
        </w:tblPrEx>
        <w:trPr>
          <w:trHeight w:val="1534"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重点支出安排率（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部门（单位）本年度预算安排的重点项目支出与部门项目总支出的比率，用以反映和考核部门（单位）对履行主要职责或完成重点任务的保障程度。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重点支出安排率</w:t>
            </w:r>
            <w:r>
              <w:rPr>
                <w:color w:val="auto"/>
                <w:szCs w:val="21"/>
              </w:rPr>
              <w:t>=</w:t>
            </w:r>
            <w:r>
              <w:rPr>
                <w:rFonts w:hint="eastAsia"/>
                <w:color w:val="auto"/>
                <w:szCs w:val="21"/>
              </w:rPr>
              <w:t>（重点项目支出</w:t>
            </w:r>
            <w:r>
              <w:rPr>
                <w:color w:val="auto"/>
                <w:szCs w:val="21"/>
              </w:rPr>
              <w:t>/</w:t>
            </w:r>
            <w:r>
              <w:rPr>
                <w:rFonts w:hint="eastAsia"/>
                <w:color w:val="auto"/>
                <w:szCs w:val="21"/>
              </w:rPr>
              <w:t>项目总支出）×</w:t>
            </w:r>
            <w:r>
              <w:rPr>
                <w:color w:val="auto"/>
                <w:szCs w:val="21"/>
              </w:rPr>
              <w:t>100%</w:t>
            </w:r>
            <w:r>
              <w:rPr>
                <w:rFonts w:hint="eastAsia"/>
                <w:color w:val="auto"/>
                <w:szCs w:val="21"/>
              </w:rPr>
              <w:t>。（实际得分</w:t>
            </w:r>
            <w:r>
              <w:rPr>
                <w:color w:val="auto"/>
                <w:szCs w:val="21"/>
              </w:rPr>
              <w:t>=</w:t>
            </w:r>
            <w:r>
              <w:rPr>
                <w:rFonts w:hint="eastAsia"/>
                <w:color w:val="auto"/>
                <w:szCs w:val="21"/>
              </w:rPr>
              <w:t>支出安排率</w:t>
            </w:r>
            <w:r>
              <w:rPr>
                <w:color w:val="auto"/>
                <w:szCs w:val="21"/>
              </w:rPr>
              <w:t>*5</w:t>
            </w:r>
            <w:r>
              <w:rPr>
                <w:rFonts w:hint="eastAsia"/>
                <w:color w:val="auto"/>
                <w:szCs w:val="21"/>
              </w:rPr>
              <w:t>分）</w:t>
            </w:r>
          </w:p>
          <w:p>
            <w:pPr>
              <w:spacing w:line="240" w:lineRule="exact"/>
              <w:rPr>
                <w:color w:val="auto"/>
                <w:szCs w:val="21"/>
              </w:rPr>
            </w:pPr>
            <w:r>
              <w:rPr>
                <w:rFonts w:hint="eastAsia"/>
                <w:color w:val="auto"/>
                <w:szCs w:val="21"/>
              </w:rPr>
              <w:t>重点项目支出：部门（单位）年度预算安排的，与本部门履职和发展密切相关、具有明显社会和经济影响、党委政府关心或社会比较关注的项目支出总额。</w:t>
            </w:r>
          </w:p>
          <w:p>
            <w:pPr>
              <w:spacing w:line="240" w:lineRule="exact"/>
              <w:rPr>
                <w:color w:val="auto"/>
                <w:szCs w:val="21"/>
              </w:rPr>
            </w:pPr>
            <w:r>
              <w:rPr>
                <w:rFonts w:hint="eastAsia"/>
                <w:color w:val="auto"/>
                <w:szCs w:val="21"/>
              </w:rPr>
              <w:t>项目总支出：部门（单位）年度预算安排的项目支出总额。</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重点支出安排率</w:t>
            </w:r>
          </w:p>
          <w:p>
            <w:pPr>
              <w:pStyle w:val="10"/>
              <w:keepNext w:val="0"/>
              <w:keepLines w:val="0"/>
              <w:pageBreakBefore w:val="0"/>
              <w:kinsoku/>
              <w:wordWrap/>
              <w:overflowPunct/>
              <w:topLinePunct w:val="0"/>
              <w:autoSpaceDE/>
              <w:autoSpaceDN/>
              <w:bidi w:val="0"/>
              <w:spacing w:line="240" w:lineRule="auto"/>
              <w:ind w:leftChars="100"/>
              <w:textAlignment w:val="auto"/>
              <w:rPr>
                <w:color w:val="auto"/>
                <w:szCs w:val="21"/>
              </w:rPr>
            </w:pPr>
            <w:r>
              <w:rPr>
                <w:rFonts w:hint="eastAsia"/>
                <w:color w:val="auto"/>
                <w:szCs w:val="21"/>
                <w:lang w:val="en-US" w:eastAsia="zh-CN"/>
              </w:rPr>
              <w:t>=</w:t>
            </w:r>
            <w:r>
              <w:rPr>
                <w:rFonts w:hint="eastAsia"/>
                <w:color w:val="auto"/>
                <w:szCs w:val="21"/>
              </w:rPr>
              <w:t>（</w:t>
            </w:r>
            <w:r>
              <w:rPr>
                <w:rFonts w:hint="eastAsia"/>
                <w:color w:val="auto"/>
                <w:szCs w:val="21"/>
                <w:lang w:val="en-US" w:eastAsia="zh-CN"/>
              </w:rPr>
              <w:t>128.7</w:t>
            </w:r>
            <w:r>
              <w:rPr>
                <w:color w:val="auto"/>
                <w:szCs w:val="21"/>
              </w:rPr>
              <w:t>/</w:t>
            </w:r>
            <w:r>
              <w:rPr>
                <w:rFonts w:hint="eastAsia"/>
                <w:color w:val="auto"/>
                <w:szCs w:val="21"/>
                <w:lang w:val="en-US" w:eastAsia="zh-CN"/>
              </w:rPr>
              <w:t>128.7</w:t>
            </w:r>
            <w:r>
              <w:rPr>
                <w:rFonts w:hint="eastAsia"/>
                <w:color w:val="auto"/>
                <w:szCs w:val="21"/>
              </w:rPr>
              <w:t>）×</w:t>
            </w:r>
            <w:r>
              <w:rPr>
                <w:color w:val="auto"/>
                <w:szCs w:val="21"/>
              </w:rP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（实际得分=100%*5=5）</w:t>
            </w:r>
          </w:p>
        </w:tc>
      </w:tr>
      <w:tr>
        <w:tblPrEx>
          <w:tblCellMar>
            <w:top w:w="0" w:type="dxa"/>
            <w:left w:w="28" w:type="dxa"/>
            <w:bottom w:w="0" w:type="dxa"/>
            <w:right w:w="28" w:type="dxa"/>
          </w:tblCellMar>
        </w:tblPrEx>
        <w:trPr>
          <w:trHeight w:val="1330" w:hRule="atLeast"/>
          <w:jc w:val="center"/>
        </w:trPr>
        <w:tc>
          <w:tcPr>
            <w:tcW w:w="776" w:type="pct"/>
            <w:vMerge w:val="restart"/>
            <w:tcBorders>
              <w:top w:val="nil"/>
              <w:left w:val="single" w:color="auto" w:sz="12" w:space="0"/>
              <w:right w:val="single" w:color="auto" w:sz="4" w:space="0"/>
            </w:tcBorders>
            <w:shd w:val="clear" w:color="auto" w:fill="auto"/>
            <w:noWrap/>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8" w:type="pct"/>
            <w:vMerge w:val="restart"/>
            <w:tcBorders>
              <w:top w:val="nil"/>
              <w:left w:val="single" w:color="auto" w:sz="4" w:space="0"/>
              <w:right w:val="single" w:color="auto" w:sz="4" w:space="0"/>
            </w:tcBorders>
            <w:shd w:val="clear" w:color="auto" w:fill="auto"/>
            <w:noWrap w:val="0"/>
            <w:vAlign w:val="center"/>
          </w:tcPr>
          <w:p>
            <w:pPr>
              <w:spacing w:line="260" w:lineRule="exact"/>
              <w:jc w:val="center"/>
              <w:rPr>
                <w:color w:val="auto"/>
                <w:szCs w:val="21"/>
              </w:rPr>
            </w:pPr>
            <w:r>
              <w:rPr>
                <w:rFonts w:hint="eastAsia"/>
                <w:color w:val="auto"/>
                <w:szCs w:val="21"/>
              </w:rPr>
              <w:t>预算执行（</w:t>
            </w:r>
            <w:r>
              <w:rPr>
                <w:color w:val="auto"/>
                <w:szCs w:val="21"/>
              </w:rPr>
              <w:t>20</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预算完成率（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部门（单位）本年度预算完成数与预算数的比率，用以反映和考核部门（单位）预算完成程度。</w:t>
            </w:r>
          </w:p>
        </w:tc>
        <w:tc>
          <w:tcPr>
            <w:tcW w:w="1536"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预算完成率</w:t>
            </w:r>
            <w:r>
              <w:rPr>
                <w:color w:val="auto"/>
                <w:szCs w:val="21"/>
              </w:rPr>
              <w:t>=</w:t>
            </w:r>
            <w:r>
              <w:rPr>
                <w:rFonts w:hint="eastAsia"/>
                <w:color w:val="auto"/>
                <w:szCs w:val="21"/>
              </w:rPr>
              <w:t>（预算完成数</w:t>
            </w:r>
            <w:r>
              <w:rPr>
                <w:color w:val="auto"/>
                <w:szCs w:val="21"/>
              </w:rPr>
              <w:t>/</w:t>
            </w:r>
            <w:r>
              <w:rPr>
                <w:rFonts w:hint="eastAsia"/>
                <w:color w:val="auto"/>
                <w:szCs w:val="21"/>
              </w:rPr>
              <w:t>预算数）×</w:t>
            </w:r>
            <w:r>
              <w:rPr>
                <w:color w:val="auto"/>
                <w:szCs w:val="21"/>
              </w:rPr>
              <w:t>100%</w:t>
            </w:r>
            <w:r>
              <w:rPr>
                <w:rFonts w:hint="eastAsia"/>
                <w:color w:val="auto"/>
                <w:szCs w:val="21"/>
              </w:rPr>
              <w:t>。（完成年初预算计</w:t>
            </w:r>
            <w:r>
              <w:rPr>
                <w:color w:val="auto"/>
                <w:szCs w:val="21"/>
              </w:rPr>
              <w:t>4</w:t>
            </w:r>
            <w:r>
              <w:rPr>
                <w:rFonts w:hint="eastAsia"/>
                <w:color w:val="auto"/>
                <w:szCs w:val="21"/>
              </w:rPr>
              <w:t>分，未完成年初按比例扣减）</w:t>
            </w:r>
          </w:p>
          <w:p>
            <w:pPr>
              <w:spacing w:line="260" w:lineRule="exact"/>
              <w:rPr>
                <w:color w:val="auto"/>
                <w:szCs w:val="21"/>
              </w:rPr>
            </w:pPr>
            <w:r>
              <w:rPr>
                <w:rFonts w:hint="eastAsia"/>
                <w:color w:val="auto"/>
                <w:szCs w:val="21"/>
              </w:rPr>
              <w:t>预算完成数：部门（单位）本年度实际完成的预算数。</w:t>
            </w:r>
          </w:p>
          <w:p>
            <w:pPr>
              <w:spacing w:line="260" w:lineRule="exact"/>
              <w:rPr>
                <w:color w:val="auto"/>
                <w:szCs w:val="21"/>
              </w:rPr>
            </w:pPr>
            <w:r>
              <w:rPr>
                <w:rFonts w:hint="eastAsia"/>
                <w:color w:val="auto"/>
                <w:szCs w:val="21"/>
              </w:rPr>
              <w:t>预算数：财政部门批复的本年度部门（单位）预算数。</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预算完成率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=348.31/348.31*100%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（完成年初预算）</w:t>
            </w:r>
          </w:p>
        </w:tc>
      </w:tr>
      <w:tr>
        <w:tblPrEx>
          <w:tblCellMar>
            <w:top w:w="0" w:type="dxa"/>
            <w:left w:w="28" w:type="dxa"/>
            <w:bottom w:w="0" w:type="dxa"/>
            <w:right w:w="28" w:type="dxa"/>
          </w:tblCellMar>
        </w:tblPrEx>
        <w:trPr>
          <w:trHeight w:val="1459"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60" w:lineRule="exact"/>
              <w:jc w:val="center"/>
              <w:rPr>
                <w:color w:val="auto"/>
                <w:szCs w:val="21"/>
              </w:rPr>
            </w:pPr>
          </w:p>
        </w:tc>
        <w:tc>
          <w:tcPr>
            <w:tcW w:w="278" w:type="pct"/>
            <w:vMerge w:val="continue"/>
            <w:tcBorders>
              <w:left w:val="single" w:color="auto" w:sz="4" w:space="0"/>
              <w:right w:val="single" w:color="auto" w:sz="4" w:space="0"/>
            </w:tcBorders>
            <w:shd w:val="clear" w:color="auto" w:fill="auto"/>
            <w:noWrap w:val="0"/>
            <w:vAlign w:val="center"/>
          </w:tcPr>
          <w:p>
            <w:pPr>
              <w:spacing w:line="26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预算调整率（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部门（单位）本年度预算调整数与预算数的比率，用以反映和考核部门（单位）预算的调整程度。</w:t>
            </w:r>
          </w:p>
        </w:tc>
        <w:tc>
          <w:tcPr>
            <w:tcW w:w="1536"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预算调整率</w:t>
            </w:r>
            <w:r>
              <w:rPr>
                <w:color w:val="auto"/>
                <w:szCs w:val="21"/>
              </w:rPr>
              <w:t>=</w:t>
            </w:r>
            <w:r>
              <w:rPr>
                <w:rFonts w:hint="eastAsia"/>
                <w:color w:val="auto"/>
                <w:szCs w:val="21"/>
              </w:rPr>
              <w:t>（预算调整数</w:t>
            </w:r>
            <w:r>
              <w:rPr>
                <w:color w:val="auto"/>
                <w:szCs w:val="21"/>
              </w:rPr>
              <w:t>/</w:t>
            </w:r>
            <w:r>
              <w:rPr>
                <w:rFonts w:hint="eastAsia"/>
                <w:color w:val="auto"/>
                <w:szCs w:val="21"/>
              </w:rPr>
              <w:t>预算数）×</w:t>
            </w:r>
            <w:r>
              <w:rPr>
                <w:color w:val="auto"/>
                <w:szCs w:val="21"/>
              </w:rPr>
              <w:t>100%</w:t>
            </w:r>
            <w:r>
              <w:rPr>
                <w:rFonts w:hint="eastAsia"/>
                <w:color w:val="auto"/>
                <w:szCs w:val="21"/>
              </w:rPr>
              <w:t>。（未调整的计</w:t>
            </w:r>
            <w:r>
              <w:rPr>
                <w:color w:val="auto"/>
                <w:szCs w:val="21"/>
              </w:rPr>
              <w:t>2</w:t>
            </w:r>
            <w:r>
              <w:rPr>
                <w:rFonts w:hint="eastAsia"/>
                <w:color w:val="auto"/>
                <w:szCs w:val="21"/>
              </w:rPr>
              <w:t>分，调整了的除特殊原因外按比例扣减）</w:t>
            </w:r>
          </w:p>
          <w:p>
            <w:pPr>
              <w:spacing w:line="260" w:lineRule="exact"/>
              <w:rPr>
                <w:color w:val="auto"/>
                <w:szCs w:val="21"/>
              </w:rPr>
            </w:pPr>
            <w:r>
              <w:rPr>
                <w:rFonts w:hint="eastAsia"/>
                <w:color w:val="auto"/>
                <w:szCs w:val="21"/>
              </w:rPr>
              <w:t>预算调整数：部门（单位）在本年度内涉及预算的追加、追减或结构调整的资金总和（因落实国家政策、发生不可抗力、上级部门或本级党委政府临时交办而产生的调整除外）。</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0</w:t>
            </w:r>
          </w:p>
        </w:tc>
        <w:tc>
          <w:tcPr>
            <w:tcW w:w="410" w:type="pct"/>
            <w:tcBorders>
              <w:top w:val="nil"/>
              <w:left w:val="nil"/>
              <w:bottom w:val="single" w:color="auto" w:sz="4" w:space="0"/>
              <w:right w:val="single" w:color="auto" w:sz="12" w:space="0"/>
            </w:tcBorders>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eastAsia="宋体"/>
                <w:color w:val="auto"/>
                <w:kern w:val="0"/>
                <w:sz w:val="21"/>
                <w:szCs w:val="21"/>
              </w:rPr>
            </w:pPr>
            <w:r>
              <w:rPr>
                <w:rFonts w:hint="eastAsia" w:eastAsia="宋体"/>
                <w:color w:val="auto"/>
                <w:kern w:val="0"/>
                <w:sz w:val="21"/>
                <w:szCs w:val="21"/>
              </w:rPr>
              <w:t>　预算调整率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eastAsia="宋体"/>
                <w:color w:val="auto"/>
                <w:kern w:val="0"/>
                <w:sz w:val="21"/>
                <w:szCs w:val="21"/>
              </w:rPr>
            </w:pPr>
            <w:r>
              <w:rPr>
                <w:rFonts w:eastAsia="宋体"/>
                <w:color w:val="auto"/>
                <w:kern w:val="0"/>
                <w:sz w:val="21"/>
                <w:szCs w:val="21"/>
              </w:rPr>
              <w:t>=</w:t>
            </w:r>
            <w:r>
              <w:rPr>
                <w:rFonts w:hint="eastAsia" w:eastAsia="宋体"/>
                <w:color w:val="auto"/>
                <w:kern w:val="0"/>
                <w:sz w:val="21"/>
                <w:szCs w:val="21"/>
              </w:rPr>
              <w:t>（</w:t>
            </w:r>
            <w:r>
              <w:rPr>
                <w:rFonts w:hint="eastAsia"/>
                <w:color w:val="auto"/>
                <w:kern w:val="0"/>
                <w:sz w:val="21"/>
                <w:szCs w:val="21"/>
                <w:lang w:val="en-US" w:eastAsia="zh-CN"/>
              </w:rPr>
              <w:t>348.31</w:t>
            </w:r>
            <w:r>
              <w:rPr>
                <w:rFonts w:hint="eastAsia" w:eastAsia="宋体"/>
                <w:color w:val="auto"/>
                <w:kern w:val="0"/>
                <w:sz w:val="21"/>
                <w:szCs w:val="21"/>
                <w:lang w:val="en-US" w:eastAsia="zh-CN"/>
              </w:rPr>
              <w:t>万</w:t>
            </w:r>
            <w:r>
              <w:rPr>
                <w:rFonts w:eastAsia="宋体"/>
                <w:color w:val="auto"/>
                <w:kern w:val="0"/>
                <w:sz w:val="21"/>
                <w:szCs w:val="21"/>
              </w:rPr>
              <w:t>/</w:t>
            </w:r>
            <w:r>
              <w:rPr>
                <w:rFonts w:hint="eastAsia"/>
                <w:color w:val="auto"/>
                <w:kern w:val="0"/>
                <w:sz w:val="21"/>
                <w:szCs w:val="21"/>
                <w:lang w:val="en-US" w:eastAsia="zh-CN"/>
              </w:rPr>
              <w:t>220.44</w:t>
            </w:r>
            <w:r>
              <w:rPr>
                <w:rFonts w:hint="eastAsia" w:eastAsia="宋体"/>
                <w:color w:val="auto"/>
                <w:kern w:val="0"/>
                <w:sz w:val="21"/>
                <w:szCs w:val="21"/>
                <w:lang w:val="en-US" w:eastAsia="zh-CN"/>
              </w:rPr>
              <w:t>万</w:t>
            </w:r>
            <w:r>
              <w:rPr>
                <w:rFonts w:hint="eastAsia" w:eastAsia="宋体"/>
                <w:color w:val="auto"/>
                <w:kern w:val="0"/>
                <w:sz w:val="21"/>
                <w:szCs w:val="21"/>
              </w:rPr>
              <w:t>）</w:t>
            </w:r>
            <w:r>
              <w:rPr>
                <w:rFonts w:eastAsia="宋体"/>
                <w:color w:val="auto"/>
                <w:kern w:val="0"/>
                <w:sz w:val="21"/>
                <w:szCs w:val="21"/>
              </w:rPr>
              <w:t>×100%</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lang w:val="en-US" w:eastAsia="zh-CN"/>
              </w:rPr>
              <w:t>=</w:t>
            </w:r>
            <w:r>
              <w:rPr>
                <w:rFonts w:hint="eastAsia"/>
                <w:color w:val="auto"/>
                <w:kern w:val="0"/>
                <w:sz w:val="21"/>
                <w:szCs w:val="21"/>
                <w:lang w:val="en-US" w:eastAsia="zh-CN"/>
              </w:rPr>
              <w:t>158%</w:t>
            </w:r>
          </w:p>
        </w:tc>
      </w:tr>
      <w:tr>
        <w:tblPrEx>
          <w:tblCellMar>
            <w:top w:w="0" w:type="dxa"/>
            <w:left w:w="28" w:type="dxa"/>
            <w:bottom w:w="0" w:type="dxa"/>
            <w:right w:w="28" w:type="dxa"/>
          </w:tblCellMar>
        </w:tblPrEx>
        <w:trPr>
          <w:trHeight w:val="1800"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60" w:lineRule="exact"/>
              <w:jc w:val="center"/>
              <w:rPr>
                <w:color w:val="auto"/>
                <w:szCs w:val="21"/>
              </w:rPr>
            </w:pPr>
          </w:p>
        </w:tc>
        <w:tc>
          <w:tcPr>
            <w:tcW w:w="278" w:type="pct"/>
            <w:vMerge w:val="continue"/>
            <w:tcBorders>
              <w:left w:val="single" w:color="auto" w:sz="4" w:space="0"/>
              <w:right w:val="single" w:color="auto" w:sz="4" w:space="0"/>
            </w:tcBorders>
            <w:shd w:val="clear" w:color="auto" w:fill="auto"/>
            <w:noWrap w:val="0"/>
            <w:vAlign w:val="center"/>
          </w:tcPr>
          <w:p>
            <w:pPr>
              <w:spacing w:line="26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支付进度率（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部门（单位）实际支付进度与既定支付进度的比率，用以反映和考核部门（单位）预算执行的及时性和均衡性程度。</w:t>
            </w:r>
          </w:p>
        </w:tc>
        <w:tc>
          <w:tcPr>
            <w:tcW w:w="1536"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支付进度率</w:t>
            </w:r>
            <w:r>
              <w:rPr>
                <w:color w:val="auto"/>
                <w:szCs w:val="21"/>
              </w:rPr>
              <w:t>=</w:t>
            </w:r>
            <w:r>
              <w:rPr>
                <w:rFonts w:hint="eastAsia"/>
                <w:color w:val="auto"/>
                <w:szCs w:val="21"/>
              </w:rPr>
              <w:t>（实际支付进度</w:t>
            </w:r>
            <w:r>
              <w:rPr>
                <w:color w:val="auto"/>
                <w:szCs w:val="21"/>
              </w:rPr>
              <w:t>/</w:t>
            </w:r>
            <w:r>
              <w:rPr>
                <w:rFonts w:hint="eastAsia"/>
                <w:color w:val="auto"/>
                <w:szCs w:val="21"/>
              </w:rPr>
              <w:t>既定支付进度）×</w:t>
            </w:r>
            <w:r>
              <w:rPr>
                <w:color w:val="auto"/>
                <w:szCs w:val="21"/>
              </w:rPr>
              <w:t>100%</w:t>
            </w:r>
            <w:r>
              <w:rPr>
                <w:rFonts w:hint="eastAsia"/>
                <w:color w:val="auto"/>
                <w:szCs w:val="21"/>
              </w:rPr>
              <w:t>。完成年终进度的计</w:t>
            </w:r>
            <w:r>
              <w:rPr>
                <w:color w:val="auto"/>
                <w:szCs w:val="21"/>
              </w:rPr>
              <w:t>1</w:t>
            </w:r>
            <w:r>
              <w:rPr>
                <w:rFonts w:hint="eastAsia"/>
                <w:color w:val="auto"/>
                <w:szCs w:val="21"/>
              </w:rPr>
              <w:t>分，按季度完成预算进度的计</w:t>
            </w:r>
            <w:r>
              <w:rPr>
                <w:color w:val="auto"/>
                <w:szCs w:val="21"/>
              </w:rPr>
              <w:t>1</w:t>
            </w:r>
            <w:r>
              <w:rPr>
                <w:rFonts w:hint="eastAsia"/>
                <w:color w:val="auto"/>
                <w:szCs w:val="21"/>
              </w:rPr>
              <w:t>分。</w:t>
            </w:r>
          </w:p>
          <w:p>
            <w:pPr>
              <w:spacing w:line="260" w:lineRule="exact"/>
              <w:rPr>
                <w:color w:val="auto"/>
                <w:szCs w:val="21"/>
              </w:rPr>
            </w:pPr>
            <w:r>
              <w:rPr>
                <w:rFonts w:hint="eastAsia"/>
                <w:color w:val="auto"/>
                <w:szCs w:val="21"/>
              </w:rPr>
              <w:t>实际支付进度：部门（单位）在某一时点的支出预算执行总数与年度支出预算数的比率。</w:t>
            </w:r>
          </w:p>
          <w:p>
            <w:pPr>
              <w:spacing w:line="260" w:lineRule="exact"/>
              <w:rPr>
                <w:color w:val="auto"/>
                <w:szCs w:val="21"/>
              </w:rPr>
            </w:pPr>
            <w:r>
              <w:rPr>
                <w:rFonts w:hint="eastAsia"/>
                <w:color w:val="auto"/>
                <w:szCs w:val="21"/>
              </w:rPr>
              <w:t>既定支付进度：由部门（单位）在申报部门整体绩效目标时，参照序时支付进度、前三年支付进度、同级部门平均支付进度水平等确定的，在某一时点应达到的支付进度（比率）。</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szCs w:val="21"/>
                <w:lang w:eastAsia="zh-CN"/>
              </w:rPr>
            </w:pPr>
            <w:r>
              <w:rPr>
                <w:rFonts w:hint="eastAsia"/>
                <w:color w:val="auto"/>
                <w:szCs w:val="21"/>
                <w:lang w:eastAsia="zh-CN"/>
              </w:rPr>
              <w:t>年终支付进度率和季度</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Cs w:val="21"/>
                <w:lang w:eastAsia="zh-CN"/>
              </w:rPr>
              <w:t>支付进度完成率均为</w:t>
            </w:r>
            <w:r>
              <w:rPr>
                <w:rFonts w:hint="eastAsia"/>
                <w:color w:val="auto"/>
                <w:szCs w:val="21"/>
                <w:lang w:val="en-US" w:eastAsia="zh-CN"/>
              </w:rPr>
              <w:t>100%。</w:t>
            </w:r>
          </w:p>
        </w:tc>
      </w:tr>
      <w:tr>
        <w:tblPrEx>
          <w:tblCellMar>
            <w:top w:w="0" w:type="dxa"/>
            <w:left w:w="28" w:type="dxa"/>
            <w:bottom w:w="0" w:type="dxa"/>
            <w:right w:w="28" w:type="dxa"/>
          </w:tblCellMar>
        </w:tblPrEx>
        <w:trPr>
          <w:trHeight w:val="1035"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60" w:lineRule="exact"/>
              <w:jc w:val="center"/>
              <w:rPr>
                <w:color w:val="auto"/>
                <w:szCs w:val="21"/>
              </w:rPr>
            </w:pPr>
          </w:p>
        </w:tc>
        <w:tc>
          <w:tcPr>
            <w:tcW w:w="278" w:type="pct"/>
            <w:vMerge w:val="continue"/>
            <w:tcBorders>
              <w:left w:val="single" w:color="auto" w:sz="4" w:space="0"/>
              <w:right w:val="single" w:color="auto" w:sz="4" w:space="0"/>
            </w:tcBorders>
            <w:shd w:val="clear" w:color="auto" w:fill="auto"/>
            <w:noWrap w:val="0"/>
            <w:vAlign w:val="center"/>
          </w:tcPr>
          <w:p>
            <w:pPr>
              <w:spacing w:line="26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结转结余率（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部门（单位）本年度结转结余总额与支出预算数的比率，用以反映和考核部门（单位）对本年度结转结余资金的实际控制程度。</w:t>
            </w:r>
          </w:p>
        </w:tc>
        <w:tc>
          <w:tcPr>
            <w:tcW w:w="1536"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结转结余率</w:t>
            </w:r>
            <w:r>
              <w:rPr>
                <w:color w:val="auto"/>
                <w:szCs w:val="21"/>
              </w:rPr>
              <w:t>=</w:t>
            </w:r>
            <w:r>
              <w:rPr>
                <w:rFonts w:hint="eastAsia"/>
                <w:color w:val="auto"/>
                <w:szCs w:val="21"/>
              </w:rPr>
              <w:t>结转结余总额</w:t>
            </w:r>
            <w:r>
              <w:rPr>
                <w:color w:val="auto"/>
                <w:szCs w:val="21"/>
              </w:rPr>
              <w:t>/</w:t>
            </w:r>
            <w:r>
              <w:rPr>
                <w:rFonts w:hint="eastAsia"/>
                <w:color w:val="auto"/>
                <w:szCs w:val="21"/>
              </w:rPr>
              <w:t>支出预算数×</w:t>
            </w:r>
            <w:r>
              <w:rPr>
                <w:color w:val="auto"/>
                <w:szCs w:val="21"/>
              </w:rPr>
              <w:t>100%</w:t>
            </w:r>
            <w:r>
              <w:rPr>
                <w:rFonts w:hint="eastAsia"/>
                <w:color w:val="auto"/>
                <w:szCs w:val="21"/>
              </w:rPr>
              <w:t>。低于</w:t>
            </w:r>
            <w:r>
              <w:rPr>
                <w:color w:val="auto"/>
                <w:szCs w:val="21"/>
              </w:rPr>
              <w:t>5%</w:t>
            </w:r>
            <w:r>
              <w:rPr>
                <w:rFonts w:hint="eastAsia"/>
                <w:color w:val="auto"/>
                <w:szCs w:val="21"/>
              </w:rPr>
              <w:t>的计</w:t>
            </w:r>
            <w:r>
              <w:rPr>
                <w:color w:val="auto"/>
                <w:szCs w:val="21"/>
              </w:rPr>
              <w:t>1</w:t>
            </w:r>
            <w:r>
              <w:rPr>
                <w:rFonts w:hint="eastAsia"/>
                <w:color w:val="auto"/>
                <w:szCs w:val="21"/>
              </w:rPr>
              <w:t>分，每超过</w:t>
            </w:r>
            <w:r>
              <w:rPr>
                <w:color w:val="auto"/>
                <w:szCs w:val="21"/>
              </w:rPr>
              <w:t>5</w:t>
            </w:r>
            <w:r>
              <w:rPr>
                <w:rFonts w:hint="eastAsia"/>
                <w:color w:val="auto"/>
                <w:szCs w:val="21"/>
              </w:rPr>
              <w:t>个百分点扣</w:t>
            </w:r>
            <w:r>
              <w:rPr>
                <w:color w:val="auto"/>
                <w:szCs w:val="21"/>
              </w:rPr>
              <w:t>1</w:t>
            </w:r>
            <w:r>
              <w:rPr>
                <w:rFonts w:hint="eastAsia"/>
                <w:color w:val="auto"/>
                <w:szCs w:val="21"/>
              </w:rPr>
              <w:t>分，扣完为止。</w:t>
            </w:r>
          </w:p>
          <w:p>
            <w:pPr>
              <w:spacing w:line="260" w:lineRule="exact"/>
              <w:rPr>
                <w:color w:val="auto"/>
                <w:szCs w:val="21"/>
              </w:rPr>
            </w:pPr>
            <w:r>
              <w:rPr>
                <w:rFonts w:hint="eastAsia"/>
                <w:color w:val="auto"/>
                <w:szCs w:val="21"/>
              </w:rPr>
              <w:t>结转结余总额：部门（单位）本年度的结转资金与结余资金之和（以决算数为准）。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结转结余率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=0/348.31*100%=0%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（低于5%）</w:t>
            </w:r>
          </w:p>
        </w:tc>
      </w:tr>
      <w:tr>
        <w:tblPrEx>
          <w:tblCellMar>
            <w:top w:w="0" w:type="dxa"/>
            <w:left w:w="28" w:type="dxa"/>
            <w:bottom w:w="0" w:type="dxa"/>
            <w:right w:w="28" w:type="dxa"/>
          </w:tblCellMar>
        </w:tblPrEx>
        <w:trPr>
          <w:trHeight w:val="1247" w:hRule="atLeast"/>
          <w:jc w:val="center"/>
        </w:trPr>
        <w:tc>
          <w:tcPr>
            <w:tcW w:w="776" w:type="pct"/>
            <w:vMerge w:val="continue"/>
            <w:tcBorders>
              <w:left w:val="single" w:color="auto" w:sz="12" w:space="0"/>
              <w:bottom w:val="single" w:color="000000" w:sz="4" w:space="0"/>
              <w:right w:val="single" w:color="auto" w:sz="4" w:space="0"/>
            </w:tcBorders>
            <w:shd w:val="clear" w:color="auto" w:fill="auto"/>
            <w:noWrap w:val="0"/>
            <w:vAlign w:val="center"/>
          </w:tcPr>
          <w:p>
            <w:pPr>
              <w:spacing w:line="260" w:lineRule="exact"/>
              <w:jc w:val="center"/>
              <w:rPr>
                <w:color w:val="auto"/>
                <w:szCs w:val="21"/>
              </w:rPr>
            </w:pPr>
          </w:p>
        </w:tc>
        <w:tc>
          <w:tcPr>
            <w:tcW w:w="278" w:type="pct"/>
            <w:vMerge w:val="continue"/>
            <w:tcBorders>
              <w:left w:val="single" w:color="auto" w:sz="4" w:space="0"/>
              <w:bottom w:val="single" w:color="000000" w:sz="4" w:space="0"/>
              <w:right w:val="single" w:color="auto" w:sz="4" w:space="0"/>
            </w:tcBorders>
            <w:shd w:val="clear" w:color="auto" w:fill="auto"/>
            <w:noWrap w:val="0"/>
            <w:vAlign w:val="center"/>
          </w:tcPr>
          <w:p>
            <w:pPr>
              <w:spacing w:line="26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结转结余变动率（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部门（单位）本年度结转结余资金总额与上年度结转结余资金总额的变动比率，用以反映和考核部门（单位）对控制结转结余资金的努力程度。</w:t>
            </w:r>
          </w:p>
        </w:tc>
        <w:tc>
          <w:tcPr>
            <w:tcW w:w="1536"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结转结余变动率</w:t>
            </w:r>
            <w:r>
              <w:rPr>
                <w:color w:val="auto"/>
                <w:szCs w:val="21"/>
              </w:rPr>
              <w:t>=[</w:t>
            </w:r>
            <w:r>
              <w:rPr>
                <w:rFonts w:hint="eastAsia"/>
                <w:color w:val="auto"/>
                <w:szCs w:val="21"/>
              </w:rPr>
              <w:t>（本年度累计结转结余资金总额</w:t>
            </w:r>
            <w:r>
              <w:rPr>
                <w:color w:val="auto"/>
                <w:szCs w:val="21"/>
              </w:rPr>
              <w:t>-</w:t>
            </w:r>
            <w:r>
              <w:rPr>
                <w:rFonts w:hint="eastAsia"/>
                <w:color w:val="auto"/>
                <w:szCs w:val="21"/>
              </w:rPr>
              <w:t>上年度累计结转结余资金总额）</w:t>
            </w:r>
            <w:r>
              <w:rPr>
                <w:color w:val="auto"/>
                <w:szCs w:val="21"/>
              </w:rPr>
              <w:t>/</w:t>
            </w:r>
            <w:r>
              <w:rPr>
                <w:rFonts w:hint="eastAsia"/>
                <w:color w:val="auto"/>
                <w:szCs w:val="21"/>
              </w:rPr>
              <w:t>上年度累计结转结余资金总额</w:t>
            </w:r>
            <w:r>
              <w:rPr>
                <w:color w:val="auto"/>
                <w:szCs w:val="21"/>
              </w:rPr>
              <w:t>]</w:t>
            </w:r>
            <w:r>
              <w:rPr>
                <w:rFonts w:hint="eastAsia"/>
                <w:color w:val="auto"/>
                <w:szCs w:val="21"/>
              </w:rPr>
              <w:t>×</w:t>
            </w:r>
            <w:r>
              <w:rPr>
                <w:color w:val="auto"/>
                <w:szCs w:val="21"/>
              </w:rPr>
              <w:t>100%</w:t>
            </w:r>
            <w:r>
              <w:rPr>
                <w:rFonts w:hint="eastAsia"/>
                <w:color w:val="auto"/>
                <w:szCs w:val="21"/>
              </w:rPr>
              <w:t>。（低于</w:t>
            </w:r>
            <w:r>
              <w:rPr>
                <w:color w:val="auto"/>
                <w:szCs w:val="21"/>
              </w:rPr>
              <w:t>15%</w:t>
            </w:r>
            <w:r>
              <w:rPr>
                <w:rFonts w:hint="eastAsia"/>
                <w:color w:val="auto"/>
                <w:szCs w:val="21"/>
              </w:rPr>
              <w:t>的计</w:t>
            </w:r>
            <w:r>
              <w:rPr>
                <w:color w:val="auto"/>
                <w:szCs w:val="21"/>
              </w:rPr>
              <w:t>2</w:t>
            </w:r>
            <w:r>
              <w:rPr>
                <w:rFonts w:hint="eastAsia"/>
                <w:color w:val="auto"/>
                <w:szCs w:val="21"/>
              </w:rPr>
              <w:t>分，每超过</w:t>
            </w:r>
            <w:r>
              <w:rPr>
                <w:color w:val="auto"/>
                <w:szCs w:val="21"/>
              </w:rPr>
              <w:t>5</w:t>
            </w:r>
            <w:r>
              <w:rPr>
                <w:rFonts w:hint="eastAsia"/>
                <w:color w:val="auto"/>
                <w:szCs w:val="21"/>
              </w:rPr>
              <w:t>个百分点扣</w:t>
            </w:r>
            <w:r>
              <w:rPr>
                <w:color w:val="auto"/>
                <w:szCs w:val="21"/>
              </w:rPr>
              <w:t>1</w:t>
            </w:r>
            <w:r>
              <w:rPr>
                <w:rFonts w:hint="eastAsia"/>
                <w:color w:val="auto"/>
                <w:szCs w:val="21"/>
              </w:rPr>
              <w:t>分，扣完为止）</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结转结余变动率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=（0-0）/0*100%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（低于15%）</w:t>
            </w:r>
          </w:p>
        </w:tc>
      </w:tr>
      <w:tr>
        <w:tblPrEx>
          <w:tblCellMar>
            <w:top w:w="0" w:type="dxa"/>
            <w:left w:w="28" w:type="dxa"/>
            <w:bottom w:w="0" w:type="dxa"/>
            <w:right w:w="28" w:type="dxa"/>
          </w:tblCellMar>
        </w:tblPrEx>
        <w:trPr>
          <w:trHeight w:val="1153" w:hRule="atLeast"/>
          <w:jc w:val="center"/>
        </w:trPr>
        <w:tc>
          <w:tcPr>
            <w:tcW w:w="776" w:type="pct"/>
            <w:vMerge w:val="restart"/>
            <w:tcBorders>
              <w:top w:val="nil"/>
              <w:left w:val="single" w:color="auto" w:sz="12" w:space="0"/>
              <w:right w:val="single" w:color="auto" w:sz="4" w:space="0"/>
            </w:tcBorders>
            <w:shd w:val="clear" w:color="auto" w:fill="auto"/>
            <w:noWrap w:val="0"/>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8" w:type="pct"/>
            <w:vMerge w:val="restart"/>
            <w:tcBorders>
              <w:top w:val="nil"/>
              <w:left w:val="single" w:color="auto" w:sz="4" w:space="0"/>
              <w:right w:val="single" w:color="auto" w:sz="4" w:space="0"/>
            </w:tcBorders>
            <w:shd w:val="clear" w:color="auto" w:fill="auto"/>
            <w:noWrap w:val="0"/>
            <w:vAlign w:val="center"/>
          </w:tcPr>
          <w:p>
            <w:pPr>
              <w:spacing w:line="260" w:lineRule="exact"/>
              <w:jc w:val="center"/>
              <w:rPr>
                <w:color w:val="auto"/>
                <w:szCs w:val="21"/>
              </w:rPr>
            </w:pPr>
            <w:r>
              <w:rPr>
                <w:rFonts w:hint="eastAsia"/>
                <w:color w:val="auto"/>
                <w:szCs w:val="21"/>
              </w:rPr>
              <w:t>预算执行（</w:t>
            </w:r>
            <w:r>
              <w:rPr>
                <w:color w:val="auto"/>
                <w:szCs w:val="21"/>
              </w:rPr>
              <w:t>20</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公用经费控制率（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部门（单位）本年度实际支出的公用经费总额与预算安排的公用经费总额的比率，用以反映和考核部门（单位）对机构运转成本的实际控制程度。</w:t>
            </w:r>
          </w:p>
        </w:tc>
        <w:tc>
          <w:tcPr>
            <w:tcW w:w="1536"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公用经费控制率</w:t>
            </w:r>
            <w:r>
              <w:rPr>
                <w:color w:val="auto"/>
                <w:szCs w:val="21"/>
              </w:rPr>
              <w:t>=</w:t>
            </w:r>
            <w:r>
              <w:rPr>
                <w:rFonts w:hint="eastAsia"/>
                <w:color w:val="auto"/>
                <w:szCs w:val="21"/>
              </w:rPr>
              <w:t>（实际支出公用经费总额</w:t>
            </w:r>
            <w:r>
              <w:rPr>
                <w:color w:val="auto"/>
                <w:szCs w:val="21"/>
              </w:rPr>
              <w:t>/</w:t>
            </w:r>
            <w:r>
              <w:rPr>
                <w:rFonts w:hint="eastAsia"/>
                <w:color w:val="auto"/>
                <w:szCs w:val="21"/>
              </w:rPr>
              <w:t>预算安排公用经费总额）×</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分，每超过</w:t>
            </w:r>
            <w:r>
              <w:rPr>
                <w:color w:val="auto"/>
                <w:szCs w:val="21"/>
              </w:rPr>
              <w:t>1</w:t>
            </w:r>
            <w:r>
              <w:rPr>
                <w:rFonts w:hint="eastAsia"/>
                <w:color w:val="auto"/>
                <w:szCs w:val="21"/>
              </w:rPr>
              <w:t>个百分点扣</w:t>
            </w:r>
            <w:r>
              <w:rPr>
                <w:color w:val="auto"/>
                <w:szCs w:val="21"/>
              </w:rPr>
              <w:t>0.1</w:t>
            </w:r>
            <w:r>
              <w:rPr>
                <w:rFonts w:hint="eastAsia"/>
                <w:color w:val="auto"/>
                <w:szCs w:val="21"/>
              </w:rPr>
              <w:t>分，扣完为止）</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0.9</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公用经费控制率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=25.14/28.26*100%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val="en-US" w:eastAsia="zh-CN"/>
              </w:rPr>
            </w:pPr>
            <w:r>
              <w:rPr>
                <w:rFonts w:hint="eastAsia"/>
                <w:color w:val="auto"/>
                <w:szCs w:val="21"/>
                <w:lang w:val="en-US" w:eastAsia="zh-CN"/>
              </w:rPr>
              <w:t>=88.96%</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1"/>
                <w:lang w:val="en-US" w:eastAsia="zh-CN" w:bidi="ar-SA"/>
              </w:rPr>
            </w:pPr>
            <w:r>
              <w:rPr>
                <w:rFonts w:hint="eastAsia"/>
                <w:color w:val="auto"/>
                <w:szCs w:val="21"/>
                <w:lang w:val="en-US" w:eastAsia="zh-CN"/>
              </w:rPr>
              <w:t>(公用经费控制率88.96%)</w:t>
            </w:r>
          </w:p>
        </w:tc>
      </w:tr>
      <w:tr>
        <w:tblPrEx>
          <w:tblCellMar>
            <w:top w:w="0" w:type="dxa"/>
            <w:left w:w="28" w:type="dxa"/>
            <w:bottom w:w="0" w:type="dxa"/>
            <w:right w:w="28" w:type="dxa"/>
          </w:tblCellMar>
        </w:tblPrEx>
        <w:trPr>
          <w:trHeight w:val="1172"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80" w:lineRule="exact"/>
              <w:jc w:val="center"/>
              <w:rPr>
                <w:color w:val="auto"/>
                <w:szCs w:val="21"/>
              </w:rPr>
            </w:pPr>
          </w:p>
        </w:tc>
        <w:tc>
          <w:tcPr>
            <w:tcW w:w="278" w:type="pct"/>
            <w:vMerge w:val="continue"/>
            <w:tcBorders>
              <w:left w:val="single" w:color="auto" w:sz="4" w:space="0"/>
              <w:right w:val="single" w:color="auto" w:sz="4" w:space="0"/>
            </w:tcBorders>
            <w:shd w:val="clear" w:color="auto" w:fill="auto"/>
            <w:noWrap w:val="0"/>
            <w:vAlign w:val="center"/>
          </w:tcPr>
          <w:p>
            <w:pPr>
              <w:spacing w:line="28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“三公经费”控制率（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部门（单位）本年度“三公经费”实际支出数与预算安排数的比率，用以反映和考核部门（单位）对“三公经费”的实际控制程度。</w:t>
            </w:r>
          </w:p>
        </w:tc>
        <w:tc>
          <w:tcPr>
            <w:tcW w:w="1536"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“三公经费”控制率</w:t>
            </w:r>
            <w:r>
              <w:rPr>
                <w:color w:val="auto"/>
                <w:szCs w:val="21"/>
              </w:rPr>
              <w:t>=</w:t>
            </w:r>
            <w:r>
              <w:rPr>
                <w:rFonts w:hint="eastAsia"/>
                <w:color w:val="auto"/>
                <w:szCs w:val="21"/>
              </w:rPr>
              <w:t>（“三公经费”实际支出数</w:t>
            </w:r>
            <w:r>
              <w:rPr>
                <w:color w:val="auto"/>
                <w:szCs w:val="21"/>
              </w:rPr>
              <w:t>/</w:t>
            </w:r>
            <w:r>
              <w:rPr>
                <w:rFonts w:hint="eastAsia"/>
                <w:color w:val="auto"/>
                <w:szCs w:val="21"/>
              </w:rPr>
              <w:t>“三公经费”预算安排数）×</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分，每超过</w:t>
            </w:r>
            <w:r>
              <w:rPr>
                <w:color w:val="auto"/>
                <w:szCs w:val="21"/>
              </w:rPr>
              <w:t>1</w:t>
            </w:r>
            <w:r>
              <w:rPr>
                <w:rFonts w:hint="eastAsia"/>
                <w:color w:val="auto"/>
                <w:szCs w:val="21"/>
              </w:rPr>
              <w:t>个百分点扣</w:t>
            </w:r>
            <w:r>
              <w:rPr>
                <w:color w:val="auto"/>
                <w:szCs w:val="21"/>
              </w:rPr>
              <w:t>0.5</w:t>
            </w:r>
            <w:r>
              <w:rPr>
                <w:rFonts w:hint="eastAsia"/>
                <w:color w:val="auto"/>
                <w:szCs w:val="21"/>
              </w:rPr>
              <w:t>分，扣完为止）</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0</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“三公经费”控制率</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4"/>
                <w:lang w:val="en-US" w:eastAsia="zh-CN" w:bidi="ar-SA"/>
              </w:rPr>
            </w:pPr>
            <w:r>
              <w:rPr>
                <w:rFonts w:hint="eastAsia"/>
                <w:color w:val="auto"/>
                <w:szCs w:val="21"/>
                <w:lang w:val="en-US" w:eastAsia="zh-CN"/>
              </w:rPr>
              <w:t>=2.98/4.3*100%=69.3%</w:t>
            </w:r>
          </w:p>
        </w:tc>
      </w:tr>
      <w:tr>
        <w:tblPrEx>
          <w:tblCellMar>
            <w:top w:w="0" w:type="dxa"/>
            <w:left w:w="28" w:type="dxa"/>
            <w:bottom w:w="0" w:type="dxa"/>
            <w:right w:w="28" w:type="dxa"/>
          </w:tblCellMar>
        </w:tblPrEx>
        <w:trPr>
          <w:trHeight w:val="1500"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80" w:lineRule="exact"/>
              <w:jc w:val="center"/>
              <w:rPr>
                <w:color w:val="auto"/>
                <w:szCs w:val="21"/>
              </w:rPr>
            </w:pPr>
          </w:p>
        </w:tc>
        <w:tc>
          <w:tcPr>
            <w:tcW w:w="278" w:type="pct"/>
            <w:vMerge w:val="continue"/>
            <w:tcBorders>
              <w:left w:val="single" w:color="auto" w:sz="4" w:space="0"/>
              <w:bottom w:val="single" w:color="000000" w:sz="4" w:space="0"/>
              <w:right w:val="single" w:color="auto" w:sz="4" w:space="0"/>
            </w:tcBorders>
            <w:shd w:val="clear" w:color="auto" w:fill="auto"/>
            <w:noWrap w:val="0"/>
            <w:vAlign w:val="center"/>
          </w:tcPr>
          <w:p>
            <w:pPr>
              <w:spacing w:line="28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政府采购执行率（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部门（单位）本年度实际政府采购金额与年初政府采购预算的比率，用以反映和考核部门（单位）政府采购预算执行情况。</w:t>
            </w:r>
          </w:p>
        </w:tc>
        <w:tc>
          <w:tcPr>
            <w:tcW w:w="1536"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政府采购执行率</w:t>
            </w:r>
            <w:r>
              <w:rPr>
                <w:color w:val="auto"/>
                <w:szCs w:val="21"/>
              </w:rPr>
              <w:t>=</w:t>
            </w:r>
            <w:r>
              <w:rPr>
                <w:rFonts w:hint="eastAsia"/>
                <w:color w:val="auto"/>
                <w:szCs w:val="21"/>
              </w:rPr>
              <w:t>（实际政府采购金额</w:t>
            </w:r>
            <w:r>
              <w:rPr>
                <w:color w:val="auto"/>
                <w:szCs w:val="21"/>
              </w:rPr>
              <w:t>/</w:t>
            </w:r>
            <w:r>
              <w:rPr>
                <w:rFonts w:hint="eastAsia"/>
                <w:color w:val="auto"/>
                <w:szCs w:val="21"/>
              </w:rPr>
              <w:t>政府采购预算数）×</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分，每低于</w:t>
            </w:r>
            <w:r>
              <w:rPr>
                <w:color w:val="auto"/>
                <w:szCs w:val="21"/>
              </w:rPr>
              <w:t>1</w:t>
            </w:r>
            <w:r>
              <w:rPr>
                <w:rFonts w:hint="eastAsia"/>
                <w:color w:val="auto"/>
                <w:szCs w:val="21"/>
              </w:rPr>
              <w:t>个百分点扣</w:t>
            </w:r>
            <w:r>
              <w:rPr>
                <w:color w:val="auto"/>
                <w:szCs w:val="21"/>
              </w:rPr>
              <w:t>0.5</w:t>
            </w:r>
            <w:r>
              <w:rPr>
                <w:rFonts w:hint="eastAsia"/>
                <w:color w:val="auto"/>
                <w:szCs w:val="21"/>
              </w:rPr>
              <w:t>分，扣完为止）</w:t>
            </w:r>
          </w:p>
          <w:p>
            <w:pPr>
              <w:spacing w:line="280" w:lineRule="exact"/>
              <w:rPr>
                <w:color w:val="auto"/>
                <w:szCs w:val="21"/>
              </w:rPr>
            </w:pPr>
            <w:r>
              <w:rPr>
                <w:rFonts w:hint="eastAsia"/>
                <w:color w:val="auto"/>
                <w:szCs w:val="21"/>
              </w:rPr>
              <w:t>政府采购预算：采购机关根据事业发展计划和行政任务编制的、并经过规定程序批准的年度政府采购计划。</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val="en-US" w:eastAsia="zh-CN"/>
              </w:rPr>
            </w:pPr>
            <w:r>
              <w:rPr>
                <w:rFonts w:hint="eastAsia"/>
                <w:color w:val="auto"/>
                <w:lang w:val="en-US" w:eastAsia="zh-CN"/>
              </w:rPr>
              <w:t>2022年无政府采购项目，</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color w:val="auto"/>
                <w:kern w:val="2"/>
                <w:sz w:val="21"/>
                <w:szCs w:val="24"/>
                <w:lang w:val="en-US" w:eastAsia="zh-CN" w:bidi="ar-SA"/>
              </w:rPr>
            </w:pPr>
            <w:r>
              <w:rPr>
                <w:rFonts w:hint="eastAsia"/>
                <w:color w:val="auto"/>
                <w:lang w:val="en-US" w:eastAsia="zh-CN"/>
              </w:rPr>
              <w:t>但严格遵守政府采购规定。</w:t>
            </w:r>
          </w:p>
        </w:tc>
      </w:tr>
      <w:tr>
        <w:tblPrEx>
          <w:tblCellMar>
            <w:top w:w="0" w:type="dxa"/>
            <w:left w:w="28" w:type="dxa"/>
            <w:bottom w:w="0" w:type="dxa"/>
            <w:right w:w="28" w:type="dxa"/>
          </w:tblCellMar>
        </w:tblPrEx>
        <w:trPr>
          <w:trHeight w:val="1635"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280" w:lineRule="exact"/>
              <w:jc w:val="center"/>
              <w:rPr>
                <w:color w:val="auto"/>
                <w:szCs w:val="21"/>
              </w:rPr>
            </w:pPr>
          </w:p>
        </w:tc>
        <w:tc>
          <w:tcPr>
            <w:tcW w:w="278" w:type="pct"/>
            <w:vMerge w:val="restart"/>
            <w:tcBorders>
              <w:top w:val="nil"/>
              <w:left w:val="single" w:color="auto" w:sz="4" w:space="0"/>
              <w:right w:val="single" w:color="auto" w:sz="4" w:space="0"/>
            </w:tcBorders>
            <w:shd w:val="clear" w:color="auto" w:fill="auto"/>
            <w:noWrap w:val="0"/>
            <w:vAlign w:val="center"/>
          </w:tcPr>
          <w:p>
            <w:pPr>
              <w:spacing w:line="280" w:lineRule="exact"/>
              <w:jc w:val="center"/>
              <w:rPr>
                <w:color w:val="auto"/>
                <w:szCs w:val="21"/>
              </w:rPr>
            </w:pPr>
            <w:r>
              <w:rPr>
                <w:rFonts w:hint="eastAsia"/>
                <w:color w:val="auto"/>
                <w:szCs w:val="21"/>
              </w:rPr>
              <w:t>预算管理（</w:t>
            </w:r>
            <w:r>
              <w:rPr>
                <w:color w:val="auto"/>
                <w:szCs w:val="21"/>
              </w:rPr>
              <w:t>5</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管理制度健全性（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部门（单位）为加强预算管理、规范财务行为而制定的管理制度是否健全完整，用以反映和考核部门（单位）预算管理制度对完成主要职责或促进事业发展的保障情况。</w:t>
            </w:r>
          </w:p>
        </w:tc>
        <w:tc>
          <w:tcPr>
            <w:tcW w:w="1536"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①是否已制定或具有预算资金管理办法、内部财务管理制度、会计核算制度等管理制度；（</w:t>
            </w:r>
            <w:r>
              <w:rPr>
                <w:color w:val="auto"/>
                <w:szCs w:val="21"/>
              </w:rPr>
              <w:t>1</w:t>
            </w:r>
            <w:r>
              <w:rPr>
                <w:rFonts w:hint="eastAsia"/>
                <w:color w:val="auto"/>
                <w:szCs w:val="21"/>
              </w:rPr>
              <w:t>分）</w:t>
            </w:r>
          </w:p>
          <w:p>
            <w:pPr>
              <w:spacing w:line="280" w:lineRule="exact"/>
              <w:rPr>
                <w:color w:val="auto"/>
                <w:szCs w:val="21"/>
              </w:rPr>
            </w:pPr>
            <w:r>
              <w:rPr>
                <w:rFonts w:hint="eastAsia"/>
                <w:color w:val="auto"/>
                <w:szCs w:val="21"/>
              </w:rPr>
              <w:t>②相关管理制度是否合法、合规、完整；（</w:t>
            </w:r>
            <w:r>
              <w:rPr>
                <w:color w:val="auto"/>
                <w:szCs w:val="21"/>
              </w:rPr>
              <w:t>0.5</w:t>
            </w:r>
            <w:r>
              <w:rPr>
                <w:rFonts w:hint="eastAsia"/>
                <w:color w:val="auto"/>
                <w:szCs w:val="21"/>
              </w:rPr>
              <w:t>分）</w:t>
            </w:r>
          </w:p>
          <w:p>
            <w:pPr>
              <w:spacing w:line="280" w:lineRule="exact"/>
              <w:rPr>
                <w:color w:val="auto"/>
                <w:szCs w:val="21"/>
              </w:rPr>
            </w:pPr>
            <w:r>
              <w:rPr>
                <w:rFonts w:hint="eastAsia"/>
                <w:color w:val="auto"/>
                <w:szCs w:val="21"/>
              </w:rPr>
              <w:t>③相关管理制度是否得到有效执行。（</w:t>
            </w:r>
            <w:r>
              <w:rPr>
                <w:color w:val="auto"/>
                <w:szCs w:val="21"/>
              </w:rPr>
              <w:t>0.5</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已制定合法、合规、完整的预算</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eastAsia="zh-CN"/>
              </w:rPr>
            </w:pPr>
            <w:r>
              <w:rPr>
                <w:rFonts w:hint="eastAsia"/>
                <w:color w:val="auto"/>
                <w:szCs w:val="21"/>
                <w:lang w:eastAsia="zh-CN"/>
              </w:rPr>
              <w:t>资金管理办法、内部财务管理</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color w:val="auto"/>
                <w:szCs w:val="21"/>
                <w:lang w:eastAsia="zh-CN"/>
              </w:rPr>
            </w:pPr>
            <w:r>
              <w:rPr>
                <w:rFonts w:hint="eastAsia"/>
                <w:color w:val="auto"/>
                <w:szCs w:val="21"/>
                <w:lang w:eastAsia="zh-CN"/>
              </w:rPr>
              <w:t>制度、会计核算制度等管理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color w:val="auto"/>
                <w:kern w:val="2"/>
                <w:sz w:val="21"/>
                <w:szCs w:val="21"/>
                <w:lang w:val="en-US" w:eastAsia="zh-CN" w:bidi="ar-SA"/>
              </w:rPr>
            </w:pPr>
            <w:r>
              <w:rPr>
                <w:rFonts w:hint="eastAsia"/>
                <w:color w:val="auto"/>
                <w:szCs w:val="21"/>
                <w:lang w:eastAsia="zh-CN"/>
              </w:rPr>
              <w:t>制度，并得到有效执行。</w:t>
            </w:r>
          </w:p>
        </w:tc>
      </w:tr>
      <w:tr>
        <w:tblPrEx>
          <w:tblCellMar>
            <w:top w:w="0" w:type="dxa"/>
            <w:left w:w="28" w:type="dxa"/>
            <w:bottom w:w="0" w:type="dxa"/>
            <w:right w:w="28" w:type="dxa"/>
          </w:tblCellMar>
        </w:tblPrEx>
        <w:trPr>
          <w:trHeight w:val="2334" w:hRule="atLeast"/>
          <w:jc w:val="center"/>
        </w:trPr>
        <w:tc>
          <w:tcPr>
            <w:tcW w:w="776" w:type="pct"/>
            <w:vMerge w:val="continue"/>
            <w:tcBorders>
              <w:left w:val="single" w:color="auto" w:sz="12" w:space="0"/>
              <w:bottom w:val="single" w:color="000000" w:sz="4" w:space="0"/>
              <w:right w:val="single" w:color="auto" w:sz="4" w:space="0"/>
            </w:tcBorders>
            <w:shd w:val="clear" w:color="auto" w:fill="auto"/>
            <w:noWrap w:val="0"/>
            <w:vAlign w:val="center"/>
          </w:tcPr>
          <w:p>
            <w:pPr>
              <w:spacing w:line="280" w:lineRule="exact"/>
              <w:jc w:val="center"/>
              <w:rPr>
                <w:color w:val="auto"/>
                <w:szCs w:val="21"/>
              </w:rPr>
            </w:pPr>
          </w:p>
        </w:tc>
        <w:tc>
          <w:tcPr>
            <w:tcW w:w="278" w:type="pct"/>
            <w:vMerge w:val="continue"/>
            <w:tcBorders>
              <w:left w:val="single" w:color="auto" w:sz="4" w:space="0"/>
              <w:bottom w:val="single" w:color="auto" w:sz="4" w:space="0"/>
              <w:right w:val="single" w:color="auto" w:sz="4" w:space="0"/>
            </w:tcBorders>
            <w:shd w:val="clear" w:color="auto" w:fill="auto"/>
            <w:noWrap w:val="0"/>
            <w:vAlign w:val="center"/>
          </w:tcPr>
          <w:p>
            <w:pPr>
              <w:spacing w:line="28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资金使用合规性（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部门（单位）使用预算资金是否符合相关的预算财务管理制度的规定，用以反映和考核部门（单位）预算资金的规范运行情况。</w:t>
            </w:r>
          </w:p>
        </w:tc>
        <w:tc>
          <w:tcPr>
            <w:tcW w:w="1536"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①是否符合国家财经法规和财务管理制度规定以及有关专项资金管理办法的规定；（</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②资金的拨付是否有完整的审批程序和手续；（</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③项目的重大开支是否经过评估论证；（</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④是否符合部门预算批复的用途；（</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⑤是否存在截留、挤占、挪用、虚列支出等情况。（</w:t>
            </w:r>
            <w:r>
              <w:rPr>
                <w:color w:val="auto"/>
                <w:szCs w:val="21"/>
              </w:rPr>
              <w:t>0.2</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严格遵守财务相关规定</w:t>
            </w:r>
          </w:p>
        </w:tc>
      </w:tr>
      <w:tr>
        <w:tblPrEx>
          <w:tblCellMar>
            <w:top w:w="0" w:type="dxa"/>
            <w:left w:w="28" w:type="dxa"/>
            <w:bottom w:w="0" w:type="dxa"/>
            <w:right w:w="28" w:type="dxa"/>
          </w:tblCellMar>
        </w:tblPrEx>
        <w:trPr>
          <w:trHeight w:val="1644" w:hRule="atLeast"/>
          <w:jc w:val="center"/>
        </w:trPr>
        <w:tc>
          <w:tcPr>
            <w:tcW w:w="776" w:type="pct"/>
            <w:vMerge w:val="restart"/>
            <w:tcBorders>
              <w:top w:val="nil"/>
              <w:left w:val="single" w:color="auto" w:sz="12" w:space="0"/>
              <w:right w:val="single" w:color="auto" w:sz="4" w:space="0"/>
            </w:tcBorders>
            <w:shd w:val="clear" w:color="auto" w:fill="auto"/>
            <w:noWrap w:val="0"/>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8" w:type="pct"/>
            <w:vMerge w:val="restart"/>
            <w:tcBorders>
              <w:top w:val="nil"/>
              <w:left w:val="single" w:color="auto" w:sz="4" w:space="0"/>
              <w:right w:val="single" w:color="auto" w:sz="4" w:space="0"/>
            </w:tcBorders>
            <w:shd w:val="clear" w:color="auto" w:fill="auto"/>
            <w:noWrap w:val="0"/>
            <w:vAlign w:val="center"/>
          </w:tcPr>
          <w:p>
            <w:pPr>
              <w:spacing w:line="280" w:lineRule="exact"/>
              <w:jc w:val="center"/>
              <w:rPr>
                <w:color w:val="auto"/>
                <w:szCs w:val="21"/>
              </w:rPr>
            </w:pPr>
            <w:r>
              <w:rPr>
                <w:rFonts w:hint="eastAsia"/>
                <w:color w:val="auto"/>
                <w:szCs w:val="21"/>
              </w:rPr>
              <w:t>预算管理（</w:t>
            </w:r>
            <w:r>
              <w:rPr>
                <w:color w:val="auto"/>
                <w:szCs w:val="21"/>
              </w:rPr>
              <w:t>5</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预决算信息公开性（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部门（单位）是否按照政府信息公开有关规定公开相关预决算信息，用以反映和考核部门（单位）预决算管理的公开透明情况。</w:t>
            </w:r>
          </w:p>
        </w:tc>
        <w:tc>
          <w:tcPr>
            <w:tcW w:w="1536"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①是否按规定内容公开预决算信息；（</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②是否按规定时限公开预决算信息。（</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预决算信息是指与部门预算、执行、决算、监督、绩效等管理相关的信息。</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szCs w:val="21"/>
                <w:lang w:eastAsia="zh-CN"/>
              </w:rPr>
            </w:pPr>
            <w:r>
              <w:rPr>
                <w:rFonts w:hint="eastAsia"/>
                <w:color w:val="auto"/>
                <w:szCs w:val="21"/>
                <w:lang w:eastAsia="zh-CN"/>
              </w:rPr>
              <w:t>按规定及时在政务网</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进行预决算公开。</w:t>
            </w:r>
          </w:p>
        </w:tc>
      </w:tr>
      <w:tr>
        <w:tblPrEx>
          <w:tblCellMar>
            <w:top w:w="0" w:type="dxa"/>
            <w:left w:w="28" w:type="dxa"/>
            <w:bottom w:w="0" w:type="dxa"/>
            <w:right w:w="28" w:type="dxa"/>
          </w:tblCellMar>
        </w:tblPrEx>
        <w:trPr>
          <w:trHeight w:val="453"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350" w:lineRule="exact"/>
              <w:jc w:val="center"/>
              <w:rPr>
                <w:color w:val="auto"/>
                <w:szCs w:val="21"/>
              </w:rPr>
            </w:pPr>
          </w:p>
        </w:tc>
        <w:tc>
          <w:tcPr>
            <w:tcW w:w="278" w:type="pct"/>
            <w:vMerge w:val="continue"/>
            <w:tcBorders>
              <w:left w:val="single" w:color="auto" w:sz="4" w:space="0"/>
              <w:bottom w:val="single" w:color="auto" w:sz="4" w:space="0"/>
              <w:right w:val="single" w:color="auto" w:sz="4" w:space="0"/>
            </w:tcBorders>
            <w:shd w:val="clear" w:color="auto" w:fill="auto"/>
            <w:noWrap w:val="0"/>
            <w:vAlign w:val="center"/>
          </w:tcPr>
          <w:p>
            <w:pPr>
              <w:spacing w:line="35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基础信息完善性（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部门（单位）基础信息是否完善，用以反映和考核基础信息对预算管理工作的支撑情况。</w:t>
            </w:r>
          </w:p>
        </w:tc>
        <w:tc>
          <w:tcPr>
            <w:tcW w:w="1536"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①基础数据信息和会计信息资料是否真实；（</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②基础数据信息和会计信息资料是否完整；（</w:t>
            </w:r>
            <w:r>
              <w:rPr>
                <w:color w:val="auto"/>
                <w:szCs w:val="21"/>
              </w:rPr>
              <w:t>0.3</w:t>
            </w:r>
            <w:r>
              <w:rPr>
                <w:rFonts w:hint="eastAsia"/>
                <w:color w:val="auto"/>
                <w:szCs w:val="21"/>
              </w:rPr>
              <w:t>分）</w:t>
            </w:r>
          </w:p>
          <w:p>
            <w:pPr>
              <w:spacing w:line="350" w:lineRule="exact"/>
              <w:rPr>
                <w:color w:val="auto"/>
                <w:szCs w:val="21"/>
              </w:rPr>
            </w:pPr>
            <w:r>
              <w:rPr>
                <w:rFonts w:hint="eastAsia"/>
                <w:color w:val="auto"/>
                <w:szCs w:val="21"/>
              </w:rPr>
              <w:t>③基础数据信息和会计信息资料是否准确。（</w:t>
            </w:r>
            <w:r>
              <w:rPr>
                <w:color w:val="auto"/>
                <w:szCs w:val="21"/>
              </w:rPr>
              <w:t>0.3</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基础信息已完善。</w:t>
            </w:r>
          </w:p>
        </w:tc>
      </w:tr>
      <w:tr>
        <w:tblPrEx>
          <w:tblCellMar>
            <w:top w:w="0" w:type="dxa"/>
            <w:left w:w="28" w:type="dxa"/>
            <w:bottom w:w="0" w:type="dxa"/>
            <w:right w:w="28" w:type="dxa"/>
          </w:tblCellMar>
        </w:tblPrEx>
        <w:trPr>
          <w:trHeight w:val="1012"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350" w:lineRule="exact"/>
              <w:jc w:val="center"/>
              <w:rPr>
                <w:color w:val="auto"/>
                <w:szCs w:val="21"/>
              </w:rPr>
            </w:pPr>
          </w:p>
        </w:tc>
        <w:tc>
          <w:tcPr>
            <w:tcW w:w="278" w:type="pct"/>
            <w:vMerge w:val="restart"/>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资产管理（</w:t>
            </w:r>
            <w:r>
              <w:rPr>
                <w:color w:val="auto"/>
                <w:szCs w:val="21"/>
              </w:rPr>
              <w:t>5</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管理制度健全性（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部门（单位）为加强资产管理、规范资产管理行为而制定的管理制度是否健全完整，用以反映和考核部门（单位）资产管理制度对完成主要职责或促进社会发展的保障情况。</w:t>
            </w:r>
          </w:p>
        </w:tc>
        <w:tc>
          <w:tcPr>
            <w:tcW w:w="1536"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①是否已制定或具有资产管理制度；（</w:t>
            </w:r>
            <w:r>
              <w:rPr>
                <w:color w:val="auto"/>
                <w:szCs w:val="21"/>
              </w:rPr>
              <w:t>1</w:t>
            </w:r>
            <w:r>
              <w:rPr>
                <w:rFonts w:hint="eastAsia"/>
                <w:color w:val="auto"/>
                <w:szCs w:val="21"/>
              </w:rPr>
              <w:t>分）</w:t>
            </w:r>
          </w:p>
          <w:p>
            <w:pPr>
              <w:spacing w:line="350" w:lineRule="exact"/>
              <w:rPr>
                <w:color w:val="auto"/>
                <w:szCs w:val="21"/>
              </w:rPr>
            </w:pPr>
            <w:r>
              <w:rPr>
                <w:rFonts w:hint="eastAsia"/>
                <w:color w:val="auto"/>
                <w:szCs w:val="21"/>
              </w:rPr>
              <w:t>②相关资金管理制度是否合法、合规、完整；（</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③相关资产管理制度是否得到有效执行。（</w:t>
            </w:r>
            <w:r>
              <w:rPr>
                <w:color w:val="auto"/>
                <w:szCs w:val="21"/>
              </w:rPr>
              <w:t>0.5</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管理制度健全。</w:t>
            </w:r>
          </w:p>
        </w:tc>
      </w:tr>
      <w:tr>
        <w:tblPrEx>
          <w:tblCellMar>
            <w:top w:w="0" w:type="dxa"/>
            <w:left w:w="28" w:type="dxa"/>
            <w:bottom w:w="0" w:type="dxa"/>
            <w:right w:w="28" w:type="dxa"/>
          </w:tblCellMar>
        </w:tblPrEx>
        <w:trPr>
          <w:trHeight w:val="660" w:hRule="atLeast"/>
          <w:jc w:val="center"/>
        </w:trPr>
        <w:tc>
          <w:tcPr>
            <w:tcW w:w="776" w:type="pct"/>
            <w:vMerge w:val="continue"/>
            <w:tcBorders>
              <w:left w:val="single" w:color="auto" w:sz="12" w:space="0"/>
              <w:right w:val="single" w:color="auto" w:sz="4" w:space="0"/>
            </w:tcBorders>
            <w:shd w:val="clear" w:color="auto" w:fill="auto"/>
            <w:noWrap w:val="0"/>
            <w:vAlign w:val="center"/>
          </w:tcPr>
          <w:p>
            <w:pPr>
              <w:spacing w:line="35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资产管理安全性（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部门（单位）的资产是否保存完整、使用合规、配置合理、处置规范、收入及时足额上缴，用以反映和考核部门（单位）资产安全运行情况。</w:t>
            </w:r>
          </w:p>
        </w:tc>
        <w:tc>
          <w:tcPr>
            <w:tcW w:w="1536"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①资产保存是否完整；（</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②资产配置是否合理；（</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③资产处置是否规范；（</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④资产账务管理是否合规，是否帐实相符；（</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⑤资产是否有偿使用及处置收入及时足额上缴。（</w:t>
            </w:r>
            <w:r>
              <w:rPr>
                <w:color w:val="auto"/>
                <w:szCs w:val="21"/>
              </w:rPr>
              <w:t>0.4</w:t>
            </w:r>
            <w:r>
              <w:rPr>
                <w:rFonts w:hint="eastAsia"/>
                <w:color w:val="auto"/>
                <w:szCs w:val="21"/>
              </w:rPr>
              <w:t>分）</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eastAsia="宋体"/>
                <w:color w:val="auto"/>
                <w:kern w:val="0"/>
                <w:sz w:val="21"/>
                <w:szCs w:val="21"/>
                <w:lang w:eastAsia="zh-CN"/>
              </w:rPr>
            </w:pPr>
            <w:r>
              <w:rPr>
                <w:rFonts w:hint="eastAsia" w:eastAsia="宋体"/>
                <w:color w:val="auto"/>
                <w:kern w:val="0"/>
                <w:sz w:val="21"/>
                <w:szCs w:val="21"/>
                <w:lang w:eastAsia="zh-CN"/>
              </w:rPr>
              <w:t>严格按照资产管理办法</w:t>
            </w:r>
          </w:p>
          <w:p>
            <w:pPr>
              <w:keepNext w:val="0"/>
              <w:keepLines w:val="0"/>
              <w:pageBreakBefore w:val="0"/>
              <w:kinsoku/>
              <w:wordWrap/>
              <w:overflowPunct/>
              <w:topLinePunct w:val="0"/>
              <w:autoSpaceDE/>
              <w:autoSpaceDN/>
              <w:bidi w:val="0"/>
              <w:spacing w:line="240" w:lineRule="auto"/>
              <w:ind w:left="0" w:leftChars="0"/>
              <w:jc w:val="both"/>
              <w:textAlignment w:val="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lang w:eastAsia="zh-CN"/>
              </w:rPr>
              <w:t>管理固定资产</w:t>
            </w:r>
          </w:p>
        </w:tc>
      </w:tr>
      <w:tr>
        <w:tblPrEx>
          <w:tblCellMar>
            <w:top w:w="0" w:type="dxa"/>
            <w:left w:w="28" w:type="dxa"/>
            <w:bottom w:w="0" w:type="dxa"/>
            <w:right w:w="28" w:type="dxa"/>
          </w:tblCellMar>
        </w:tblPrEx>
        <w:trPr>
          <w:trHeight w:val="1326" w:hRule="atLeast"/>
          <w:jc w:val="center"/>
        </w:trPr>
        <w:tc>
          <w:tcPr>
            <w:tcW w:w="776" w:type="pct"/>
            <w:vMerge w:val="continue"/>
            <w:tcBorders>
              <w:left w:val="single" w:color="auto" w:sz="12" w:space="0"/>
              <w:bottom w:val="single" w:color="000000" w:sz="4" w:space="0"/>
              <w:right w:val="single" w:color="auto" w:sz="4" w:space="0"/>
            </w:tcBorders>
            <w:shd w:val="clear" w:color="auto" w:fill="auto"/>
            <w:noWrap w:val="0"/>
            <w:vAlign w:val="center"/>
          </w:tcPr>
          <w:p>
            <w:pPr>
              <w:spacing w:line="35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固定资产利用率（</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部门（单位）实际在用固定资产总额与所有固定资产总额的比率，用以反映和考核部门（单位）固定资产使用效率程度。</w:t>
            </w:r>
          </w:p>
        </w:tc>
        <w:tc>
          <w:tcPr>
            <w:tcW w:w="1536"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固定资产利用率</w:t>
            </w:r>
            <w:r>
              <w:rPr>
                <w:color w:val="auto"/>
                <w:szCs w:val="21"/>
              </w:rPr>
              <w:t>=</w:t>
            </w:r>
            <w:r>
              <w:rPr>
                <w:rFonts w:hint="eastAsia"/>
                <w:color w:val="auto"/>
                <w:szCs w:val="21"/>
              </w:rPr>
              <w:t>（实际在用固定资产总额</w:t>
            </w:r>
            <w:r>
              <w:rPr>
                <w:color w:val="auto"/>
                <w:szCs w:val="21"/>
              </w:rPr>
              <w:t>/</w:t>
            </w:r>
            <w:r>
              <w:rPr>
                <w:rFonts w:hint="eastAsia"/>
                <w:color w:val="auto"/>
                <w:szCs w:val="21"/>
              </w:rPr>
              <w:t>所有固定资产总额）×</w:t>
            </w:r>
            <w:r>
              <w:rPr>
                <w:color w:val="auto"/>
                <w:szCs w:val="21"/>
              </w:rPr>
              <w:t>100%</w:t>
            </w:r>
            <w:r>
              <w:rPr>
                <w:rFonts w:hint="eastAsia"/>
                <w:color w:val="auto"/>
                <w:szCs w:val="21"/>
              </w:rPr>
              <w:t>。（利用率为</w:t>
            </w:r>
            <w:r>
              <w:rPr>
                <w:color w:val="auto"/>
                <w:szCs w:val="21"/>
              </w:rPr>
              <w:t>100%</w:t>
            </w:r>
            <w:r>
              <w:rPr>
                <w:rFonts w:hint="eastAsia"/>
                <w:color w:val="auto"/>
                <w:szCs w:val="21"/>
              </w:rPr>
              <w:t>的计</w:t>
            </w:r>
            <w:r>
              <w:rPr>
                <w:color w:val="auto"/>
                <w:szCs w:val="21"/>
              </w:rPr>
              <w:t>1</w:t>
            </w:r>
            <w:r>
              <w:rPr>
                <w:rFonts w:hint="eastAsia"/>
                <w:color w:val="auto"/>
                <w:szCs w:val="21"/>
              </w:rPr>
              <w:t>分，每降</w:t>
            </w:r>
            <w:r>
              <w:rPr>
                <w:color w:val="auto"/>
                <w:szCs w:val="21"/>
              </w:rPr>
              <w:t>1</w:t>
            </w:r>
            <w:r>
              <w:rPr>
                <w:rFonts w:hint="eastAsia"/>
                <w:color w:val="auto"/>
                <w:szCs w:val="21"/>
              </w:rPr>
              <w:t>个百分点扣</w:t>
            </w:r>
            <w:r>
              <w:rPr>
                <w:color w:val="auto"/>
                <w:szCs w:val="21"/>
              </w:rPr>
              <w:t>0.1</w:t>
            </w:r>
            <w:r>
              <w:rPr>
                <w:rFonts w:hint="eastAsia"/>
                <w:color w:val="auto"/>
                <w:szCs w:val="21"/>
              </w:rPr>
              <w:t>分，扣完为止）</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固定资产利用率</w:t>
            </w:r>
            <w:r>
              <w:rPr>
                <w:rFonts w:hint="eastAsia" w:eastAsia="宋体"/>
                <w:color w:val="auto"/>
                <w:kern w:val="0"/>
                <w:sz w:val="21"/>
                <w:szCs w:val="21"/>
                <w:lang w:eastAsia="zh-CN"/>
              </w:rPr>
              <w:t>达</w:t>
            </w:r>
            <w:r>
              <w:rPr>
                <w:rFonts w:hint="eastAsia" w:eastAsia="宋体"/>
                <w:color w:val="auto"/>
                <w:kern w:val="0"/>
                <w:sz w:val="21"/>
                <w:szCs w:val="21"/>
                <w:lang w:val="en-US" w:eastAsia="zh-CN"/>
              </w:rPr>
              <w:t>100%</w:t>
            </w:r>
          </w:p>
        </w:tc>
      </w:tr>
      <w:tr>
        <w:tblPrEx>
          <w:tblCellMar>
            <w:top w:w="0" w:type="dxa"/>
            <w:left w:w="28" w:type="dxa"/>
            <w:bottom w:w="0" w:type="dxa"/>
            <w:right w:w="28" w:type="dxa"/>
          </w:tblCellMar>
        </w:tblPrEx>
        <w:trPr>
          <w:trHeight w:val="621" w:hRule="atLeast"/>
          <w:jc w:val="center"/>
        </w:trPr>
        <w:tc>
          <w:tcPr>
            <w:tcW w:w="776" w:type="pct"/>
            <w:vMerge w:val="restart"/>
            <w:tcBorders>
              <w:top w:val="nil"/>
              <w:left w:val="single" w:color="auto" w:sz="12" w:space="0"/>
              <w:bottom w:val="single" w:color="auto" w:sz="4" w:space="0"/>
              <w:right w:val="single" w:color="auto" w:sz="4" w:space="0"/>
            </w:tcBorders>
            <w:noWrap/>
            <w:vAlign w:val="center"/>
          </w:tcPr>
          <w:p>
            <w:pPr>
              <w:spacing w:line="240" w:lineRule="exact"/>
              <w:jc w:val="center"/>
              <w:rPr>
                <w:color w:val="auto"/>
                <w:szCs w:val="21"/>
              </w:rPr>
            </w:pPr>
            <w:r>
              <w:rPr>
                <w:rFonts w:hint="eastAsia"/>
                <w:color w:val="auto"/>
                <w:szCs w:val="21"/>
              </w:rPr>
              <w:t>产</w:t>
            </w:r>
            <w:r>
              <w:rPr>
                <w:color w:val="auto"/>
                <w:szCs w:val="21"/>
              </w:rPr>
              <w:t xml:space="preserve"> </w:t>
            </w:r>
            <w:r>
              <w:rPr>
                <w:rFonts w:hint="eastAsia"/>
                <w:color w:val="auto"/>
                <w:szCs w:val="21"/>
              </w:rPr>
              <w:t>出（</w:t>
            </w:r>
            <w:r>
              <w:rPr>
                <w:color w:val="auto"/>
                <w:szCs w:val="21"/>
              </w:rPr>
              <w:t>30</w:t>
            </w:r>
            <w:r>
              <w:rPr>
                <w:rFonts w:hint="eastAsia"/>
                <w:color w:val="auto"/>
                <w:szCs w:val="21"/>
              </w:rPr>
              <w:t>分）</w:t>
            </w:r>
          </w:p>
        </w:tc>
        <w:tc>
          <w:tcPr>
            <w:tcW w:w="278"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职责履行（</w:t>
            </w:r>
            <w:r>
              <w:rPr>
                <w:color w:val="auto"/>
                <w:szCs w:val="21"/>
              </w:rPr>
              <w:t>30</w:t>
            </w:r>
            <w:r>
              <w:rPr>
                <w:rFonts w:hint="eastAsia"/>
                <w:color w:val="auto"/>
                <w:szCs w:val="21"/>
              </w:rPr>
              <w:t>分）</w:t>
            </w: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实际完成率（</w:t>
            </w:r>
            <w:r>
              <w:rPr>
                <w:color w:val="auto"/>
                <w:szCs w:val="21"/>
              </w:rPr>
              <w:t>8</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部门（单位）履行职责而实际完成工作数与计划工作数的比率，用以反映和考核部门（单位）履职工作任务目标的实现程度。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实际完成率</w:t>
            </w:r>
            <w:r>
              <w:rPr>
                <w:color w:val="auto"/>
                <w:szCs w:val="21"/>
              </w:rPr>
              <w:t>=</w:t>
            </w:r>
            <w:r>
              <w:rPr>
                <w:rFonts w:hint="eastAsia"/>
                <w:color w:val="auto"/>
                <w:szCs w:val="21"/>
              </w:rPr>
              <w:t>（实际完成工作数</w:t>
            </w:r>
            <w:r>
              <w:rPr>
                <w:color w:val="auto"/>
                <w:szCs w:val="21"/>
              </w:rPr>
              <w:t>/</w:t>
            </w:r>
            <w:r>
              <w:rPr>
                <w:rFonts w:hint="eastAsia"/>
                <w:color w:val="auto"/>
                <w:szCs w:val="21"/>
              </w:rPr>
              <w:t>计划工作数）×</w:t>
            </w:r>
            <w:r>
              <w:rPr>
                <w:color w:val="auto"/>
                <w:szCs w:val="21"/>
              </w:rPr>
              <w:t>100%</w:t>
            </w:r>
            <w:r>
              <w:rPr>
                <w:rFonts w:hint="eastAsia"/>
                <w:color w:val="auto"/>
                <w:szCs w:val="21"/>
              </w:rPr>
              <w:t>。（实际得分</w:t>
            </w:r>
            <w:r>
              <w:rPr>
                <w:color w:val="auto"/>
                <w:szCs w:val="21"/>
              </w:rPr>
              <w:t>=</w:t>
            </w:r>
            <w:r>
              <w:rPr>
                <w:rFonts w:hint="eastAsia"/>
                <w:color w:val="auto"/>
                <w:szCs w:val="21"/>
              </w:rPr>
              <w:t>实际工作完成率</w:t>
            </w:r>
            <w:r>
              <w:rPr>
                <w:color w:val="auto"/>
                <w:szCs w:val="21"/>
              </w:rPr>
              <w:t>*8</w:t>
            </w:r>
            <w:r>
              <w:rPr>
                <w:rFonts w:hint="eastAsia"/>
                <w:color w:val="auto"/>
                <w:szCs w:val="21"/>
              </w:rPr>
              <w:t>分）</w:t>
            </w:r>
          </w:p>
          <w:p>
            <w:pPr>
              <w:spacing w:line="240" w:lineRule="exact"/>
              <w:rPr>
                <w:color w:val="auto"/>
                <w:szCs w:val="21"/>
              </w:rPr>
            </w:pPr>
            <w:r>
              <w:rPr>
                <w:rFonts w:hint="eastAsia"/>
                <w:color w:val="auto"/>
                <w:szCs w:val="21"/>
              </w:rPr>
              <w:t>实际完成工作数：一定时期（年度或规划期）内部门（单位）实际完成工作任务的数量。</w:t>
            </w:r>
          </w:p>
          <w:p>
            <w:pPr>
              <w:spacing w:line="240" w:lineRule="exact"/>
              <w:rPr>
                <w:color w:val="auto"/>
                <w:szCs w:val="21"/>
              </w:rPr>
            </w:pPr>
            <w:r>
              <w:rPr>
                <w:rFonts w:hint="eastAsia"/>
                <w:color w:val="auto"/>
                <w:szCs w:val="21"/>
              </w:rPr>
              <w:t>计划工作数：部门（单位）整体绩效目标确定的一定时期（年度或规划期）内预计完成工作任务的数量。</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8</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完成计划工作数。</w:t>
            </w:r>
          </w:p>
        </w:tc>
      </w:tr>
      <w:tr>
        <w:tblPrEx>
          <w:tblCellMar>
            <w:top w:w="0" w:type="dxa"/>
            <w:left w:w="28" w:type="dxa"/>
            <w:bottom w:w="0" w:type="dxa"/>
            <w:right w:w="28" w:type="dxa"/>
          </w:tblCellMar>
        </w:tblPrEx>
        <w:trPr>
          <w:trHeight w:val="1359"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完成及时率（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部门（单位）在规定时限内及时完成的实际工作数与计划工作数的比率</w:t>
            </w:r>
            <w:r>
              <w:rPr>
                <w:color w:val="auto"/>
                <w:szCs w:val="21"/>
              </w:rPr>
              <w:t>,</w:t>
            </w:r>
            <w:r>
              <w:rPr>
                <w:rFonts w:hint="eastAsia"/>
                <w:color w:val="auto"/>
                <w:szCs w:val="21"/>
              </w:rPr>
              <w:t>用以反映和考核部门履职时效目标的实现程度。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完成及时率</w:t>
            </w:r>
            <w:r>
              <w:rPr>
                <w:color w:val="auto"/>
                <w:szCs w:val="21"/>
              </w:rPr>
              <w:t>=</w:t>
            </w:r>
            <w:r>
              <w:rPr>
                <w:rFonts w:hint="eastAsia"/>
                <w:color w:val="auto"/>
                <w:szCs w:val="21"/>
              </w:rPr>
              <w:t>（及时完成实际工作数</w:t>
            </w:r>
            <w:r>
              <w:rPr>
                <w:color w:val="auto"/>
                <w:szCs w:val="21"/>
              </w:rPr>
              <w:t>/</w:t>
            </w:r>
            <w:r>
              <w:rPr>
                <w:rFonts w:hint="eastAsia"/>
                <w:color w:val="auto"/>
                <w:szCs w:val="21"/>
              </w:rPr>
              <w:t>计划工作数）×</w:t>
            </w:r>
            <w:r>
              <w:rPr>
                <w:color w:val="auto"/>
                <w:szCs w:val="21"/>
              </w:rPr>
              <w:t>100%</w:t>
            </w:r>
            <w:r>
              <w:rPr>
                <w:rFonts w:hint="eastAsia"/>
                <w:color w:val="auto"/>
                <w:szCs w:val="21"/>
              </w:rPr>
              <w:t>。（</w:t>
            </w:r>
            <w:r>
              <w:rPr>
                <w:color w:val="auto"/>
                <w:szCs w:val="21"/>
              </w:rPr>
              <w:t>1--4</w:t>
            </w:r>
            <w:r>
              <w:rPr>
                <w:rFonts w:hint="eastAsia"/>
                <w:color w:val="auto"/>
                <w:szCs w:val="21"/>
              </w:rPr>
              <w:t>季度各得</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及时完成实际工作数：部门（单位）按照整体绩效目标确定的时限实际完成的工作任务数量。</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完成及时率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color w:val="auto"/>
              </w:rPr>
              <w:t>=</w:t>
            </w:r>
            <w:r>
              <w:rPr>
                <w:rFonts w:hint="eastAsia"/>
                <w:color w:val="auto"/>
              </w:rPr>
              <w:t>（及时完成实际工作数</w:t>
            </w:r>
            <w:r>
              <w:rPr>
                <w:color w:val="auto"/>
              </w:rPr>
              <w:t>/</w:t>
            </w:r>
            <w:r>
              <w:rPr>
                <w:rFonts w:hint="eastAsia"/>
                <w:color w:val="auto"/>
              </w:rPr>
              <w:t>计</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划工作数）×</w:t>
            </w:r>
            <w:r>
              <w:rPr>
                <w:color w:val="auto"/>
              </w:rPr>
              <w:t>100%</w:t>
            </w:r>
            <w:r>
              <w:rPr>
                <w:rFonts w:hint="eastAsia"/>
                <w:color w:val="auto"/>
              </w:rPr>
              <w:t>。</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color w:val="auto"/>
                <w:kern w:val="2"/>
                <w:sz w:val="21"/>
                <w:szCs w:val="24"/>
                <w:lang w:val="en-US" w:eastAsia="zh-CN" w:bidi="ar-SA"/>
              </w:rPr>
            </w:pPr>
            <w:r>
              <w:rPr>
                <w:rFonts w:hint="eastAsia"/>
                <w:color w:val="auto"/>
                <w:szCs w:val="21"/>
                <w:lang w:eastAsia="zh-CN"/>
              </w:rPr>
              <w:t>（完成及时率</w:t>
            </w:r>
            <w:r>
              <w:rPr>
                <w:rFonts w:hint="eastAsia"/>
                <w:color w:val="auto"/>
                <w:szCs w:val="21"/>
                <w:lang w:val="en-US" w:eastAsia="zh-CN"/>
              </w:rPr>
              <w:t>100%</w:t>
            </w:r>
            <w:r>
              <w:rPr>
                <w:rFonts w:hint="eastAsia"/>
                <w:color w:val="auto"/>
                <w:szCs w:val="21"/>
                <w:lang w:eastAsia="zh-CN"/>
              </w:rPr>
              <w:t>）</w:t>
            </w:r>
          </w:p>
        </w:tc>
      </w:tr>
      <w:tr>
        <w:tblPrEx>
          <w:tblCellMar>
            <w:top w:w="0" w:type="dxa"/>
            <w:left w:w="28" w:type="dxa"/>
            <w:bottom w:w="0" w:type="dxa"/>
            <w:right w:w="28" w:type="dxa"/>
          </w:tblCellMar>
        </w:tblPrEx>
        <w:trPr>
          <w:trHeight w:val="1778"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质量达标率（</w:t>
            </w:r>
            <w:r>
              <w:rPr>
                <w:color w:val="auto"/>
                <w:szCs w:val="21"/>
              </w:rPr>
              <w:t>8</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达到质量标准（绩效标准值）的实际工作数与计划工作数的比率</w:t>
            </w:r>
            <w:r>
              <w:rPr>
                <w:color w:val="auto"/>
                <w:szCs w:val="21"/>
              </w:rPr>
              <w:t>,</w:t>
            </w:r>
            <w:r>
              <w:rPr>
                <w:rFonts w:hint="eastAsia"/>
                <w:color w:val="auto"/>
                <w:szCs w:val="21"/>
              </w:rPr>
              <w:t>用以反映和考核部门履职质量目标的实现程度。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质量达标率</w:t>
            </w:r>
            <w:r>
              <w:rPr>
                <w:color w:val="auto"/>
                <w:szCs w:val="21"/>
              </w:rPr>
              <w:t>=</w:t>
            </w:r>
            <w:r>
              <w:rPr>
                <w:rFonts w:hint="eastAsia"/>
                <w:color w:val="auto"/>
                <w:szCs w:val="21"/>
              </w:rPr>
              <w:t>（质量达标实际工作数</w:t>
            </w:r>
            <w:r>
              <w:rPr>
                <w:color w:val="auto"/>
                <w:szCs w:val="21"/>
              </w:rPr>
              <w:t>/</w:t>
            </w:r>
            <w:r>
              <w:rPr>
                <w:rFonts w:hint="eastAsia"/>
                <w:color w:val="auto"/>
                <w:szCs w:val="21"/>
              </w:rPr>
              <w:t>计划工作数）×</w:t>
            </w:r>
            <w:r>
              <w:rPr>
                <w:color w:val="auto"/>
                <w:szCs w:val="21"/>
              </w:rPr>
              <w:t>100%</w:t>
            </w:r>
            <w:r>
              <w:rPr>
                <w:rFonts w:hint="eastAsia"/>
                <w:color w:val="auto"/>
                <w:szCs w:val="21"/>
              </w:rPr>
              <w:t>。（实际得分</w:t>
            </w:r>
            <w:r>
              <w:rPr>
                <w:color w:val="auto"/>
                <w:szCs w:val="21"/>
              </w:rPr>
              <w:t>=</w:t>
            </w:r>
            <w:r>
              <w:rPr>
                <w:rFonts w:hint="eastAsia"/>
                <w:color w:val="auto"/>
                <w:szCs w:val="21"/>
              </w:rPr>
              <w:t>达标率</w:t>
            </w:r>
            <w:r>
              <w:rPr>
                <w:color w:val="auto"/>
                <w:szCs w:val="21"/>
              </w:rPr>
              <w:t>*8</w:t>
            </w:r>
            <w:r>
              <w:rPr>
                <w:rFonts w:hint="eastAsia"/>
                <w:color w:val="auto"/>
                <w:szCs w:val="21"/>
              </w:rPr>
              <w:t>分）</w:t>
            </w:r>
          </w:p>
          <w:p>
            <w:pPr>
              <w:spacing w:line="240" w:lineRule="exact"/>
              <w:rPr>
                <w:color w:val="auto"/>
                <w:szCs w:val="21"/>
              </w:rPr>
            </w:pPr>
            <w:r>
              <w:rPr>
                <w:rFonts w:hint="eastAsia"/>
                <w:color w:val="auto"/>
                <w:szCs w:val="21"/>
              </w:rPr>
              <w:t>质量达标实际工作数：一定时期（年度或规划期）内部门（单位）实际完成工作数中达到部门绩效目标要求（绩效标准值）的工作任务数量。</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8</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质量达标率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color w:val="auto"/>
              </w:rPr>
              <w:t>=</w:t>
            </w:r>
            <w:r>
              <w:rPr>
                <w:rFonts w:hint="eastAsia"/>
                <w:color w:val="auto"/>
              </w:rPr>
              <w:t>（质量达标实际工作数</w:t>
            </w:r>
            <w:r>
              <w:rPr>
                <w:color w:val="auto"/>
              </w:rPr>
              <w:t>/</w:t>
            </w:r>
            <w:r>
              <w:rPr>
                <w:rFonts w:hint="eastAsia"/>
                <w:color w:val="auto"/>
              </w:rPr>
              <w:t>计划</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工作数）×</w:t>
            </w:r>
            <w:r>
              <w:rPr>
                <w:color w:val="auto"/>
              </w:rPr>
              <w:t>100%</w:t>
            </w:r>
            <w:r>
              <w:rPr>
                <w:rFonts w:hint="eastAsia"/>
                <w:color w:val="auto"/>
              </w:rPr>
              <w:t>。</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color w:val="auto"/>
                <w:kern w:val="2"/>
                <w:sz w:val="21"/>
                <w:szCs w:val="24"/>
                <w:lang w:val="en-US" w:eastAsia="zh-CN" w:bidi="ar-SA"/>
              </w:rPr>
            </w:pPr>
            <w:r>
              <w:rPr>
                <w:rFonts w:hint="eastAsia"/>
                <w:color w:val="auto"/>
                <w:szCs w:val="21"/>
                <w:lang w:eastAsia="zh-CN"/>
              </w:rPr>
              <w:t>（质量达标率</w:t>
            </w:r>
            <w:r>
              <w:rPr>
                <w:rFonts w:hint="eastAsia"/>
                <w:color w:val="auto"/>
                <w:szCs w:val="21"/>
                <w:lang w:val="en-US" w:eastAsia="zh-CN"/>
              </w:rPr>
              <w:t>100%</w:t>
            </w:r>
            <w:r>
              <w:rPr>
                <w:rFonts w:hint="eastAsia"/>
                <w:color w:val="auto"/>
                <w:szCs w:val="21"/>
                <w:lang w:eastAsia="zh-CN"/>
              </w:rPr>
              <w:t>）</w:t>
            </w:r>
          </w:p>
        </w:tc>
      </w:tr>
      <w:tr>
        <w:tblPrEx>
          <w:tblCellMar>
            <w:top w:w="0" w:type="dxa"/>
            <w:left w:w="28" w:type="dxa"/>
            <w:bottom w:w="0" w:type="dxa"/>
            <w:right w:w="28" w:type="dxa"/>
          </w:tblCellMar>
        </w:tblPrEx>
        <w:trPr>
          <w:trHeight w:val="1464"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重点工作办结率（</w:t>
            </w:r>
            <w:r>
              <w:rPr>
                <w:color w:val="auto"/>
                <w:szCs w:val="21"/>
              </w:rPr>
              <w:t>10</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部门（单位）年度重点工作实际完成数与交办或下达数的比率，用以反映部门（单位）对重点工作的办理落实程度。</w:t>
            </w:r>
          </w:p>
        </w:tc>
        <w:tc>
          <w:tcPr>
            <w:tcW w:w="1536"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重点工作办结率</w:t>
            </w:r>
            <w:r>
              <w:rPr>
                <w:color w:val="auto"/>
                <w:szCs w:val="21"/>
              </w:rPr>
              <w:t>=</w:t>
            </w:r>
            <w:r>
              <w:rPr>
                <w:rFonts w:hint="eastAsia"/>
                <w:color w:val="auto"/>
                <w:szCs w:val="21"/>
              </w:rPr>
              <w:t>（重点工作实际完成数</w:t>
            </w:r>
            <w:r>
              <w:rPr>
                <w:color w:val="auto"/>
                <w:szCs w:val="21"/>
              </w:rPr>
              <w:t>/</w:t>
            </w:r>
            <w:r>
              <w:rPr>
                <w:rFonts w:hint="eastAsia"/>
                <w:color w:val="auto"/>
                <w:szCs w:val="21"/>
              </w:rPr>
              <w:t>交办或下达数）×</w:t>
            </w:r>
            <w:r>
              <w:rPr>
                <w:color w:val="auto"/>
                <w:szCs w:val="21"/>
              </w:rPr>
              <w:t>100%</w:t>
            </w:r>
            <w:r>
              <w:rPr>
                <w:rFonts w:hint="eastAsia"/>
                <w:color w:val="auto"/>
                <w:szCs w:val="21"/>
              </w:rPr>
              <w:t>。（实际得分</w:t>
            </w:r>
            <w:r>
              <w:rPr>
                <w:color w:val="auto"/>
                <w:szCs w:val="21"/>
              </w:rPr>
              <w:t>=</w:t>
            </w:r>
            <w:r>
              <w:rPr>
                <w:rFonts w:hint="eastAsia"/>
                <w:color w:val="auto"/>
                <w:szCs w:val="21"/>
              </w:rPr>
              <w:t>办结率</w:t>
            </w:r>
            <w:r>
              <w:rPr>
                <w:color w:val="auto"/>
                <w:szCs w:val="21"/>
              </w:rPr>
              <w:t>*10</w:t>
            </w:r>
            <w:r>
              <w:rPr>
                <w:rFonts w:hint="eastAsia"/>
                <w:color w:val="auto"/>
                <w:szCs w:val="21"/>
              </w:rPr>
              <w:t>分）</w:t>
            </w:r>
          </w:p>
          <w:p>
            <w:pPr>
              <w:spacing w:line="240" w:lineRule="exact"/>
              <w:rPr>
                <w:color w:val="auto"/>
                <w:szCs w:val="21"/>
              </w:rPr>
            </w:pPr>
            <w:r>
              <w:rPr>
                <w:rFonts w:hint="eastAsia"/>
                <w:color w:val="auto"/>
                <w:szCs w:val="21"/>
              </w:rPr>
              <w:t>重点工作是指党委、政府、人大、相关部门交办或下达的工作任务。</w:t>
            </w:r>
          </w:p>
        </w:tc>
        <w:tc>
          <w:tcPr>
            <w:tcW w:w="378"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10</w:t>
            </w:r>
          </w:p>
        </w:tc>
        <w:tc>
          <w:tcPr>
            <w:tcW w:w="410"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rFonts w:hint="eastAsia"/>
                <w:color w:val="auto"/>
              </w:rPr>
              <w:t>重点工作办结率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rPr>
            </w:pPr>
            <w:r>
              <w:rPr>
                <w:color w:val="auto"/>
              </w:rPr>
              <w:t>=</w:t>
            </w:r>
            <w:r>
              <w:rPr>
                <w:rFonts w:hint="eastAsia"/>
                <w:color w:val="auto"/>
              </w:rPr>
              <w:t>（重点工作实际完成数</w:t>
            </w:r>
            <w:r>
              <w:rPr>
                <w:color w:val="auto"/>
              </w:rPr>
              <w:t>/</w:t>
            </w:r>
            <w:r>
              <w:rPr>
                <w:rFonts w:hint="eastAsia"/>
                <w:color w:val="auto"/>
              </w:rPr>
              <w:t>交</w:t>
            </w:r>
          </w:p>
          <w:p>
            <w:pPr>
              <w:keepNext w:val="0"/>
              <w:keepLines w:val="0"/>
              <w:pageBreakBefore w:val="0"/>
              <w:kinsoku/>
              <w:wordWrap/>
              <w:overflowPunct/>
              <w:topLinePunct w:val="0"/>
              <w:autoSpaceDE/>
              <w:autoSpaceDN/>
              <w:bidi w:val="0"/>
              <w:spacing w:line="240" w:lineRule="auto"/>
              <w:ind w:left="0" w:leftChars="0"/>
              <w:jc w:val="center"/>
              <w:textAlignment w:val="auto"/>
              <w:rPr>
                <w:color w:val="auto"/>
              </w:rPr>
            </w:pPr>
            <w:r>
              <w:rPr>
                <w:rFonts w:hint="eastAsia"/>
                <w:color w:val="auto"/>
              </w:rPr>
              <w:t>办或下达数）×</w:t>
            </w:r>
            <w:r>
              <w:rPr>
                <w:color w:val="auto"/>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color w:val="auto"/>
                <w:kern w:val="2"/>
                <w:sz w:val="21"/>
                <w:szCs w:val="24"/>
                <w:lang w:val="en-US" w:eastAsia="zh-CN" w:bidi="ar-SA"/>
              </w:rPr>
            </w:pPr>
            <w:r>
              <w:rPr>
                <w:rFonts w:hint="eastAsia"/>
                <w:color w:val="auto"/>
                <w:szCs w:val="21"/>
                <w:lang w:eastAsia="zh-CN"/>
              </w:rPr>
              <w:t>（重点工作办结率</w:t>
            </w:r>
            <w:r>
              <w:rPr>
                <w:rFonts w:hint="eastAsia"/>
                <w:color w:val="auto"/>
                <w:szCs w:val="21"/>
                <w:lang w:val="en-US" w:eastAsia="zh-CN"/>
              </w:rPr>
              <w:t>100%</w:t>
            </w:r>
            <w:r>
              <w:rPr>
                <w:rFonts w:hint="eastAsia"/>
                <w:color w:val="auto"/>
                <w:szCs w:val="21"/>
                <w:lang w:eastAsia="zh-CN"/>
              </w:rPr>
              <w:t>）</w:t>
            </w:r>
          </w:p>
        </w:tc>
      </w:tr>
      <w:tr>
        <w:tblPrEx>
          <w:tblCellMar>
            <w:top w:w="0" w:type="dxa"/>
            <w:left w:w="28" w:type="dxa"/>
            <w:bottom w:w="0" w:type="dxa"/>
            <w:right w:w="28" w:type="dxa"/>
          </w:tblCellMar>
        </w:tblPrEx>
        <w:trPr>
          <w:trHeight w:val="776" w:hRule="atLeast"/>
          <w:jc w:val="center"/>
        </w:trPr>
        <w:tc>
          <w:tcPr>
            <w:tcW w:w="776" w:type="pct"/>
            <w:vMerge w:val="restart"/>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color w:val="auto"/>
                <w:szCs w:val="21"/>
              </w:rPr>
            </w:pPr>
            <w:r>
              <w:rPr>
                <w:rFonts w:hint="eastAsia"/>
                <w:color w:val="auto"/>
                <w:szCs w:val="21"/>
              </w:rPr>
              <w:t>效</w:t>
            </w:r>
            <w:r>
              <w:rPr>
                <w:color w:val="auto"/>
                <w:szCs w:val="21"/>
              </w:rPr>
              <w:t xml:space="preserve"> </w:t>
            </w:r>
            <w:r>
              <w:rPr>
                <w:rFonts w:hint="eastAsia"/>
                <w:color w:val="auto"/>
                <w:szCs w:val="21"/>
              </w:rPr>
              <w:t>果（</w:t>
            </w:r>
            <w:r>
              <w:rPr>
                <w:color w:val="auto"/>
                <w:szCs w:val="21"/>
              </w:rPr>
              <w:t>20</w:t>
            </w:r>
            <w:r>
              <w:rPr>
                <w:rFonts w:hint="eastAsia"/>
                <w:color w:val="auto"/>
                <w:szCs w:val="21"/>
              </w:rPr>
              <w:t>分）</w:t>
            </w:r>
          </w:p>
        </w:tc>
        <w:tc>
          <w:tcPr>
            <w:tcW w:w="278"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履职效益（</w:t>
            </w:r>
            <w:r>
              <w:rPr>
                <w:color w:val="auto"/>
                <w:szCs w:val="21"/>
              </w:rPr>
              <w:t>20</w:t>
            </w:r>
            <w:r>
              <w:rPr>
                <w:rFonts w:hint="eastAsia"/>
                <w:color w:val="auto"/>
                <w:szCs w:val="21"/>
              </w:rPr>
              <w:t>分）</w:t>
            </w:r>
          </w:p>
        </w:tc>
        <w:tc>
          <w:tcPr>
            <w:tcW w:w="437"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经济效益（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部门（单位）履行职责对经济发展所带来的直接或间接影响。</w:t>
            </w:r>
          </w:p>
        </w:tc>
        <w:tc>
          <w:tcPr>
            <w:tcW w:w="153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此三项指标为部门整体支出绩效评价指标的共性要素，各单位按照部门整体支出绩效目标实现程度为依据。（按经济效益实现程度</w:t>
            </w:r>
            <w:r>
              <w:rPr>
                <w:color w:val="auto"/>
                <w:szCs w:val="21"/>
              </w:rPr>
              <w:t>*5</w:t>
            </w:r>
            <w:r>
              <w:rPr>
                <w:rFonts w:hint="eastAsia"/>
                <w:color w:val="auto"/>
                <w:szCs w:val="21"/>
              </w:rPr>
              <w:t>、社会效益实现程度</w:t>
            </w:r>
            <w:r>
              <w:rPr>
                <w:color w:val="auto"/>
                <w:szCs w:val="21"/>
              </w:rPr>
              <w:t>*5</w:t>
            </w:r>
            <w:r>
              <w:rPr>
                <w:rFonts w:hint="eastAsia"/>
                <w:color w:val="auto"/>
                <w:szCs w:val="21"/>
              </w:rPr>
              <w:t>、生态效益实现程度</w:t>
            </w:r>
            <w:r>
              <w:rPr>
                <w:color w:val="auto"/>
                <w:szCs w:val="21"/>
              </w:rPr>
              <w:t>*5</w:t>
            </w:r>
            <w:r>
              <w:rPr>
                <w:rFonts w:hint="eastAsia"/>
                <w:color w:val="auto"/>
                <w:szCs w:val="21"/>
              </w:rPr>
              <w:t>计算实际得分）</w:t>
            </w:r>
          </w:p>
        </w:tc>
        <w:tc>
          <w:tcPr>
            <w:tcW w:w="378"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color w:val="auto"/>
                <w:lang w:eastAsia="zh-CN"/>
              </w:rPr>
            </w:pPr>
            <w:r>
              <w:rPr>
                <w:rFonts w:hint="eastAsia"/>
                <w:color w:val="auto"/>
                <w:lang w:eastAsia="zh-CN"/>
              </w:rPr>
              <w:t>维护社会和谐稳定，促进经济稳定</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color w:val="auto"/>
                <w:kern w:val="2"/>
                <w:sz w:val="21"/>
                <w:szCs w:val="24"/>
                <w:lang w:val="en-US" w:eastAsia="zh-CN" w:bidi="ar-SA"/>
              </w:rPr>
            </w:pPr>
            <w:r>
              <w:rPr>
                <w:rFonts w:hint="eastAsia"/>
                <w:color w:val="auto"/>
                <w:szCs w:val="21"/>
                <w:lang w:eastAsia="zh-CN"/>
              </w:rPr>
              <w:t>发展。</w:t>
            </w:r>
          </w:p>
        </w:tc>
      </w:tr>
      <w:tr>
        <w:tblPrEx>
          <w:tblCellMar>
            <w:top w:w="0" w:type="dxa"/>
            <w:left w:w="28" w:type="dxa"/>
            <w:bottom w:w="0" w:type="dxa"/>
            <w:right w:w="28" w:type="dxa"/>
          </w:tblCellMar>
        </w:tblPrEx>
        <w:trPr>
          <w:trHeight w:val="876"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社会效益（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部门（单位）履行职责对社会发展所带来的直接或间接影响。</w:t>
            </w:r>
          </w:p>
        </w:tc>
        <w:tc>
          <w:tcPr>
            <w:tcW w:w="153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p>
        </w:tc>
        <w:tc>
          <w:tcPr>
            <w:tcW w:w="378"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维护社会和谐稳定。</w:t>
            </w:r>
          </w:p>
        </w:tc>
      </w:tr>
      <w:tr>
        <w:tblPrEx>
          <w:tblCellMar>
            <w:top w:w="0" w:type="dxa"/>
            <w:left w:w="28" w:type="dxa"/>
            <w:bottom w:w="0" w:type="dxa"/>
            <w:right w:w="28" w:type="dxa"/>
          </w:tblCellMar>
        </w:tblPrEx>
        <w:trPr>
          <w:trHeight w:val="777"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生态效益（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部门（单位）履行职责对生态环境所带来的直接或间接影响。</w:t>
            </w:r>
          </w:p>
        </w:tc>
        <w:tc>
          <w:tcPr>
            <w:tcW w:w="153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p>
        </w:tc>
        <w:tc>
          <w:tcPr>
            <w:tcW w:w="378"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维护社会和谐稳定。</w:t>
            </w:r>
          </w:p>
        </w:tc>
      </w:tr>
      <w:tr>
        <w:tblPrEx>
          <w:tblCellMar>
            <w:top w:w="0" w:type="dxa"/>
            <w:left w:w="28" w:type="dxa"/>
            <w:bottom w:w="0" w:type="dxa"/>
            <w:right w:w="28" w:type="dxa"/>
          </w:tblCellMar>
        </w:tblPrEx>
        <w:trPr>
          <w:trHeight w:val="1323"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8"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7"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社会公众或服务对象满意度（</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社会公众或部门（单位）的服务对象对部门履职效果的满意程度。</w:t>
            </w:r>
          </w:p>
        </w:tc>
        <w:tc>
          <w:tcPr>
            <w:tcW w:w="1536"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社会公众或服务对象是指部门（单位）履行职责而影响到的部门、群体或个人。一般采取社会调查的方式。（按收到的服务对象的满意率计算得分）</w:t>
            </w:r>
          </w:p>
        </w:tc>
        <w:tc>
          <w:tcPr>
            <w:tcW w:w="378"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群众基本满意。</w:t>
            </w:r>
          </w:p>
        </w:tc>
      </w:tr>
      <w:tr>
        <w:tblPrEx>
          <w:tblCellMar>
            <w:top w:w="0" w:type="dxa"/>
            <w:left w:w="28" w:type="dxa"/>
            <w:bottom w:w="0" w:type="dxa"/>
            <w:right w:w="28" w:type="dxa"/>
          </w:tblCellMar>
        </w:tblPrEx>
        <w:trPr>
          <w:trHeight w:val="584" w:hRule="atLeast"/>
          <w:jc w:val="center"/>
        </w:trPr>
        <w:tc>
          <w:tcPr>
            <w:tcW w:w="4210"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378"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color w:val="auto"/>
                <w:szCs w:val="21"/>
                <w:lang w:val="en-US" w:eastAsia="zh-CN"/>
              </w:rPr>
            </w:pPr>
            <w:r>
              <w:rPr>
                <w:rFonts w:hint="eastAsia"/>
                <w:color w:val="auto"/>
                <w:szCs w:val="21"/>
                <w:lang w:val="en-US" w:eastAsia="zh-CN"/>
              </w:rPr>
              <w:t>94.9</w:t>
            </w:r>
          </w:p>
        </w:tc>
        <w:tc>
          <w:tcPr>
            <w:tcW w:w="410" w:type="pct"/>
            <w:tcBorders>
              <w:top w:val="single" w:color="auto" w:sz="4" w:space="0"/>
              <w:left w:val="nil"/>
              <w:bottom w:val="single" w:color="auto" w:sz="12" w:space="0"/>
              <w:right w:val="single" w:color="auto" w:sz="12" w:space="0"/>
            </w:tcBorders>
            <w:noWrap/>
            <w:vAlign w:val="center"/>
          </w:tcPr>
          <w:p>
            <w:pPr>
              <w:spacing w:line="240" w:lineRule="exact"/>
              <w:jc w:val="center"/>
              <w:rPr>
                <w:color w:val="auto"/>
                <w:szCs w:val="21"/>
              </w:rPr>
            </w:pPr>
          </w:p>
        </w:tc>
      </w:tr>
    </w:tbl>
    <w:p>
      <w:pPr>
        <w:pStyle w:val="7"/>
        <w:spacing w:line="20" w:lineRule="exact"/>
        <w:rPr>
          <w:rFonts w:ascii="宋体"/>
          <w:color w:val="auto"/>
        </w:rPr>
      </w:pPr>
    </w:p>
    <w:p>
      <w:pPr>
        <w:spacing w:line="620" w:lineRule="exact"/>
        <w:jc w:val="left"/>
        <w:rPr>
          <w:rFonts w:eastAsia="方正黑体简体"/>
          <w:color w:val="auto"/>
          <w:kern w:val="0"/>
          <w:sz w:val="32"/>
          <w:szCs w:val="32"/>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color w:val="auto"/>
          <w:kern w:val="0"/>
          <w:sz w:val="32"/>
          <w:szCs w:val="32"/>
        </w:rPr>
      </w:pPr>
      <w:r>
        <w:rPr>
          <w:rFonts w:hint="eastAsia" w:eastAsia="方正黑体简体"/>
          <w:color w:val="auto"/>
          <w:kern w:val="0"/>
          <w:sz w:val="32"/>
          <w:szCs w:val="32"/>
        </w:rPr>
        <w:t>附件</w:t>
      </w:r>
      <w:r>
        <w:rPr>
          <w:rFonts w:hint="eastAsia" w:eastAsia="方正黑体简体"/>
          <w:color w:val="auto"/>
          <w:kern w:val="0"/>
          <w:sz w:val="32"/>
          <w:szCs w:val="32"/>
          <w:lang w:val="en-US" w:eastAsia="zh-CN"/>
        </w:rPr>
        <w:t>1</w:t>
      </w:r>
      <w:r>
        <w:rPr>
          <w:rFonts w:eastAsia="方正黑体简体"/>
          <w:color w:val="auto"/>
          <w:kern w:val="0"/>
          <w:sz w:val="32"/>
          <w:szCs w:val="32"/>
        </w:rPr>
        <w:t>-2</w:t>
      </w:r>
    </w:p>
    <w:p>
      <w:pPr>
        <w:spacing w:line="620" w:lineRule="exact"/>
        <w:jc w:val="center"/>
        <w:rPr>
          <w:rFonts w:eastAsia="方正小标宋简体"/>
          <w:color w:val="auto"/>
          <w:w w:val="90"/>
          <w:kern w:val="0"/>
          <w:sz w:val="44"/>
          <w:szCs w:val="44"/>
        </w:rPr>
      </w:pPr>
      <w:r>
        <w:rPr>
          <w:rFonts w:eastAsia="方正小标宋简体"/>
          <w:color w:val="auto"/>
          <w:w w:val="90"/>
          <w:kern w:val="0"/>
          <w:sz w:val="44"/>
          <w:szCs w:val="44"/>
        </w:rPr>
        <w:t>202</w:t>
      </w:r>
      <w:r>
        <w:rPr>
          <w:rFonts w:hint="eastAsia" w:eastAsia="方正小标宋简体"/>
          <w:color w:val="auto"/>
          <w:w w:val="90"/>
          <w:kern w:val="0"/>
          <w:sz w:val="44"/>
          <w:szCs w:val="44"/>
        </w:rPr>
        <w:t>2年度乐至县部门整体支出绩效目标完成情况表</w:t>
      </w:r>
    </w:p>
    <w:p>
      <w:pPr>
        <w:pStyle w:val="7"/>
        <w:rPr>
          <w:rFonts w:ascii="宋体"/>
          <w:color w:val="auto"/>
        </w:rPr>
      </w:pPr>
    </w:p>
    <w:tbl>
      <w:tblPr>
        <w:tblStyle w:val="18"/>
        <w:tblW w:w="98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87"/>
        <w:gridCol w:w="1680"/>
        <w:gridCol w:w="1013"/>
        <w:gridCol w:w="1109"/>
        <w:gridCol w:w="2739"/>
        <w:gridCol w:w="1023"/>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787" w:type="dxa"/>
            <w:tcBorders>
              <w:top w:val="single" w:color="auto" w:sz="12" w:space="0"/>
            </w:tcBorders>
            <w:noWrap/>
            <w:vAlign w:val="center"/>
          </w:tcPr>
          <w:p>
            <w:pPr>
              <w:widowControl/>
              <w:spacing w:line="290" w:lineRule="exact"/>
              <w:jc w:val="center"/>
              <w:rPr>
                <w:color w:val="auto"/>
                <w:kern w:val="0"/>
                <w:szCs w:val="21"/>
              </w:rPr>
            </w:pPr>
            <w:r>
              <w:rPr>
                <w:rFonts w:hint="eastAsia"/>
                <w:color w:val="auto"/>
                <w:kern w:val="0"/>
                <w:szCs w:val="21"/>
              </w:rPr>
              <w:t>部门（单位）名称</w:t>
            </w:r>
          </w:p>
        </w:tc>
        <w:tc>
          <w:tcPr>
            <w:tcW w:w="6541" w:type="dxa"/>
            <w:gridSpan w:val="4"/>
            <w:tcBorders>
              <w:top w:val="single" w:color="auto" w:sz="12" w:space="0"/>
            </w:tcBorders>
            <w:noWrap/>
            <w:vAlign w:val="center"/>
          </w:tcPr>
          <w:p>
            <w:pPr>
              <w:widowControl/>
              <w:spacing w:line="290" w:lineRule="exact"/>
              <w:jc w:val="center"/>
              <w:rPr>
                <w:rFonts w:hint="eastAsia" w:eastAsia="宋体"/>
                <w:color w:val="auto"/>
                <w:kern w:val="0"/>
                <w:szCs w:val="21"/>
                <w:lang w:eastAsia="zh-CN"/>
              </w:rPr>
            </w:pPr>
            <w:r>
              <w:rPr>
                <w:rFonts w:hint="eastAsia"/>
                <w:color w:val="auto"/>
                <w:kern w:val="0"/>
                <w:szCs w:val="21"/>
                <w:lang w:eastAsia="zh-CN"/>
              </w:rPr>
              <w:t>乐至县信访局</w:t>
            </w:r>
          </w:p>
        </w:tc>
        <w:tc>
          <w:tcPr>
            <w:tcW w:w="1023" w:type="dxa"/>
            <w:tcBorders>
              <w:top w:val="single" w:color="auto" w:sz="12" w:space="0"/>
            </w:tcBorders>
            <w:noWrap/>
            <w:vAlign w:val="center"/>
          </w:tcPr>
          <w:p>
            <w:pPr>
              <w:widowControl/>
              <w:spacing w:line="290" w:lineRule="exact"/>
              <w:jc w:val="center"/>
              <w:rPr>
                <w:color w:val="auto"/>
                <w:kern w:val="0"/>
                <w:szCs w:val="21"/>
              </w:rPr>
            </w:pPr>
            <w:r>
              <w:rPr>
                <w:rFonts w:hint="eastAsia"/>
                <w:color w:val="auto"/>
                <w:kern w:val="0"/>
                <w:szCs w:val="21"/>
              </w:rPr>
              <w:t>预算单位编码</w:t>
            </w:r>
          </w:p>
        </w:tc>
        <w:tc>
          <w:tcPr>
            <w:tcW w:w="1479" w:type="dxa"/>
            <w:tcBorders>
              <w:top w:val="single" w:color="auto" w:sz="12" w:space="0"/>
            </w:tcBorders>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787" w:type="dxa"/>
            <w:vMerge w:val="restart"/>
            <w:noWrap/>
            <w:vAlign w:val="center"/>
          </w:tcPr>
          <w:p>
            <w:pPr>
              <w:widowControl/>
              <w:spacing w:line="290" w:lineRule="exact"/>
              <w:jc w:val="center"/>
              <w:rPr>
                <w:color w:val="auto"/>
                <w:kern w:val="0"/>
                <w:szCs w:val="21"/>
              </w:rPr>
            </w:pPr>
            <w:r>
              <w:rPr>
                <w:rFonts w:hint="eastAsia"/>
                <w:color w:val="auto"/>
                <w:kern w:val="0"/>
                <w:szCs w:val="21"/>
              </w:rPr>
              <w:t>预算执行情况</w:t>
            </w:r>
          </w:p>
        </w:tc>
        <w:tc>
          <w:tcPr>
            <w:tcW w:w="1680" w:type="dxa"/>
            <w:noWrap/>
            <w:vAlign w:val="center"/>
          </w:tcPr>
          <w:p>
            <w:pPr>
              <w:widowControl/>
              <w:spacing w:line="290" w:lineRule="exact"/>
              <w:jc w:val="center"/>
              <w:rPr>
                <w:color w:val="auto"/>
                <w:kern w:val="0"/>
                <w:szCs w:val="21"/>
              </w:rPr>
            </w:pPr>
            <w:r>
              <w:rPr>
                <w:rFonts w:hint="eastAsia"/>
                <w:color w:val="auto"/>
                <w:kern w:val="0"/>
                <w:szCs w:val="21"/>
              </w:rPr>
              <w:t>项目</w:t>
            </w:r>
          </w:p>
        </w:tc>
        <w:tc>
          <w:tcPr>
            <w:tcW w:w="1013" w:type="dxa"/>
            <w:noWrap/>
            <w:vAlign w:val="center"/>
          </w:tcPr>
          <w:p>
            <w:pPr>
              <w:widowControl/>
              <w:spacing w:line="290" w:lineRule="exact"/>
              <w:jc w:val="center"/>
              <w:rPr>
                <w:color w:val="auto"/>
                <w:kern w:val="0"/>
                <w:szCs w:val="21"/>
              </w:rPr>
            </w:pPr>
            <w:r>
              <w:rPr>
                <w:rFonts w:hint="eastAsia"/>
                <w:color w:val="auto"/>
                <w:kern w:val="0"/>
                <w:szCs w:val="21"/>
              </w:rPr>
              <w:t>预算额</w:t>
            </w:r>
            <w:r>
              <w:rPr>
                <w:color w:val="auto"/>
                <w:kern w:val="0"/>
                <w:szCs w:val="21"/>
              </w:rPr>
              <w:t>(</w:t>
            </w:r>
            <w:r>
              <w:rPr>
                <w:rFonts w:hint="eastAsia"/>
                <w:color w:val="auto"/>
                <w:kern w:val="0"/>
                <w:szCs w:val="21"/>
              </w:rPr>
              <w:t>万元</w:t>
            </w:r>
            <w:r>
              <w:rPr>
                <w:color w:val="auto"/>
                <w:kern w:val="0"/>
                <w:szCs w:val="21"/>
              </w:rPr>
              <w:t>)</w:t>
            </w:r>
          </w:p>
        </w:tc>
        <w:tc>
          <w:tcPr>
            <w:tcW w:w="1109" w:type="dxa"/>
            <w:noWrap/>
            <w:vAlign w:val="center"/>
          </w:tcPr>
          <w:p>
            <w:pPr>
              <w:widowControl/>
              <w:spacing w:line="290" w:lineRule="exact"/>
              <w:jc w:val="center"/>
              <w:rPr>
                <w:color w:val="auto"/>
                <w:kern w:val="0"/>
                <w:szCs w:val="21"/>
              </w:rPr>
            </w:pPr>
            <w:r>
              <w:rPr>
                <w:rFonts w:hint="eastAsia"/>
                <w:color w:val="auto"/>
                <w:kern w:val="0"/>
                <w:szCs w:val="21"/>
              </w:rPr>
              <w:t>执行额</w:t>
            </w:r>
            <w:r>
              <w:rPr>
                <w:color w:val="auto"/>
                <w:kern w:val="0"/>
                <w:szCs w:val="21"/>
              </w:rPr>
              <w:t>(</w:t>
            </w:r>
            <w:r>
              <w:rPr>
                <w:rFonts w:hint="eastAsia"/>
                <w:color w:val="auto"/>
                <w:kern w:val="0"/>
                <w:szCs w:val="21"/>
              </w:rPr>
              <w:t>万元</w:t>
            </w:r>
            <w:r>
              <w:rPr>
                <w:color w:val="auto"/>
                <w:kern w:val="0"/>
                <w:szCs w:val="21"/>
              </w:rPr>
              <w:t>)</w:t>
            </w:r>
          </w:p>
        </w:tc>
        <w:tc>
          <w:tcPr>
            <w:tcW w:w="2739" w:type="dxa"/>
            <w:noWrap/>
            <w:vAlign w:val="center"/>
          </w:tcPr>
          <w:p>
            <w:pPr>
              <w:widowControl/>
              <w:spacing w:line="290" w:lineRule="exact"/>
              <w:jc w:val="center"/>
              <w:rPr>
                <w:color w:val="auto"/>
                <w:kern w:val="0"/>
                <w:szCs w:val="21"/>
              </w:rPr>
            </w:pPr>
            <w:r>
              <w:rPr>
                <w:rFonts w:hint="eastAsia"/>
                <w:color w:val="auto"/>
                <w:kern w:val="0"/>
                <w:szCs w:val="21"/>
              </w:rPr>
              <w:t>当年结转结余额</w:t>
            </w:r>
            <w:r>
              <w:rPr>
                <w:color w:val="auto"/>
                <w:kern w:val="0"/>
                <w:szCs w:val="21"/>
              </w:rPr>
              <w:t>(</w:t>
            </w:r>
            <w:r>
              <w:rPr>
                <w:rFonts w:hint="eastAsia"/>
                <w:color w:val="auto"/>
                <w:kern w:val="0"/>
                <w:szCs w:val="21"/>
              </w:rPr>
              <w:t>万元</w:t>
            </w:r>
            <w:r>
              <w:rPr>
                <w:color w:val="auto"/>
                <w:kern w:val="0"/>
                <w:szCs w:val="21"/>
              </w:rPr>
              <w:t>)</w:t>
            </w:r>
          </w:p>
        </w:tc>
        <w:tc>
          <w:tcPr>
            <w:tcW w:w="1023" w:type="dxa"/>
            <w:noWrap/>
            <w:vAlign w:val="center"/>
          </w:tcPr>
          <w:p>
            <w:pPr>
              <w:widowControl/>
              <w:spacing w:line="290" w:lineRule="exact"/>
              <w:jc w:val="center"/>
              <w:rPr>
                <w:color w:val="auto"/>
                <w:kern w:val="0"/>
                <w:szCs w:val="21"/>
              </w:rPr>
            </w:pPr>
            <w:r>
              <w:rPr>
                <w:rFonts w:hint="eastAsia"/>
                <w:color w:val="auto"/>
                <w:kern w:val="0"/>
                <w:szCs w:val="21"/>
              </w:rPr>
              <w:t>结转结余率</w:t>
            </w:r>
            <w:r>
              <w:rPr>
                <w:color w:val="auto"/>
                <w:kern w:val="0"/>
                <w:szCs w:val="21"/>
              </w:rPr>
              <w:t>%</w:t>
            </w:r>
          </w:p>
        </w:tc>
        <w:tc>
          <w:tcPr>
            <w:tcW w:w="1479" w:type="dxa"/>
            <w:noWrap/>
            <w:vAlign w:val="center"/>
          </w:tcPr>
          <w:p>
            <w:pPr>
              <w:widowControl/>
              <w:spacing w:line="290" w:lineRule="exact"/>
              <w:jc w:val="center"/>
              <w:rPr>
                <w:color w:val="auto"/>
                <w:kern w:val="0"/>
                <w:szCs w:val="21"/>
              </w:rPr>
            </w:pPr>
            <w:r>
              <w:rPr>
                <w:rFonts w:hint="eastAsia"/>
                <w:color w:val="auto"/>
                <w:kern w:val="0"/>
                <w:szCs w:val="21"/>
              </w:rPr>
              <w:t>结转结余变动率</w:t>
            </w:r>
            <w:r>
              <w:rPr>
                <w:color w:val="auto"/>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合计</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2739" w:type="dxa"/>
            <w:noWrap/>
            <w:vAlign w:val="center"/>
          </w:tcPr>
          <w:p>
            <w:pPr>
              <w:widowControl/>
              <w:spacing w:line="290" w:lineRule="exact"/>
              <w:jc w:val="left"/>
              <w:rPr>
                <w:rFonts w:hint="eastAsia" w:eastAsia="宋体"/>
                <w:color w:val="auto"/>
                <w:kern w:val="0"/>
                <w:szCs w:val="21"/>
                <w:lang w:eastAsia="zh-CN"/>
              </w:rPr>
            </w:pPr>
            <w:r>
              <w:rPr>
                <w:rFonts w:hint="eastAsia"/>
                <w:color w:val="auto"/>
                <w:kern w:val="0"/>
                <w:szCs w:val="21"/>
                <w:lang w:val="en-US" w:eastAsia="zh-CN"/>
              </w:rPr>
              <w:t>0</w:t>
            </w:r>
          </w:p>
        </w:tc>
        <w:tc>
          <w:tcPr>
            <w:tcW w:w="102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0%</w:t>
            </w:r>
          </w:p>
        </w:tc>
        <w:tc>
          <w:tcPr>
            <w:tcW w:w="147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基本支出</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219.62</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219.62</w:t>
            </w:r>
          </w:p>
        </w:tc>
        <w:tc>
          <w:tcPr>
            <w:tcW w:w="273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0</w:t>
            </w:r>
          </w:p>
        </w:tc>
        <w:tc>
          <w:tcPr>
            <w:tcW w:w="1023"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w:t>
            </w:r>
          </w:p>
        </w:tc>
        <w:tc>
          <w:tcPr>
            <w:tcW w:w="1479"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政策和项目支出</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128.7</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128.7</w:t>
            </w:r>
          </w:p>
        </w:tc>
        <w:tc>
          <w:tcPr>
            <w:tcW w:w="2739" w:type="dxa"/>
            <w:noWrap/>
            <w:vAlign w:val="center"/>
          </w:tcPr>
          <w:p>
            <w:pPr>
              <w:widowControl/>
              <w:spacing w:line="290" w:lineRule="exact"/>
              <w:jc w:val="left"/>
              <w:rPr>
                <w:rFonts w:hint="eastAsia" w:eastAsia="宋体"/>
                <w:color w:val="auto"/>
                <w:kern w:val="0"/>
                <w:szCs w:val="21"/>
                <w:lang w:val="en-US" w:eastAsia="zh-CN"/>
              </w:rPr>
            </w:pPr>
            <w:r>
              <w:rPr>
                <w:rFonts w:hint="eastAsia"/>
                <w:color w:val="auto"/>
                <w:kern w:val="0"/>
                <w:szCs w:val="21"/>
                <w:lang w:val="en-US" w:eastAsia="zh-CN"/>
              </w:rPr>
              <w:t>0</w:t>
            </w:r>
          </w:p>
        </w:tc>
        <w:tc>
          <w:tcPr>
            <w:tcW w:w="102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0%</w:t>
            </w:r>
          </w:p>
        </w:tc>
        <w:tc>
          <w:tcPr>
            <w:tcW w:w="147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787" w:type="dxa"/>
            <w:vMerge w:val="restart"/>
            <w:noWrap/>
            <w:vAlign w:val="center"/>
          </w:tcPr>
          <w:p>
            <w:pPr>
              <w:widowControl/>
              <w:spacing w:line="290" w:lineRule="exact"/>
              <w:jc w:val="center"/>
              <w:rPr>
                <w:color w:val="auto"/>
                <w:kern w:val="0"/>
                <w:szCs w:val="21"/>
              </w:rPr>
            </w:pPr>
            <w:r>
              <w:rPr>
                <w:rFonts w:hint="eastAsia"/>
                <w:color w:val="auto"/>
                <w:kern w:val="0"/>
                <w:szCs w:val="21"/>
              </w:rPr>
              <w:t>预算</w:t>
            </w:r>
          </w:p>
          <w:p>
            <w:pPr>
              <w:widowControl/>
              <w:spacing w:line="290" w:lineRule="exact"/>
              <w:jc w:val="center"/>
              <w:rPr>
                <w:color w:val="auto"/>
                <w:kern w:val="0"/>
                <w:szCs w:val="21"/>
              </w:rPr>
            </w:pPr>
            <w:r>
              <w:rPr>
                <w:rFonts w:hint="eastAsia"/>
                <w:color w:val="auto"/>
                <w:kern w:val="0"/>
                <w:szCs w:val="21"/>
              </w:rPr>
              <w:t>结构</w:t>
            </w:r>
          </w:p>
        </w:tc>
        <w:tc>
          <w:tcPr>
            <w:tcW w:w="1680" w:type="dxa"/>
            <w:noWrap/>
            <w:vAlign w:val="center"/>
          </w:tcPr>
          <w:p>
            <w:pPr>
              <w:widowControl/>
              <w:spacing w:line="290" w:lineRule="exact"/>
              <w:jc w:val="center"/>
              <w:rPr>
                <w:color w:val="auto"/>
                <w:kern w:val="0"/>
                <w:szCs w:val="21"/>
              </w:rPr>
            </w:pPr>
            <w:r>
              <w:rPr>
                <w:rFonts w:hint="eastAsia"/>
                <w:color w:val="auto"/>
                <w:kern w:val="0"/>
                <w:szCs w:val="21"/>
              </w:rPr>
              <w:t>项目</w:t>
            </w:r>
          </w:p>
        </w:tc>
        <w:tc>
          <w:tcPr>
            <w:tcW w:w="1013" w:type="dxa"/>
            <w:noWrap/>
            <w:vAlign w:val="center"/>
          </w:tcPr>
          <w:p>
            <w:pPr>
              <w:widowControl/>
              <w:spacing w:line="290" w:lineRule="exact"/>
              <w:jc w:val="center"/>
              <w:rPr>
                <w:color w:val="auto"/>
                <w:kern w:val="0"/>
                <w:szCs w:val="21"/>
              </w:rPr>
            </w:pPr>
            <w:r>
              <w:rPr>
                <w:rFonts w:hint="eastAsia"/>
                <w:color w:val="auto"/>
                <w:kern w:val="0"/>
                <w:szCs w:val="21"/>
              </w:rPr>
              <w:t>合计</w:t>
            </w:r>
          </w:p>
        </w:tc>
        <w:tc>
          <w:tcPr>
            <w:tcW w:w="1109" w:type="dxa"/>
            <w:noWrap/>
            <w:vAlign w:val="center"/>
          </w:tcPr>
          <w:p>
            <w:pPr>
              <w:widowControl/>
              <w:spacing w:line="290" w:lineRule="exact"/>
              <w:jc w:val="center"/>
              <w:rPr>
                <w:color w:val="auto"/>
                <w:kern w:val="0"/>
                <w:szCs w:val="21"/>
              </w:rPr>
            </w:pPr>
            <w:r>
              <w:rPr>
                <w:rFonts w:hint="eastAsia"/>
                <w:color w:val="auto"/>
                <w:kern w:val="0"/>
                <w:szCs w:val="21"/>
              </w:rPr>
              <w:t>一般公共预算安排</w:t>
            </w:r>
          </w:p>
        </w:tc>
        <w:tc>
          <w:tcPr>
            <w:tcW w:w="2739" w:type="dxa"/>
            <w:noWrap/>
            <w:vAlign w:val="center"/>
          </w:tcPr>
          <w:p>
            <w:pPr>
              <w:widowControl/>
              <w:spacing w:line="290" w:lineRule="exact"/>
              <w:jc w:val="center"/>
              <w:rPr>
                <w:color w:val="auto"/>
                <w:kern w:val="0"/>
                <w:szCs w:val="21"/>
              </w:rPr>
            </w:pPr>
            <w:r>
              <w:rPr>
                <w:rFonts w:hint="eastAsia"/>
                <w:color w:val="auto"/>
                <w:kern w:val="0"/>
                <w:szCs w:val="21"/>
              </w:rPr>
              <w:t>政府性基金预算安排</w:t>
            </w:r>
          </w:p>
        </w:tc>
        <w:tc>
          <w:tcPr>
            <w:tcW w:w="1023" w:type="dxa"/>
            <w:noWrap/>
            <w:vAlign w:val="center"/>
          </w:tcPr>
          <w:p>
            <w:pPr>
              <w:widowControl/>
              <w:spacing w:line="290" w:lineRule="exact"/>
              <w:jc w:val="center"/>
              <w:rPr>
                <w:color w:val="auto"/>
                <w:kern w:val="0"/>
                <w:szCs w:val="21"/>
              </w:rPr>
            </w:pPr>
            <w:r>
              <w:rPr>
                <w:rFonts w:hint="eastAsia"/>
                <w:color w:val="auto"/>
                <w:kern w:val="0"/>
                <w:szCs w:val="21"/>
              </w:rPr>
              <w:t>国有资本经营预算安排</w:t>
            </w:r>
          </w:p>
        </w:tc>
        <w:tc>
          <w:tcPr>
            <w:tcW w:w="1479" w:type="dxa"/>
            <w:noWrap/>
            <w:vAlign w:val="center"/>
          </w:tcPr>
          <w:p>
            <w:pPr>
              <w:widowControl/>
              <w:spacing w:line="290" w:lineRule="exact"/>
              <w:jc w:val="center"/>
              <w:rPr>
                <w:color w:val="auto"/>
                <w:kern w:val="0"/>
                <w:szCs w:val="21"/>
              </w:rPr>
            </w:pPr>
            <w:r>
              <w:rPr>
                <w:rFonts w:hint="eastAsia"/>
                <w:color w:val="auto"/>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预算额</w:t>
            </w:r>
            <w:r>
              <w:rPr>
                <w:color w:val="auto"/>
                <w:kern w:val="0"/>
                <w:szCs w:val="21"/>
              </w:rPr>
              <w:t>(</w:t>
            </w:r>
            <w:r>
              <w:rPr>
                <w:rFonts w:hint="eastAsia"/>
                <w:color w:val="auto"/>
                <w:kern w:val="0"/>
                <w:szCs w:val="21"/>
              </w:rPr>
              <w:t>万元</w:t>
            </w:r>
            <w:r>
              <w:rPr>
                <w:color w:val="auto"/>
                <w:kern w:val="0"/>
                <w:szCs w:val="21"/>
              </w:rPr>
              <w:t>)</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2739" w:type="dxa"/>
            <w:noWrap/>
            <w:vAlign w:val="center"/>
          </w:tcPr>
          <w:p>
            <w:pPr>
              <w:widowControl/>
              <w:spacing w:line="290" w:lineRule="exact"/>
              <w:jc w:val="left"/>
              <w:rPr>
                <w:color w:val="auto"/>
                <w:kern w:val="0"/>
                <w:szCs w:val="21"/>
              </w:rPr>
            </w:pPr>
            <w:r>
              <w:rPr>
                <w:rFonts w:hint="eastAsia"/>
                <w:color w:val="auto"/>
                <w:kern w:val="0"/>
                <w:szCs w:val="21"/>
              </w:rPr>
              <w:t>　</w:t>
            </w:r>
          </w:p>
        </w:tc>
        <w:tc>
          <w:tcPr>
            <w:tcW w:w="1023" w:type="dxa"/>
            <w:noWrap/>
            <w:vAlign w:val="center"/>
          </w:tcPr>
          <w:p>
            <w:pPr>
              <w:widowControl/>
              <w:spacing w:line="290" w:lineRule="exact"/>
              <w:jc w:val="left"/>
              <w:rPr>
                <w:color w:val="auto"/>
                <w:kern w:val="0"/>
                <w:szCs w:val="21"/>
              </w:rPr>
            </w:pPr>
            <w:r>
              <w:rPr>
                <w:rFonts w:hint="eastAsia"/>
                <w:color w:val="auto"/>
                <w:kern w:val="0"/>
                <w:szCs w:val="21"/>
              </w:rPr>
              <w:t>　</w:t>
            </w:r>
          </w:p>
        </w:tc>
        <w:tc>
          <w:tcPr>
            <w:tcW w:w="1479" w:type="dxa"/>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执行额</w:t>
            </w:r>
            <w:r>
              <w:rPr>
                <w:color w:val="auto"/>
                <w:kern w:val="0"/>
                <w:szCs w:val="21"/>
              </w:rPr>
              <w:t>(</w:t>
            </w:r>
            <w:r>
              <w:rPr>
                <w:rFonts w:hint="eastAsia"/>
                <w:color w:val="auto"/>
                <w:kern w:val="0"/>
                <w:szCs w:val="21"/>
              </w:rPr>
              <w:t>万元</w:t>
            </w:r>
            <w:r>
              <w:rPr>
                <w:color w:val="auto"/>
                <w:kern w:val="0"/>
                <w:szCs w:val="21"/>
              </w:rPr>
              <w:t>)</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lang w:val="en-US" w:eastAsia="zh-CN"/>
              </w:rPr>
              <w:t>348.31</w:t>
            </w:r>
          </w:p>
        </w:tc>
        <w:tc>
          <w:tcPr>
            <w:tcW w:w="2739" w:type="dxa"/>
            <w:noWrap/>
            <w:vAlign w:val="center"/>
          </w:tcPr>
          <w:p>
            <w:pPr>
              <w:widowControl/>
              <w:spacing w:line="290" w:lineRule="exact"/>
              <w:jc w:val="left"/>
              <w:rPr>
                <w:color w:val="auto"/>
                <w:kern w:val="0"/>
                <w:szCs w:val="21"/>
              </w:rPr>
            </w:pPr>
            <w:r>
              <w:rPr>
                <w:rFonts w:hint="eastAsia"/>
                <w:color w:val="auto"/>
                <w:kern w:val="0"/>
                <w:szCs w:val="21"/>
              </w:rPr>
              <w:t>　</w:t>
            </w:r>
          </w:p>
        </w:tc>
        <w:tc>
          <w:tcPr>
            <w:tcW w:w="1023" w:type="dxa"/>
            <w:noWrap/>
            <w:vAlign w:val="center"/>
          </w:tcPr>
          <w:p>
            <w:pPr>
              <w:widowControl/>
              <w:spacing w:line="290" w:lineRule="exact"/>
              <w:jc w:val="left"/>
              <w:rPr>
                <w:color w:val="auto"/>
                <w:kern w:val="0"/>
                <w:szCs w:val="21"/>
              </w:rPr>
            </w:pPr>
            <w:r>
              <w:rPr>
                <w:rFonts w:hint="eastAsia"/>
                <w:color w:val="auto"/>
                <w:kern w:val="0"/>
                <w:szCs w:val="21"/>
              </w:rPr>
              <w:t>　</w:t>
            </w:r>
          </w:p>
        </w:tc>
        <w:tc>
          <w:tcPr>
            <w:tcW w:w="1479" w:type="dxa"/>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spacing w:val="-20"/>
                <w:kern w:val="0"/>
                <w:szCs w:val="21"/>
              </w:rPr>
            </w:pPr>
            <w:r>
              <w:rPr>
                <w:rFonts w:hint="eastAsia"/>
                <w:color w:val="auto"/>
                <w:spacing w:val="-20"/>
                <w:kern w:val="0"/>
                <w:szCs w:val="21"/>
              </w:rPr>
              <w:t>当年结转结余额</w:t>
            </w:r>
            <w:r>
              <w:rPr>
                <w:color w:val="auto"/>
                <w:kern w:val="0"/>
                <w:szCs w:val="21"/>
              </w:rPr>
              <w:t>(</w:t>
            </w:r>
            <w:r>
              <w:rPr>
                <w:rFonts w:hint="eastAsia"/>
                <w:color w:val="auto"/>
                <w:kern w:val="0"/>
                <w:szCs w:val="21"/>
              </w:rPr>
              <w:t>万元</w:t>
            </w:r>
            <w:r>
              <w:rPr>
                <w:color w:val="auto"/>
                <w:kern w:val="0"/>
                <w:szCs w:val="21"/>
              </w:rPr>
              <w:t>)</w:t>
            </w:r>
          </w:p>
        </w:tc>
        <w:tc>
          <w:tcPr>
            <w:tcW w:w="1013" w:type="dxa"/>
            <w:noWrap/>
            <w:vAlign w:val="center"/>
          </w:tcPr>
          <w:p>
            <w:pPr>
              <w:widowControl/>
              <w:spacing w:line="290" w:lineRule="exact"/>
              <w:jc w:val="left"/>
              <w:rPr>
                <w:rFonts w:hint="eastAsia"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1109" w:type="dxa"/>
            <w:noWrap/>
            <w:vAlign w:val="center"/>
          </w:tcPr>
          <w:p>
            <w:pPr>
              <w:widowControl/>
              <w:spacing w:line="290" w:lineRule="exact"/>
              <w:jc w:val="left"/>
              <w:rPr>
                <w:rFonts w:hint="eastAsia"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2739" w:type="dxa"/>
            <w:noWrap/>
            <w:vAlign w:val="center"/>
          </w:tcPr>
          <w:p>
            <w:pPr>
              <w:widowControl/>
              <w:spacing w:line="290" w:lineRule="exact"/>
              <w:jc w:val="left"/>
              <w:rPr>
                <w:color w:val="auto"/>
                <w:kern w:val="0"/>
                <w:szCs w:val="21"/>
              </w:rPr>
            </w:pPr>
            <w:r>
              <w:rPr>
                <w:rFonts w:hint="eastAsia"/>
                <w:color w:val="auto"/>
                <w:kern w:val="0"/>
                <w:szCs w:val="21"/>
              </w:rPr>
              <w:t>　</w:t>
            </w:r>
          </w:p>
        </w:tc>
        <w:tc>
          <w:tcPr>
            <w:tcW w:w="1023" w:type="dxa"/>
            <w:noWrap/>
            <w:vAlign w:val="center"/>
          </w:tcPr>
          <w:p>
            <w:pPr>
              <w:widowControl/>
              <w:spacing w:line="290" w:lineRule="exact"/>
              <w:jc w:val="left"/>
              <w:rPr>
                <w:color w:val="auto"/>
                <w:kern w:val="0"/>
                <w:szCs w:val="21"/>
              </w:rPr>
            </w:pPr>
            <w:r>
              <w:rPr>
                <w:rFonts w:hint="eastAsia"/>
                <w:color w:val="auto"/>
                <w:kern w:val="0"/>
                <w:szCs w:val="21"/>
              </w:rPr>
              <w:t>　</w:t>
            </w:r>
          </w:p>
        </w:tc>
        <w:tc>
          <w:tcPr>
            <w:tcW w:w="1479" w:type="dxa"/>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结转结余率</w:t>
            </w:r>
            <w:r>
              <w:rPr>
                <w:color w:val="auto"/>
                <w:kern w:val="0"/>
                <w:szCs w:val="21"/>
              </w:rPr>
              <w:t>%</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2739" w:type="dxa"/>
            <w:noWrap/>
            <w:vAlign w:val="center"/>
          </w:tcPr>
          <w:p>
            <w:pPr>
              <w:widowControl/>
              <w:spacing w:line="290" w:lineRule="exact"/>
              <w:jc w:val="left"/>
              <w:rPr>
                <w:color w:val="auto"/>
                <w:kern w:val="0"/>
                <w:szCs w:val="21"/>
              </w:rPr>
            </w:pPr>
            <w:r>
              <w:rPr>
                <w:rFonts w:hint="eastAsia"/>
                <w:color w:val="auto"/>
                <w:kern w:val="0"/>
                <w:szCs w:val="21"/>
              </w:rPr>
              <w:t>　</w:t>
            </w:r>
          </w:p>
        </w:tc>
        <w:tc>
          <w:tcPr>
            <w:tcW w:w="1023" w:type="dxa"/>
            <w:noWrap/>
            <w:vAlign w:val="center"/>
          </w:tcPr>
          <w:p>
            <w:pPr>
              <w:widowControl/>
              <w:spacing w:line="290" w:lineRule="exact"/>
              <w:jc w:val="left"/>
              <w:rPr>
                <w:color w:val="auto"/>
                <w:kern w:val="0"/>
                <w:szCs w:val="21"/>
              </w:rPr>
            </w:pPr>
            <w:r>
              <w:rPr>
                <w:rFonts w:hint="eastAsia"/>
                <w:color w:val="auto"/>
                <w:kern w:val="0"/>
                <w:szCs w:val="21"/>
              </w:rPr>
              <w:t>　</w:t>
            </w:r>
          </w:p>
        </w:tc>
        <w:tc>
          <w:tcPr>
            <w:tcW w:w="1479" w:type="dxa"/>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color w:val="auto"/>
                <w:kern w:val="0"/>
                <w:szCs w:val="21"/>
              </w:rPr>
            </w:pPr>
          </w:p>
        </w:tc>
        <w:tc>
          <w:tcPr>
            <w:tcW w:w="1680" w:type="dxa"/>
            <w:noWrap/>
            <w:vAlign w:val="center"/>
          </w:tcPr>
          <w:p>
            <w:pPr>
              <w:widowControl/>
              <w:spacing w:line="290" w:lineRule="exact"/>
              <w:jc w:val="center"/>
              <w:rPr>
                <w:color w:val="auto"/>
                <w:kern w:val="0"/>
                <w:szCs w:val="21"/>
              </w:rPr>
            </w:pPr>
            <w:r>
              <w:rPr>
                <w:rFonts w:hint="eastAsia"/>
                <w:color w:val="auto"/>
                <w:kern w:val="0"/>
                <w:szCs w:val="21"/>
              </w:rPr>
              <w:t>结转结余变动率</w:t>
            </w:r>
            <w:r>
              <w:rPr>
                <w:color w:val="auto"/>
                <w:kern w:val="0"/>
                <w:szCs w:val="21"/>
              </w:rPr>
              <w:t>%</w:t>
            </w:r>
          </w:p>
        </w:tc>
        <w:tc>
          <w:tcPr>
            <w:tcW w:w="1013"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1109" w:type="dxa"/>
            <w:noWrap/>
            <w:vAlign w:val="center"/>
          </w:tcPr>
          <w:p>
            <w:pPr>
              <w:widowControl/>
              <w:spacing w:line="29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2739" w:type="dxa"/>
            <w:noWrap/>
            <w:vAlign w:val="center"/>
          </w:tcPr>
          <w:p>
            <w:pPr>
              <w:widowControl/>
              <w:spacing w:line="290" w:lineRule="exact"/>
              <w:jc w:val="left"/>
              <w:rPr>
                <w:color w:val="auto"/>
                <w:kern w:val="0"/>
                <w:szCs w:val="21"/>
              </w:rPr>
            </w:pPr>
            <w:r>
              <w:rPr>
                <w:rFonts w:hint="eastAsia"/>
                <w:color w:val="auto"/>
                <w:kern w:val="0"/>
                <w:szCs w:val="21"/>
              </w:rPr>
              <w:t>　</w:t>
            </w:r>
          </w:p>
        </w:tc>
        <w:tc>
          <w:tcPr>
            <w:tcW w:w="1023" w:type="dxa"/>
            <w:noWrap/>
            <w:vAlign w:val="center"/>
          </w:tcPr>
          <w:p>
            <w:pPr>
              <w:widowControl/>
              <w:spacing w:line="290" w:lineRule="exact"/>
              <w:jc w:val="left"/>
              <w:rPr>
                <w:color w:val="auto"/>
                <w:kern w:val="0"/>
                <w:szCs w:val="21"/>
              </w:rPr>
            </w:pPr>
            <w:r>
              <w:rPr>
                <w:rFonts w:hint="eastAsia"/>
                <w:color w:val="auto"/>
                <w:kern w:val="0"/>
                <w:szCs w:val="21"/>
              </w:rPr>
              <w:t>　</w:t>
            </w:r>
          </w:p>
        </w:tc>
        <w:tc>
          <w:tcPr>
            <w:tcW w:w="1479" w:type="dxa"/>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787" w:type="dxa"/>
            <w:vMerge w:val="restart"/>
            <w:noWrap/>
            <w:vAlign w:val="center"/>
          </w:tcPr>
          <w:p>
            <w:pPr>
              <w:widowControl/>
              <w:spacing w:line="400" w:lineRule="exact"/>
              <w:jc w:val="center"/>
              <w:rPr>
                <w:color w:val="auto"/>
                <w:kern w:val="0"/>
                <w:szCs w:val="21"/>
              </w:rPr>
            </w:pPr>
            <w:r>
              <w:rPr>
                <w:rFonts w:hint="eastAsia"/>
                <w:color w:val="auto"/>
                <w:kern w:val="0"/>
                <w:szCs w:val="21"/>
              </w:rPr>
              <w:t>年度总体目标</w:t>
            </w:r>
          </w:p>
        </w:tc>
        <w:tc>
          <w:tcPr>
            <w:tcW w:w="2693" w:type="dxa"/>
            <w:gridSpan w:val="2"/>
            <w:noWrap/>
            <w:vAlign w:val="center"/>
          </w:tcPr>
          <w:p>
            <w:pPr>
              <w:widowControl/>
              <w:spacing w:line="400" w:lineRule="exact"/>
              <w:jc w:val="center"/>
              <w:rPr>
                <w:color w:val="auto"/>
                <w:kern w:val="0"/>
                <w:szCs w:val="21"/>
              </w:rPr>
            </w:pPr>
            <w:r>
              <w:rPr>
                <w:rFonts w:hint="eastAsia"/>
                <w:color w:val="auto"/>
                <w:kern w:val="0"/>
                <w:szCs w:val="21"/>
              </w:rPr>
              <w:t>预算总体目标</w:t>
            </w:r>
          </w:p>
        </w:tc>
        <w:tc>
          <w:tcPr>
            <w:tcW w:w="3848" w:type="dxa"/>
            <w:gridSpan w:val="2"/>
            <w:noWrap/>
            <w:vAlign w:val="center"/>
          </w:tcPr>
          <w:p>
            <w:pPr>
              <w:widowControl/>
              <w:spacing w:line="400" w:lineRule="exact"/>
              <w:jc w:val="center"/>
              <w:rPr>
                <w:color w:val="auto"/>
                <w:kern w:val="0"/>
                <w:szCs w:val="21"/>
              </w:rPr>
            </w:pPr>
            <w:r>
              <w:rPr>
                <w:rFonts w:hint="eastAsia"/>
                <w:color w:val="auto"/>
                <w:kern w:val="0"/>
                <w:szCs w:val="21"/>
              </w:rPr>
              <w:t>预算总体目标执行结果</w:t>
            </w:r>
          </w:p>
        </w:tc>
        <w:tc>
          <w:tcPr>
            <w:tcW w:w="2502" w:type="dxa"/>
            <w:gridSpan w:val="2"/>
            <w:noWrap/>
            <w:vAlign w:val="center"/>
          </w:tcPr>
          <w:p>
            <w:pPr>
              <w:widowControl/>
              <w:spacing w:line="400" w:lineRule="exact"/>
              <w:jc w:val="center"/>
              <w:rPr>
                <w:color w:val="auto"/>
                <w:kern w:val="0"/>
                <w:szCs w:val="21"/>
              </w:rPr>
            </w:pPr>
            <w:r>
              <w:rPr>
                <w:rFonts w:hint="eastAsia"/>
                <w:color w:val="auto"/>
                <w:kern w:val="0"/>
                <w:szCs w:val="21"/>
              </w:rPr>
              <w:t>预算总体目标与预算总体目标</w:t>
            </w:r>
          </w:p>
          <w:p>
            <w:pPr>
              <w:widowControl/>
              <w:spacing w:line="400" w:lineRule="exact"/>
              <w:jc w:val="center"/>
              <w:rPr>
                <w:color w:val="auto"/>
                <w:kern w:val="0"/>
                <w:szCs w:val="21"/>
              </w:rPr>
            </w:pPr>
            <w:r>
              <w:rPr>
                <w:rFonts w:hint="eastAsia"/>
                <w:color w:val="auto"/>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400" w:lineRule="exact"/>
              <w:jc w:val="left"/>
              <w:rPr>
                <w:color w:val="auto"/>
                <w:kern w:val="0"/>
                <w:szCs w:val="21"/>
              </w:rPr>
            </w:pPr>
          </w:p>
        </w:tc>
        <w:tc>
          <w:tcPr>
            <w:tcW w:w="269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rPr>
              <w:t>目标</w:t>
            </w:r>
            <w:r>
              <w:rPr>
                <w:color w:val="auto"/>
                <w:kern w:val="0"/>
                <w:szCs w:val="21"/>
              </w:rPr>
              <w:t>1:</w:t>
            </w:r>
            <w:r>
              <w:rPr>
                <w:rFonts w:hint="eastAsia"/>
                <w:color w:val="auto"/>
                <w:kern w:val="0"/>
                <w:szCs w:val="21"/>
                <w:lang w:eastAsia="zh-CN"/>
              </w:rPr>
              <w:t>及时有效化解群众各类矛盾纠纷，做好治重化积工作。</w:t>
            </w:r>
          </w:p>
        </w:tc>
        <w:tc>
          <w:tcPr>
            <w:tcW w:w="3848"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eastAsia="zh-CN"/>
              </w:rPr>
              <w:t>基本完成</w:t>
            </w:r>
          </w:p>
        </w:tc>
        <w:tc>
          <w:tcPr>
            <w:tcW w:w="2502"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2022年中央交办治重化积案件7件，到2022年底全部上报化解。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400" w:lineRule="exact"/>
              <w:jc w:val="left"/>
              <w:rPr>
                <w:color w:val="auto"/>
                <w:kern w:val="0"/>
                <w:szCs w:val="21"/>
              </w:rPr>
            </w:pPr>
          </w:p>
        </w:tc>
        <w:tc>
          <w:tcPr>
            <w:tcW w:w="269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目标</w:t>
            </w:r>
            <w:r>
              <w:rPr>
                <w:color w:val="auto"/>
                <w:kern w:val="0"/>
                <w:szCs w:val="21"/>
              </w:rPr>
              <w:t>2:</w:t>
            </w:r>
            <w:r>
              <w:rPr>
                <w:rFonts w:hint="eastAsia"/>
                <w:color w:val="auto"/>
                <w:kern w:val="0"/>
                <w:szCs w:val="21"/>
                <w:lang w:eastAsia="zh-CN"/>
              </w:rPr>
              <w:t>防止信访上行，控总量，防增量，确保重要敏感节点</w:t>
            </w:r>
            <w:r>
              <w:rPr>
                <w:rFonts w:hint="eastAsia"/>
                <w:color w:val="auto"/>
                <w:kern w:val="0"/>
                <w:szCs w:val="21"/>
                <w:lang w:val="en-US" w:eastAsia="zh-CN"/>
              </w:rPr>
              <w:t>零到省零进京。</w:t>
            </w:r>
          </w:p>
        </w:tc>
        <w:tc>
          <w:tcPr>
            <w:tcW w:w="3848"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eastAsia="zh-CN"/>
              </w:rPr>
              <w:t>基本完成</w:t>
            </w:r>
          </w:p>
        </w:tc>
        <w:tc>
          <w:tcPr>
            <w:tcW w:w="2502"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2022年进京走访1批1人次，到省走访10批12人次。重要敏感节点无人员走访登记。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787" w:type="dxa"/>
            <w:vMerge w:val="continue"/>
            <w:noWrap w:val="0"/>
            <w:vAlign w:val="center"/>
          </w:tcPr>
          <w:p>
            <w:pPr>
              <w:widowControl/>
              <w:spacing w:line="400" w:lineRule="exact"/>
              <w:jc w:val="left"/>
              <w:rPr>
                <w:color w:val="auto"/>
                <w:kern w:val="0"/>
                <w:szCs w:val="21"/>
              </w:rPr>
            </w:pPr>
          </w:p>
        </w:tc>
        <w:tc>
          <w:tcPr>
            <w:tcW w:w="269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ascii="Times New Roman" w:hAnsi="Times New Roman" w:eastAsia="宋体" w:cs="Times New Roman"/>
                <w:color w:val="auto"/>
                <w:kern w:val="0"/>
                <w:sz w:val="21"/>
                <w:szCs w:val="21"/>
                <w:lang w:val="en-US" w:eastAsia="zh-CN" w:bidi="ar-SA"/>
              </w:rPr>
            </w:pPr>
            <w:r>
              <w:rPr>
                <w:rFonts w:hint="eastAsia"/>
                <w:color w:val="auto"/>
                <w:kern w:val="0"/>
                <w:szCs w:val="21"/>
              </w:rPr>
              <w:t>目标</w:t>
            </w:r>
            <w:r>
              <w:rPr>
                <w:color w:val="auto"/>
                <w:kern w:val="0"/>
                <w:szCs w:val="21"/>
              </w:rPr>
              <w:t>3:</w:t>
            </w:r>
            <w:r>
              <w:rPr>
                <w:rFonts w:hint="eastAsia" w:eastAsia="宋体"/>
                <w:color w:val="auto"/>
                <w:kern w:val="0"/>
                <w:sz w:val="21"/>
                <w:szCs w:val="21"/>
              </w:rPr>
              <w:t>进一步促进党和人民群众的血肉联系，提高了人民群众满意度。</w:t>
            </w:r>
          </w:p>
        </w:tc>
        <w:tc>
          <w:tcPr>
            <w:tcW w:w="3848"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ascii="Times New Roman" w:hAnsi="Times New Roman" w:eastAsia="宋体" w:cs="Times New Roman"/>
                <w:color w:val="auto"/>
                <w:kern w:val="0"/>
                <w:sz w:val="21"/>
                <w:szCs w:val="21"/>
                <w:lang w:val="en-US" w:eastAsia="zh-CN" w:bidi="ar-SA"/>
              </w:rPr>
            </w:pPr>
            <w:r>
              <w:rPr>
                <w:rFonts w:hint="eastAsia"/>
                <w:color w:val="auto"/>
                <w:kern w:val="0"/>
                <w:szCs w:val="21"/>
                <w:lang w:eastAsia="zh-CN"/>
              </w:rPr>
              <w:t>已完成</w:t>
            </w:r>
            <w:r>
              <w:rPr>
                <w:rFonts w:hint="eastAsia"/>
                <w:color w:val="auto"/>
                <w:kern w:val="0"/>
                <w:szCs w:val="21"/>
              </w:rPr>
              <w:t>　</w:t>
            </w:r>
          </w:p>
        </w:tc>
        <w:tc>
          <w:tcPr>
            <w:tcW w:w="2502"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群众满意率</w:t>
            </w:r>
            <w:r>
              <w:rPr>
                <w:rFonts w:hint="eastAsia" w:ascii="宋体" w:hAnsi="宋体" w:eastAsia="宋体" w:cs="宋体"/>
                <w:color w:val="auto"/>
                <w:kern w:val="0"/>
                <w:sz w:val="21"/>
                <w:szCs w:val="21"/>
                <w:lang w:val="en-US" w:eastAsia="zh-CN" w:bidi="ar-SA"/>
              </w:rPr>
              <w:t>≧</w:t>
            </w:r>
            <w:r>
              <w:rPr>
                <w:rFonts w:hint="eastAsia" w:cs="Times New Roman"/>
                <w:color w:val="auto"/>
                <w:kern w:val="0"/>
                <w:sz w:val="21"/>
                <w:szCs w:val="21"/>
                <w:lang w:val="en-US" w:eastAsia="zh-CN" w:bidi="ar-SA"/>
              </w:rPr>
              <w:t>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787" w:type="dxa"/>
            <w:vMerge w:val="restart"/>
            <w:noWrap/>
            <w:vAlign w:val="center"/>
          </w:tcPr>
          <w:p>
            <w:pPr>
              <w:widowControl/>
              <w:spacing w:line="230" w:lineRule="exact"/>
              <w:jc w:val="center"/>
              <w:rPr>
                <w:color w:val="auto"/>
                <w:kern w:val="0"/>
                <w:szCs w:val="21"/>
              </w:rPr>
            </w:pPr>
            <w:r>
              <w:rPr>
                <w:rFonts w:hint="eastAsia"/>
                <w:color w:val="auto"/>
                <w:kern w:val="0"/>
                <w:szCs w:val="21"/>
              </w:rPr>
              <w:t>年度绩效指标</w:t>
            </w:r>
          </w:p>
        </w:tc>
        <w:tc>
          <w:tcPr>
            <w:tcW w:w="1680" w:type="dxa"/>
            <w:noWrap/>
            <w:vAlign w:val="center"/>
          </w:tcPr>
          <w:p>
            <w:pPr>
              <w:widowControl/>
              <w:spacing w:line="230" w:lineRule="exact"/>
              <w:jc w:val="center"/>
              <w:rPr>
                <w:color w:val="auto"/>
                <w:kern w:val="0"/>
                <w:szCs w:val="21"/>
              </w:rPr>
            </w:pPr>
            <w:r>
              <w:rPr>
                <w:rFonts w:hint="eastAsia"/>
                <w:color w:val="auto"/>
                <w:kern w:val="0"/>
                <w:szCs w:val="21"/>
              </w:rPr>
              <w:t>一级指标</w:t>
            </w:r>
          </w:p>
        </w:tc>
        <w:tc>
          <w:tcPr>
            <w:tcW w:w="1013" w:type="dxa"/>
            <w:noWrap/>
            <w:vAlign w:val="center"/>
          </w:tcPr>
          <w:p>
            <w:pPr>
              <w:widowControl/>
              <w:spacing w:line="230" w:lineRule="exact"/>
              <w:jc w:val="center"/>
              <w:rPr>
                <w:color w:val="auto"/>
                <w:kern w:val="0"/>
                <w:szCs w:val="21"/>
              </w:rPr>
            </w:pPr>
            <w:r>
              <w:rPr>
                <w:rFonts w:hint="eastAsia"/>
                <w:color w:val="auto"/>
                <w:kern w:val="0"/>
                <w:szCs w:val="21"/>
              </w:rPr>
              <w:t>二级指标</w:t>
            </w:r>
          </w:p>
        </w:tc>
        <w:tc>
          <w:tcPr>
            <w:tcW w:w="1109" w:type="dxa"/>
            <w:noWrap/>
            <w:vAlign w:val="center"/>
          </w:tcPr>
          <w:p>
            <w:pPr>
              <w:widowControl/>
              <w:spacing w:line="230" w:lineRule="exact"/>
              <w:jc w:val="center"/>
              <w:rPr>
                <w:color w:val="auto"/>
                <w:kern w:val="0"/>
                <w:szCs w:val="21"/>
              </w:rPr>
            </w:pPr>
            <w:r>
              <w:rPr>
                <w:rFonts w:hint="eastAsia"/>
                <w:color w:val="auto"/>
                <w:kern w:val="0"/>
                <w:szCs w:val="21"/>
              </w:rPr>
              <w:t>三级指标</w:t>
            </w:r>
          </w:p>
        </w:tc>
        <w:tc>
          <w:tcPr>
            <w:tcW w:w="2739" w:type="dxa"/>
            <w:noWrap/>
            <w:vAlign w:val="center"/>
          </w:tcPr>
          <w:p>
            <w:pPr>
              <w:widowControl/>
              <w:spacing w:line="230" w:lineRule="exact"/>
              <w:jc w:val="center"/>
              <w:rPr>
                <w:color w:val="auto"/>
                <w:kern w:val="0"/>
                <w:szCs w:val="21"/>
              </w:rPr>
            </w:pPr>
            <w:r>
              <w:rPr>
                <w:rFonts w:hint="eastAsia"/>
                <w:color w:val="auto"/>
                <w:kern w:val="0"/>
                <w:szCs w:val="21"/>
              </w:rPr>
              <w:t>预算指标值</w:t>
            </w:r>
            <w:r>
              <w:rPr>
                <w:color w:val="auto"/>
                <w:kern w:val="0"/>
                <w:szCs w:val="21"/>
              </w:rPr>
              <w:t>(</w:t>
            </w:r>
            <w:r>
              <w:rPr>
                <w:rFonts w:hint="eastAsia"/>
                <w:color w:val="auto"/>
                <w:kern w:val="0"/>
                <w:szCs w:val="21"/>
              </w:rPr>
              <w:t>包含数字及文字描述</w:t>
            </w:r>
            <w:r>
              <w:rPr>
                <w:color w:val="auto"/>
                <w:kern w:val="0"/>
                <w:szCs w:val="21"/>
              </w:rPr>
              <w:t>)</w:t>
            </w:r>
          </w:p>
        </w:tc>
        <w:tc>
          <w:tcPr>
            <w:tcW w:w="1023" w:type="dxa"/>
            <w:noWrap/>
            <w:vAlign w:val="center"/>
          </w:tcPr>
          <w:p>
            <w:pPr>
              <w:widowControl/>
              <w:spacing w:line="230" w:lineRule="exact"/>
              <w:jc w:val="center"/>
              <w:rPr>
                <w:color w:val="auto"/>
                <w:kern w:val="0"/>
                <w:szCs w:val="21"/>
              </w:rPr>
            </w:pPr>
            <w:r>
              <w:rPr>
                <w:rFonts w:hint="eastAsia"/>
                <w:color w:val="auto"/>
                <w:kern w:val="0"/>
                <w:szCs w:val="21"/>
              </w:rPr>
              <w:t>预算指标值执行结果</w:t>
            </w:r>
            <w:r>
              <w:rPr>
                <w:color w:val="auto"/>
                <w:kern w:val="0"/>
                <w:szCs w:val="21"/>
              </w:rPr>
              <w:t>(</w:t>
            </w:r>
            <w:r>
              <w:rPr>
                <w:rFonts w:hint="eastAsia"/>
                <w:color w:val="auto"/>
                <w:kern w:val="0"/>
                <w:szCs w:val="21"/>
              </w:rPr>
              <w:t>包含数字及文字描述</w:t>
            </w:r>
            <w:r>
              <w:rPr>
                <w:color w:val="auto"/>
                <w:kern w:val="0"/>
                <w:szCs w:val="21"/>
              </w:rPr>
              <w:t>)</w:t>
            </w:r>
          </w:p>
        </w:tc>
        <w:tc>
          <w:tcPr>
            <w:tcW w:w="1479" w:type="dxa"/>
            <w:noWrap/>
            <w:vAlign w:val="center"/>
          </w:tcPr>
          <w:p>
            <w:pPr>
              <w:widowControl/>
              <w:spacing w:line="230" w:lineRule="exact"/>
              <w:jc w:val="center"/>
              <w:rPr>
                <w:color w:val="auto"/>
                <w:kern w:val="0"/>
                <w:szCs w:val="21"/>
              </w:rPr>
            </w:pPr>
            <w:r>
              <w:rPr>
                <w:rFonts w:hint="eastAsia"/>
                <w:color w:val="auto"/>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restart"/>
            <w:noWrap/>
            <w:vAlign w:val="center"/>
          </w:tcPr>
          <w:p>
            <w:pPr>
              <w:widowControl/>
              <w:spacing w:line="230" w:lineRule="exact"/>
              <w:jc w:val="center"/>
              <w:rPr>
                <w:color w:val="auto"/>
                <w:kern w:val="0"/>
                <w:szCs w:val="21"/>
              </w:rPr>
            </w:pPr>
            <w:r>
              <w:rPr>
                <w:rFonts w:hint="eastAsia"/>
                <w:color w:val="auto"/>
                <w:kern w:val="0"/>
                <w:szCs w:val="21"/>
              </w:rPr>
              <w:t>完成</w:t>
            </w:r>
          </w:p>
          <w:p>
            <w:pPr>
              <w:widowControl/>
              <w:spacing w:line="230" w:lineRule="exact"/>
              <w:jc w:val="center"/>
              <w:rPr>
                <w:color w:val="auto"/>
                <w:kern w:val="0"/>
                <w:szCs w:val="21"/>
              </w:rPr>
            </w:pPr>
            <w:r>
              <w:rPr>
                <w:rFonts w:hint="eastAsia"/>
                <w:color w:val="auto"/>
                <w:kern w:val="0"/>
                <w:szCs w:val="21"/>
              </w:rPr>
              <w:t>指标</w:t>
            </w: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数量</w:t>
            </w:r>
          </w:p>
          <w:p>
            <w:pPr>
              <w:widowControl/>
              <w:spacing w:line="230" w:lineRule="exact"/>
              <w:jc w:val="center"/>
              <w:rPr>
                <w:color w:val="auto"/>
                <w:kern w:val="0"/>
                <w:szCs w:val="21"/>
              </w:rPr>
            </w:pPr>
            <w:r>
              <w:rPr>
                <w:rFonts w:hint="eastAsia"/>
                <w:color w:val="auto"/>
                <w:kern w:val="0"/>
                <w:szCs w:val="21"/>
              </w:rPr>
              <w:t>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制发相关文件</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制发</w:t>
            </w:r>
            <w:r>
              <w:rPr>
                <w:rFonts w:hint="eastAsia" w:eastAsia="宋体"/>
                <w:color w:val="auto"/>
                <w:kern w:val="0"/>
                <w:sz w:val="21"/>
                <w:szCs w:val="21"/>
              </w:rPr>
              <w:t>《关于做好202</w:t>
            </w:r>
            <w:r>
              <w:rPr>
                <w:rFonts w:hint="eastAsia"/>
                <w:color w:val="auto"/>
                <w:kern w:val="0"/>
                <w:sz w:val="21"/>
                <w:szCs w:val="21"/>
                <w:lang w:val="en-US" w:eastAsia="zh-CN"/>
              </w:rPr>
              <w:t>2</w:t>
            </w:r>
            <w:r>
              <w:rPr>
                <w:rFonts w:hint="eastAsia" w:eastAsia="宋体"/>
                <w:color w:val="auto"/>
                <w:kern w:val="0"/>
                <w:sz w:val="21"/>
                <w:szCs w:val="21"/>
              </w:rPr>
              <w:t>年党政领导干部接访工作的通知》</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1个</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开展专题活动</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开展专题学习宣传活动、业务培训活动</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12次</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3</w:t>
            </w:r>
            <w:r>
              <w:rPr>
                <w:rFonts w:eastAsia="宋体"/>
                <w:color w:val="auto"/>
                <w:kern w:val="0"/>
                <w:sz w:val="21"/>
                <w:szCs w:val="21"/>
              </w:rPr>
              <w:t>:</w:t>
            </w:r>
            <w:r>
              <w:rPr>
                <w:rFonts w:hint="eastAsia" w:eastAsia="宋体"/>
                <w:color w:val="auto"/>
                <w:kern w:val="0"/>
                <w:sz w:val="21"/>
                <w:szCs w:val="21"/>
                <w:lang w:eastAsia="zh-CN"/>
              </w:rPr>
              <w:t>化解信访积案难案</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eastAsia="宋体"/>
                <w:color w:val="auto"/>
                <w:kern w:val="0"/>
                <w:szCs w:val="21"/>
                <w:lang w:val="en-US" w:eastAsia="zh-CN"/>
              </w:rPr>
            </w:pPr>
            <w:r>
              <w:rPr>
                <w:rFonts w:hint="eastAsia" w:cs="Times New Roman"/>
                <w:color w:val="auto"/>
                <w:kern w:val="0"/>
                <w:sz w:val="21"/>
                <w:szCs w:val="21"/>
                <w:lang w:val="en-US" w:eastAsia="zh-CN" w:bidi="ar-SA"/>
              </w:rPr>
              <w:t>2022年中央交办治重化积案件7件,其他信访积案难案</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eastAsia"/>
                <w:color w:val="auto"/>
                <w:kern w:val="0"/>
                <w:szCs w:val="21"/>
              </w:rPr>
            </w:pPr>
            <w:r>
              <w:rPr>
                <w:rFonts w:hint="eastAsia" w:ascii="宋体" w:hAnsi="宋体" w:eastAsia="宋体" w:cs="宋体"/>
                <w:color w:val="auto"/>
                <w:kern w:val="0"/>
                <w:sz w:val="21"/>
                <w:szCs w:val="21"/>
                <w:lang w:val="en-US" w:eastAsia="zh-CN"/>
              </w:rPr>
              <w:t>≧</w:t>
            </w:r>
            <w:r>
              <w:rPr>
                <w:rFonts w:hint="eastAsia"/>
                <w:color w:val="auto"/>
                <w:kern w:val="0"/>
                <w:sz w:val="21"/>
                <w:szCs w:val="21"/>
                <w:lang w:val="en-US" w:eastAsia="zh-CN"/>
              </w:rPr>
              <w:t>100</w:t>
            </w:r>
            <w:r>
              <w:rPr>
                <w:rFonts w:hint="eastAsia" w:eastAsia="宋体"/>
                <w:color w:val="auto"/>
                <w:kern w:val="0"/>
                <w:sz w:val="21"/>
                <w:szCs w:val="21"/>
                <w:lang w:val="en-US" w:eastAsia="zh-CN"/>
              </w:rPr>
              <w:t>件</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color w:val="auto"/>
                <w:kern w:val="0"/>
                <w:sz w:val="21"/>
                <w:szCs w:val="21"/>
                <w:lang w:val="en-US" w:eastAsia="zh-CN"/>
              </w:rPr>
              <w:t>4</w:t>
            </w:r>
            <w:r>
              <w:rPr>
                <w:rFonts w:eastAsia="宋体"/>
                <w:color w:val="auto"/>
                <w:kern w:val="0"/>
                <w:sz w:val="21"/>
                <w:szCs w:val="21"/>
              </w:rPr>
              <w:t>:</w:t>
            </w:r>
            <w:r>
              <w:rPr>
                <w:rFonts w:hint="eastAsia" w:eastAsia="宋体"/>
                <w:color w:val="auto"/>
                <w:kern w:val="0"/>
                <w:sz w:val="21"/>
                <w:szCs w:val="21"/>
                <w:lang w:eastAsia="zh-CN"/>
              </w:rPr>
              <w:t>开展</w:t>
            </w:r>
            <w:r>
              <w:rPr>
                <w:rFonts w:hint="eastAsia"/>
                <w:color w:val="auto"/>
                <w:kern w:val="0"/>
                <w:sz w:val="21"/>
                <w:szCs w:val="21"/>
                <w:lang w:eastAsia="zh-CN"/>
              </w:rPr>
              <w:t>信访</w:t>
            </w:r>
            <w:r>
              <w:rPr>
                <w:rFonts w:hint="eastAsia" w:eastAsia="宋体"/>
                <w:color w:val="auto"/>
                <w:kern w:val="0"/>
                <w:sz w:val="21"/>
                <w:szCs w:val="21"/>
                <w:lang w:eastAsia="zh-CN"/>
              </w:rPr>
              <w:t>专项督查</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深入基层开展带案调研、专题调研等调查研究</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eastAsia"/>
                <w:color w:val="auto"/>
                <w:kern w:val="0"/>
                <w:szCs w:val="21"/>
              </w:rPr>
            </w:pPr>
            <w:r>
              <w:rPr>
                <w:rFonts w:hint="eastAsia" w:ascii="宋体" w:hAnsi="宋体" w:eastAsia="宋体" w:cs="宋体"/>
                <w:color w:val="auto"/>
                <w:kern w:val="0"/>
                <w:sz w:val="21"/>
                <w:szCs w:val="21"/>
                <w:lang w:val="en-US" w:eastAsia="zh-CN"/>
              </w:rPr>
              <w:t>≧</w:t>
            </w:r>
            <w:r>
              <w:rPr>
                <w:rFonts w:hint="eastAsia"/>
                <w:color w:val="auto"/>
                <w:kern w:val="0"/>
                <w:sz w:val="21"/>
                <w:szCs w:val="21"/>
                <w:lang w:val="en-US" w:eastAsia="zh-CN"/>
              </w:rPr>
              <w:t>40</w:t>
            </w:r>
            <w:r>
              <w:rPr>
                <w:rFonts w:hint="eastAsia" w:eastAsia="宋体"/>
                <w:color w:val="auto"/>
                <w:kern w:val="0"/>
                <w:sz w:val="21"/>
                <w:szCs w:val="21"/>
                <w:lang w:val="en-US" w:eastAsia="zh-CN"/>
              </w:rPr>
              <w:t>次</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hint="eastAsia"/>
                <w:color w:val="auto"/>
                <w:kern w:val="0"/>
                <w:sz w:val="21"/>
                <w:szCs w:val="21"/>
                <w:lang w:val="en-US" w:eastAsia="zh-CN"/>
              </w:rPr>
              <w:t>5</w:t>
            </w:r>
            <w:r>
              <w:rPr>
                <w:rFonts w:eastAsia="宋体"/>
                <w:color w:val="auto"/>
                <w:kern w:val="0"/>
                <w:sz w:val="21"/>
                <w:szCs w:val="21"/>
              </w:rPr>
              <w:t>:</w:t>
            </w:r>
            <w:r>
              <w:rPr>
                <w:rFonts w:hint="eastAsia"/>
                <w:color w:val="auto"/>
                <w:kern w:val="0"/>
                <w:sz w:val="21"/>
                <w:szCs w:val="21"/>
                <w:lang w:eastAsia="zh-CN"/>
              </w:rPr>
              <w:t>重要敏感节点</w:t>
            </w:r>
            <w:r>
              <w:rPr>
                <w:rFonts w:hint="eastAsia" w:eastAsia="宋体"/>
                <w:color w:val="auto"/>
                <w:kern w:val="0"/>
                <w:sz w:val="21"/>
                <w:szCs w:val="21"/>
                <w:lang w:eastAsia="zh-CN"/>
              </w:rPr>
              <w:t>开展矛盾纠纷排查</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开展矛盾纠纷摸排行动</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color w:val="auto"/>
                <w:kern w:val="0"/>
                <w:szCs w:val="21"/>
              </w:rPr>
            </w:pPr>
            <w:r>
              <w:rPr>
                <w:rFonts w:hint="eastAsia" w:ascii="宋体" w:hAnsi="宋体" w:eastAsia="宋体" w:cs="宋体"/>
                <w:color w:val="auto"/>
                <w:kern w:val="0"/>
                <w:sz w:val="21"/>
                <w:szCs w:val="21"/>
                <w:lang w:val="en-US" w:eastAsia="zh-CN"/>
              </w:rPr>
              <w:t>≧</w:t>
            </w:r>
            <w:r>
              <w:rPr>
                <w:rFonts w:hint="eastAsia"/>
                <w:color w:val="auto"/>
                <w:kern w:val="0"/>
                <w:sz w:val="21"/>
                <w:szCs w:val="21"/>
                <w:lang w:val="en-US" w:eastAsia="zh-CN"/>
              </w:rPr>
              <w:t>5</w:t>
            </w:r>
            <w:r>
              <w:rPr>
                <w:rFonts w:hint="eastAsia" w:eastAsia="宋体"/>
                <w:color w:val="auto"/>
                <w:kern w:val="0"/>
                <w:sz w:val="21"/>
                <w:szCs w:val="21"/>
                <w:lang w:val="en-US" w:eastAsia="zh-CN"/>
              </w:rPr>
              <w:t>次</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质量</w:t>
            </w:r>
          </w:p>
          <w:p>
            <w:pPr>
              <w:widowControl/>
              <w:spacing w:line="230" w:lineRule="exact"/>
              <w:jc w:val="center"/>
              <w:rPr>
                <w:color w:val="auto"/>
                <w:kern w:val="0"/>
                <w:szCs w:val="21"/>
              </w:rPr>
            </w:pPr>
            <w:r>
              <w:rPr>
                <w:rFonts w:hint="eastAsia"/>
                <w:color w:val="auto"/>
                <w:kern w:val="0"/>
                <w:szCs w:val="21"/>
              </w:rPr>
              <w:t>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规范办理流程</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对来访、来信、网上投诉按时、规范办理</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99%</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提高按期办结率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对来访、来信、网上投诉信访事件按期办结</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99%</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3</w:t>
            </w:r>
            <w:r>
              <w:rPr>
                <w:rFonts w:eastAsia="宋体"/>
                <w:color w:val="auto"/>
                <w:kern w:val="0"/>
                <w:sz w:val="21"/>
                <w:szCs w:val="21"/>
              </w:rPr>
              <w:t>:</w:t>
            </w:r>
            <w:r>
              <w:rPr>
                <w:rFonts w:hint="eastAsia" w:eastAsia="宋体"/>
                <w:color w:val="auto"/>
                <w:kern w:val="0"/>
                <w:sz w:val="21"/>
                <w:szCs w:val="21"/>
                <w:lang w:eastAsia="zh-CN"/>
              </w:rPr>
              <w:t>提高群众满意率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信访基础业务满意度评价参评率达标</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color w:val="auto"/>
                <w:kern w:val="0"/>
                <w:szCs w:val="21"/>
              </w:rPr>
            </w:pPr>
            <w:r>
              <w:rPr>
                <w:rFonts w:hint="eastAsia"/>
                <w:color w:val="auto"/>
                <w:kern w:val="0"/>
                <w:sz w:val="21"/>
                <w:szCs w:val="21"/>
                <w:lang w:val="en-US" w:eastAsia="zh-CN"/>
              </w:rPr>
              <w:t>98%</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4</w:t>
            </w:r>
            <w:r>
              <w:rPr>
                <w:rFonts w:eastAsia="宋体"/>
                <w:color w:val="auto"/>
                <w:kern w:val="0"/>
                <w:sz w:val="21"/>
                <w:szCs w:val="21"/>
              </w:rPr>
              <w:t>:</w:t>
            </w:r>
            <w:r>
              <w:rPr>
                <w:rFonts w:hint="eastAsia"/>
                <w:color w:val="auto"/>
                <w:kern w:val="0"/>
                <w:sz w:val="21"/>
                <w:szCs w:val="21"/>
                <w:lang w:eastAsia="zh-CN"/>
              </w:rPr>
              <w:t>畅通</w:t>
            </w:r>
            <w:r>
              <w:rPr>
                <w:rFonts w:hint="eastAsia" w:eastAsia="宋体"/>
                <w:color w:val="auto"/>
                <w:kern w:val="0"/>
                <w:sz w:val="21"/>
                <w:szCs w:val="21"/>
                <w:lang w:eastAsia="zh-CN"/>
              </w:rPr>
              <w:t>信息渠道</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不发生访情信息迟报、误报、漏报、瞒报的情形</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color w:val="auto"/>
                <w:kern w:val="0"/>
                <w:szCs w:val="21"/>
              </w:rPr>
            </w:pPr>
            <w:r>
              <w:rPr>
                <w:rFonts w:hint="eastAsia" w:eastAsia="宋体"/>
                <w:color w:val="auto"/>
                <w:kern w:val="0"/>
                <w:sz w:val="21"/>
                <w:szCs w:val="21"/>
                <w:lang w:val="en-US" w:eastAsia="zh-CN"/>
              </w:rPr>
              <w:t>0起</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5</w:t>
            </w:r>
            <w:r>
              <w:rPr>
                <w:rFonts w:eastAsia="宋体"/>
                <w:color w:val="auto"/>
                <w:kern w:val="0"/>
                <w:sz w:val="21"/>
                <w:szCs w:val="21"/>
              </w:rPr>
              <w:t>:</w:t>
            </w:r>
            <w:r>
              <w:rPr>
                <w:rFonts w:hint="eastAsia" w:eastAsia="宋体"/>
                <w:color w:val="auto"/>
                <w:kern w:val="0"/>
                <w:sz w:val="21"/>
                <w:szCs w:val="21"/>
                <w:lang w:eastAsia="zh-CN"/>
              </w:rPr>
              <w:t>确保</w:t>
            </w:r>
            <w:r>
              <w:rPr>
                <w:rFonts w:hint="eastAsia"/>
                <w:color w:val="auto"/>
                <w:kern w:val="0"/>
                <w:sz w:val="21"/>
                <w:szCs w:val="21"/>
                <w:lang w:eastAsia="zh-CN"/>
              </w:rPr>
              <w:t>重点</w:t>
            </w:r>
            <w:r>
              <w:rPr>
                <w:rFonts w:hint="eastAsia" w:eastAsia="宋体"/>
                <w:color w:val="auto"/>
                <w:kern w:val="0"/>
                <w:sz w:val="21"/>
                <w:szCs w:val="21"/>
                <w:lang w:eastAsia="zh-CN"/>
              </w:rPr>
              <w:t>人员吸附在当地</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不发生赴省进京集访，且不服从调度组织接劝返工作的事件</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color w:val="auto"/>
                <w:kern w:val="0"/>
                <w:szCs w:val="21"/>
              </w:rPr>
            </w:pPr>
            <w:r>
              <w:rPr>
                <w:rFonts w:hint="eastAsia" w:eastAsia="宋体"/>
                <w:color w:val="auto"/>
                <w:kern w:val="0"/>
                <w:sz w:val="21"/>
                <w:szCs w:val="21"/>
                <w:lang w:val="en-US" w:eastAsia="zh-CN"/>
              </w:rPr>
              <w:t>0起</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6</w:t>
            </w:r>
            <w:r>
              <w:rPr>
                <w:rFonts w:eastAsia="宋体"/>
                <w:color w:val="auto"/>
                <w:kern w:val="0"/>
                <w:sz w:val="21"/>
                <w:szCs w:val="21"/>
              </w:rPr>
              <w:t>:</w:t>
            </w:r>
            <w:r>
              <w:rPr>
                <w:rFonts w:hint="eastAsia" w:eastAsia="宋体"/>
                <w:color w:val="auto"/>
                <w:kern w:val="0"/>
                <w:sz w:val="21"/>
                <w:szCs w:val="21"/>
                <w:lang w:eastAsia="zh-CN"/>
              </w:rPr>
              <w:t>确保社会稳定</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不发生重特大群体性事件</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color w:val="auto"/>
                <w:kern w:val="0"/>
                <w:szCs w:val="21"/>
              </w:rPr>
            </w:pPr>
            <w:r>
              <w:rPr>
                <w:rFonts w:hint="eastAsia" w:eastAsia="宋体"/>
                <w:color w:val="auto"/>
                <w:kern w:val="0"/>
                <w:sz w:val="21"/>
                <w:szCs w:val="21"/>
                <w:lang w:val="en-US" w:eastAsia="zh-CN"/>
              </w:rPr>
              <w:t>0起</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hint="eastAsia" w:eastAsia="宋体"/>
                <w:color w:val="auto"/>
                <w:kern w:val="0"/>
                <w:sz w:val="21"/>
                <w:szCs w:val="21"/>
                <w:lang w:val="en-US" w:eastAsia="zh-CN"/>
              </w:rPr>
              <w:t>7</w:t>
            </w:r>
            <w:r>
              <w:rPr>
                <w:rFonts w:eastAsia="宋体"/>
                <w:color w:val="auto"/>
                <w:kern w:val="0"/>
                <w:sz w:val="21"/>
                <w:szCs w:val="21"/>
              </w:rPr>
              <w:t>:</w:t>
            </w:r>
            <w:r>
              <w:rPr>
                <w:rFonts w:hint="eastAsia" w:eastAsia="宋体"/>
                <w:color w:val="auto"/>
                <w:kern w:val="0"/>
                <w:sz w:val="21"/>
                <w:szCs w:val="21"/>
                <w:lang w:eastAsia="zh-CN"/>
              </w:rPr>
              <w:t>确保社会稳定</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不发生非访、滋事和负面舆情</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0起</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时效</w:t>
            </w:r>
          </w:p>
          <w:p>
            <w:pPr>
              <w:widowControl/>
              <w:spacing w:line="230" w:lineRule="exact"/>
              <w:jc w:val="center"/>
              <w:rPr>
                <w:color w:val="auto"/>
                <w:kern w:val="0"/>
                <w:szCs w:val="21"/>
              </w:rPr>
            </w:pPr>
            <w:r>
              <w:rPr>
                <w:rFonts w:hint="eastAsia"/>
                <w:color w:val="auto"/>
                <w:kern w:val="0"/>
                <w:szCs w:val="21"/>
              </w:rPr>
              <w:t>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制发相关文件</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制发</w:t>
            </w:r>
            <w:r>
              <w:rPr>
                <w:rFonts w:hint="eastAsia" w:eastAsia="宋体"/>
                <w:color w:val="auto"/>
                <w:kern w:val="0"/>
                <w:sz w:val="21"/>
                <w:szCs w:val="21"/>
              </w:rPr>
              <w:t>《关于做好202</w:t>
            </w:r>
            <w:r>
              <w:rPr>
                <w:rFonts w:hint="eastAsia" w:eastAsia="宋体"/>
                <w:color w:val="auto"/>
                <w:kern w:val="0"/>
                <w:sz w:val="21"/>
                <w:szCs w:val="21"/>
                <w:lang w:val="en-US" w:eastAsia="zh-CN"/>
              </w:rPr>
              <w:t>0</w:t>
            </w:r>
            <w:r>
              <w:rPr>
                <w:rFonts w:hint="eastAsia" w:eastAsia="宋体"/>
                <w:color w:val="auto"/>
                <w:kern w:val="0"/>
                <w:sz w:val="21"/>
                <w:szCs w:val="21"/>
              </w:rPr>
              <w:t>年党政领导干部接访工作的通知》</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1个</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化解信访积案难案</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化解</w:t>
            </w:r>
            <w:r>
              <w:rPr>
                <w:rFonts w:hint="eastAsia" w:eastAsia="宋体"/>
                <w:color w:val="auto"/>
                <w:kern w:val="0"/>
                <w:sz w:val="21"/>
                <w:szCs w:val="21"/>
                <w:lang w:eastAsia="zh-CN"/>
              </w:rPr>
              <w:t>处置“三张清单”中突出信访问题</w:t>
            </w:r>
            <w:r>
              <w:rPr>
                <w:rFonts w:hint="eastAsia"/>
                <w:color w:val="auto"/>
                <w:kern w:val="0"/>
                <w:sz w:val="21"/>
                <w:szCs w:val="21"/>
                <w:lang w:eastAsia="zh-CN"/>
              </w:rPr>
              <w:t>、中央省市交办</w:t>
            </w:r>
            <w:r>
              <w:rPr>
                <w:rFonts w:hint="eastAsia" w:eastAsia="宋体"/>
                <w:color w:val="auto"/>
                <w:kern w:val="0"/>
                <w:sz w:val="21"/>
                <w:szCs w:val="21"/>
                <w:lang w:eastAsia="zh-CN"/>
              </w:rPr>
              <w:t>“治重化</w:t>
            </w:r>
            <w:r>
              <w:rPr>
                <w:rFonts w:hint="eastAsia"/>
                <w:color w:val="auto"/>
                <w:kern w:val="0"/>
                <w:sz w:val="21"/>
                <w:szCs w:val="21"/>
                <w:lang w:eastAsia="zh-CN"/>
              </w:rPr>
              <w:t>积</w:t>
            </w:r>
            <w:r>
              <w:rPr>
                <w:rFonts w:hint="eastAsia" w:eastAsia="宋体"/>
                <w:color w:val="auto"/>
                <w:kern w:val="0"/>
                <w:sz w:val="21"/>
                <w:szCs w:val="21"/>
                <w:lang w:eastAsia="zh-CN"/>
              </w:rPr>
              <w:t>”专项活动</w:t>
            </w:r>
            <w:r>
              <w:rPr>
                <w:rFonts w:hint="eastAsia"/>
                <w:color w:val="auto"/>
                <w:kern w:val="0"/>
                <w:sz w:val="21"/>
                <w:szCs w:val="21"/>
                <w:lang w:eastAsia="zh-CN"/>
              </w:rPr>
              <w:t>信访问题和其他信访问题</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color w:val="auto"/>
                <w:kern w:val="0"/>
                <w:sz w:val="21"/>
                <w:szCs w:val="21"/>
                <w:lang w:val="en-US" w:eastAsia="zh-CN"/>
              </w:rPr>
              <w:t>391</w:t>
            </w:r>
            <w:r>
              <w:rPr>
                <w:rFonts w:hint="eastAsia" w:eastAsia="宋体"/>
                <w:color w:val="auto"/>
                <w:kern w:val="0"/>
                <w:sz w:val="21"/>
                <w:szCs w:val="21"/>
                <w:lang w:val="en-US" w:eastAsia="zh-CN"/>
              </w:rPr>
              <w:t>件</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成本</w:t>
            </w:r>
          </w:p>
          <w:p>
            <w:pPr>
              <w:widowControl/>
              <w:spacing w:line="230" w:lineRule="exact"/>
              <w:jc w:val="center"/>
              <w:rPr>
                <w:rFonts w:hint="eastAsia"/>
                <w:color w:val="auto"/>
                <w:kern w:val="0"/>
                <w:szCs w:val="21"/>
              </w:rPr>
            </w:pPr>
          </w:p>
          <w:p>
            <w:pPr>
              <w:widowControl/>
              <w:spacing w:line="230" w:lineRule="exact"/>
              <w:jc w:val="center"/>
              <w:rPr>
                <w:rFonts w:hint="eastAsia"/>
                <w:color w:val="auto"/>
                <w:kern w:val="0"/>
                <w:szCs w:val="21"/>
              </w:rPr>
            </w:pPr>
          </w:p>
          <w:p>
            <w:pPr>
              <w:widowControl/>
              <w:spacing w:line="230" w:lineRule="exact"/>
              <w:jc w:val="center"/>
              <w:rPr>
                <w:color w:val="auto"/>
                <w:kern w:val="0"/>
                <w:szCs w:val="21"/>
              </w:rPr>
            </w:pPr>
            <w:r>
              <w:rPr>
                <w:rFonts w:hint="eastAsia"/>
                <w:color w:val="auto"/>
                <w:kern w:val="0"/>
                <w:szCs w:val="21"/>
              </w:rPr>
              <w:t>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确保经费保障</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1-12月驻京</w:t>
            </w:r>
            <w:r>
              <w:rPr>
                <w:rFonts w:hint="eastAsia" w:eastAsia="宋体"/>
                <w:color w:val="auto"/>
                <w:kern w:val="0"/>
                <w:sz w:val="21"/>
                <w:szCs w:val="21"/>
                <w:lang w:eastAsia="zh-CN"/>
              </w:rPr>
              <w:t>联络处访</w:t>
            </w:r>
            <w:r>
              <w:rPr>
                <w:rFonts w:hint="eastAsia" w:eastAsia="宋体"/>
                <w:color w:val="auto"/>
                <w:kern w:val="0"/>
                <w:sz w:val="21"/>
                <w:szCs w:val="21"/>
              </w:rPr>
              <w:t>经费</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eastAsia="宋体"/>
                <w:color w:val="auto"/>
                <w:kern w:val="0"/>
                <w:sz w:val="21"/>
                <w:szCs w:val="21"/>
                <w:lang w:val="en-US" w:eastAsia="zh-CN"/>
              </w:rPr>
              <w:t>20万</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确保经费保障</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eastAsia="宋体"/>
                <w:color w:val="auto"/>
                <w:kern w:val="0"/>
                <w:sz w:val="21"/>
                <w:szCs w:val="21"/>
              </w:rPr>
              <w:t>全国、省、市两会</w:t>
            </w:r>
            <w:r>
              <w:rPr>
                <w:rFonts w:hint="eastAsia" w:eastAsia="宋体"/>
                <w:color w:val="auto"/>
                <w:kern w:val="0"/>
                <w:sz w:val="21"/>
                <w:szCs w:val="21"/>
                <w:lang w:eastAsia="zh-CN"/>
              </w:rPr>
              <w:t>等重要敏感节点期间</w:t>
            </w:r>
            <w:r>
              <w:rPr>
                <w:rFonts w:hint="eastAsia" w:eastAsia="宋体"/>
                <w:color w:val="auto"/>
                <w:kern w:val="0"/>
                <w:sz w:val="21"/>
                <w:szCs w:val="21"/>
              </w:rPr>
              <w:t>信访维稳经费</w:t>
            </w:r>
            <w:r>
              <w:rPr>
                <w:rFonts w:hint="eastAsia"/>
                <w:color w:val="auto"/>
                <w:kern w:val="0"/>
                <w:sz w:val="21"/>
                <w:szCs w:val="21"/>
                <w:lang w:eastAsia="zh-CN"/>
              </w:rPr>
              <w:t>及重点人员生活困难补助经费</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eastAsia"/>
                <w:color w:val="auto"/>
                <w:kern w:val="0"/>
                <w:szCs w:val="21"/>
              </w:rPr>
            </w:pPr>
            <w:r>
              <w:rPr>
                <w:rFonts w:hint="eastAsia"/>
                <w:color w:val="auto"/>
                <w:kern w:val="0"/>
                <w:sz w:val="21"/>
                <w:szCs w:val="21"/>
                <w:lang w:val="en-US" w:eastAsia="zh-CN"/>
              </w:rPr>
              <w:t>100.7</w:t>
            </w:r>
            <w:r>
              <w:rPr>
                <w:rFonts w:hint="eastAsia" w:eastAsia="宋体"/>
                <w:color w:val="auto"/>
                <w:kern w:val="0"/>
                <w:sz w:val="21"/>
                <w:szCs w:val="21"/>
                <w:lang w:val="en-US" w:eastAsia="zh-CN"/>
              </w:rPr>
              <w:t>万</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eastAsia="宋体"/>
                <w:color w:val="auto"/>
                <w:kern w:val="0"/>
                <w:sz w:val="21"/>
                <w:szCs w:val="21"/>
              </w:rPr>
            </w:pPr>
            <w:r>
              <w:rPr>
                <w:rFonts w:hint="eastAsia" w:eastAsia="宋体"/>
                <w:color w:val="auto"/>
                <w:kern w:val="0"/>
                <w:sz w:val="21"/>
                <w:szCs w:val="21"/>
              </w:rPr>
              <w:t>指标</w:t>
            </w:r>
            <w:r>
              <w:rPr>
                <w:rFonts w:hint="eastAsia"/>
                <w:color w:val="auto"/>
                <w:kern w:val="0"/>
                <w:sz w:val="21"/>
                <w:szCs w:val="21"/>
                <w:lang w:val="en-US" w:eastAsia="zh-CN"/>
              </w:rPr>
              <w:t>3</w:t>
            </w:r>
            <w:r>
              <w:rPr>
                <w:rFonts w:eastAsia="宋体"/>
                <w:color w:val="auto"/>
                <w:kern w:val="0"/>
                <w:sz w:val="21"/>
                <w:szCs w:val="21"/>
              </w:rPr>
              <w:t>:</w:t>
            </w:r>
            <w:r>
              <w:rPr>
                <w:rFonts w:hint="eastAsia" w:eastAsia="宋体"/>
                <w:color w:val="auto"/>
                <w:kern w:val="0"/>
                <w:sz w:val="21"/>
                <w:szCs w:val="21"/>
                <w:lang w:eastAsia="zh-CN"/>
              </w:rPr>
              <w:t>确保经费保障</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eastAsia="宋体"/>
                <w:color w:val="auto"/>
                <w:kern w:val="0"/>
                <w:sz w:val="21"/>
                <w:szCs w:val="21"/>
                <w:lang w:eastAsia="zh-CN"/>
              </w:rPr>
            </w:pPr>
            <w:r>
              <w:rPr>
                <w:rFonts w:hint="eastAsia"/>
                <w:color w:val="auto"/>
                <w:kern w:val="0"/>
                <w:sz w:val="21"/>
                <w:szCs w:val="21"/>
                <w:lang w:eastAsia="zh-CN"/>
              </w:rPr>
              <w:t>特殊疑难信访中央补助资金</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color w:val="auto"/>
                <w:kern w:val="0"/>
                <w:sz w:val="21"/>
                <w:szCs w:val="21"/>
                <w:lang w:val="en-US" w:eastAsia="zh-CN"/>
              </w:rPr>
            </w:pPr>
            <w:r>
              <w:rPr>
                <w:rFonts w:hint="eastAsia"/>
                <w:color w:val="auto"/>
                <w:kern w:val="0"/>
                <w:sz w:val="21"/>
                <w:szCs w:val="21"/>
                <w:lang w:val="en-US" w:eastAsia="zh-CN"/>
              </w:rPr>
              <w:t>8万元</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5"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hint="eastAsia"/>
                <w:color w:val="auto"/>
                <w:kern w:val="0"/>
                <w:sz w:val="21"/>
                <w:szCs w:val="21"/>
                <w:lang w:val="en-US" w:eastAsia="zh-CN"/>
              </w:rPr>
              <w:t>4</w:t>
            </w:r>
            <w:r>
              <w:rPr>
                <w:rFonts w:eastAsia="宋体"/>
                <w:color w:val="auto"/>
                <w:kern w:val="0"/>
                <w:sz w:val="21"/>
                <w:szCs w:val="21"/>
              </w:rPr>
              <w:t>:</w:t>
            </w:r>
            <w:r>
              <w:rPr>
                <w:rFonts w:hint="eastAsia" w:eastAsia="宋体"/>
                <w:color w:val="auto"/>
                <w:kern w:val="0"/>
                <w:sz w:val="21"/>
                <w:szCs w:val="21"/>
                <w:lang w:eastAsia="zh-CN"/>
              </w:rPr>
              <w:t>确保经费保障</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eastAsia="宋体"/>
                <w:color w:val="auto"/>
                <w:kern w:val="0"/>
                <w:szCs w:val="21"/>
                <w:lang w:eastAsia="zh-CN"/>
              </w:rPr>
            </w:pPr>
            <w:r>
              <w:rPr>
                <w:rFonts w:hint="eastAsia"/>
                <w:color w:val="auto"/>
                <w:kern w:val="0"/>
                <w:szCs w:val="21"/>
                <w:lang w:eastAsia="zh-CN"/>
              </w:rPr>
              <w:t>基本支出</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color w:val="auto"/>
                <w:kern w:val="0"/>
                <w:szCs w:val="21"/>
              </w:rPr>
            </w:pPr>
            <w:r>
              <w:rPr>
                <w:rFonts w:hint="eastAsia"/>
                <w:color w:val="auto"/>
                <w:kern w:val="0"/>
                <w:sz w:val="21"/>
                <w:szCs w:val="21"/>
                <w:lang w:val="en-US" w:eastAsia="zh-CN"/>
              </w:rPr>
              <w:t>219.62</w:t>
            </w:r>
            <w:r>
              <w:rPr>
                <w:rFonts w:hint="eastAsia" w:eastAsia="宋体"/>
                <w:color w:val="auto"/>
                <w:kern w:val="0"/>
                <w:sz w:val="21"/>
                <w:szCs w:val="21"/>
                <w:lang w:val="en-US" w:eastAsia="zh-CN"/>
              </w:rPr>
              <w:t>万</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restart"/>
            <w:noWrap/>
            <w:vAlign w:val="center"/>
          </w:tcPr>
          <w:p>
            <w:pPr>
              <w:widowControl/>
              <w:spacing w:line="230" w:lineRule="exact"/>
              <w:jc w:val="center"/>
              <w:rPr>
                <w:color w:val="auto"/>
                <w:kern w:val="0"/>
                <w:szCs w:val="21"/>
              </w:rPr>
            </w:pPr>
            <w:r>
              <w:rPr>
                <w:rFonts w:hint="eastAsia"/>
                <w:color w:val="auto"/>
                <w:kern w:val="0"/>
                <w:szCs w:val="21"/>
              </w:rPr>
              <w:t>效益</w:t>
            </w:r>
          </w:p>
          <w:p>
            <w:pPr>
              <w:widowControl/>
              <w:spacing w:line="230" w:lineRule="exact"/>
              <w:jc w:val="center"/>
              <w:rPr>
                <w:color w:val="auto"/>
                <w:kern w:val="0"/>
                <w:szCs w:val="21"/>
              </w:rPr>
            </w:pPr>
            <w:r>
              <w:rPr>
                <w:rFonts w:hint="eastAsia"/>
                <w:color w:val="auto"/>
                <w:kern w:val="0"/>
                <w:szCs w:val="21"/>
              </w:rPr>
              <w:t>指标</w:t>
            </w: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经济效益指标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提升群众满意率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提高信访工作人员的工作热情</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color w:val="auto"/>
                <w:kern w:val="0"/>
                <w:szCs w:val="21"/>
              </w:rPr>
            </w:pPr>
            <w:r>
              <w:rPr>
                <w:rFonts w:hint="eastAsia" w:eastAsia="宋体" w:cs="宋体"/>
                <w:color w:val="auto"/>
                <w:kern w:val="0"/>
                <w:sz w:val="21"/>
                <w:szCs w:val="21"/>
                <w:lang w:val="en-US" w:eastAsia="zh-CN" w:bidi="ar-SA"/>
              </w:rPr>
              <w:t>评价满意</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提升群众满意率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提高信访问题办理质量</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color w:val="auto"/>
                <w:kern w:val="0"/>
                <w:szCs w:val="21"/>
              </w:rPr>
            </w:pPr>
            <w:r>
              <w:rPr>
                <w:rFonts w:hint="eastAsia" w:eastAsia="宋体" w:cs="宋体"/>
                <w:color w:val="auto"/>
                <w:kern w:val="0"/>
                <w:sz w:val="21"/>
                <w:szCs w:val="21"/>
                <w:lang w:val="en-US" w:eastAsia="zh-CN" w:bidi="ar-SA"/>
              </w:rPr>
              <w:t>评价满意</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社会效益指标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确保问题发现在早</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减少矛盾纠纷、及时化解处理信访问题</w:t>
            </w:r>
            <w:r>
              <w:rPr>
                <w:rFonts w:hint="eastAsia" w:eastAsia="宋体"/>
                <w:color w:val="auto"/>
                <w:kern w:val="0"/>
                <w:sz w:val="21"/>
                <w:szCs w:val="21"/>
                <w:lang w:val="en-US" w:eastAsia="zh-CN"/>
              </w:rPr>
              <w:t xml:space="preserve">  </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val="en-US" w:eastAsia="zh-CN"/>
              </w:rPr>
              <w:t>逐步减少</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维护社会稳定</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维护乐至县社会和谐稳定</w:t>
            </w:r>
            <w:r>
              <w:rPr>
                <w:rFonts w:hint="eastAsia" w:eastAsia="宋体"/>
                <w:color w:val="auto"/>
                <w:kern w:val="0"/>
                <w:sz w:val="21"/>
                <w:szCs w:val="21"/>
                <w:lang w:val="en-US" w:eastAsia="zh-CN"/>
              </w:rPr>
              <w:t xml:space="preserve"> </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s="宋体"/>
                <w:color w:val="auto"/>
                <w:kern w:val="0"/>
                <w:sz w:val="21"/>
                <w:szCs w:val="21"/>
                <w:lang w:val="en-US" w:eastAsia="zh-CN" w:bidi="ar-SA"/>
              </w:rPr>
              <w:t>评价满意</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生态效益指标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指标</w:t>
            </w:r>
            <w:r>
              <w:rPr>
                <w:color w:val="auto"/>
                <w:kern w:val="0"/>
                <w:szCs w:val="21"/>
              </w:rPr>
              <w:t>1:</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指标</w:t>
            </w:r>
            <w:r>
              <w:rPr>
                <w:color w:val="auto"/>
                <w:kern w:val="0"/>
                <w:szCs w:val="21"/>
              </w:rPr>
              <w:t>2:</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可持续影响指标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控增量</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重复上访率持续减少</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color w:val="auto"/>
                <w:kern w:val="0"/>
                <w:szCs w:val="21"/>
              </w:rPr>
            </w:pPr>
            <w:r>
              <w:rPr>
                <w:rFonts w:hint="eastAsia" w:eastAsia="宋体"/>
                <w:color w:val="auto"/>
                <w:kern w:val="0"/>
                <w:sz w:val="21"/>
                <w:szCs w:val="21"/>
                <w:lang w:val="en-US" w:eastAsia="zh-CN"/>
              </w:rPr>
              <w:t>持续减少</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确保人员吸附在当地</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越级上访率控制到位，逐步减少</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val="en-US" w:eastAsia="zh-CN"/>
              </w:rPr>
              <w:t>逐步减少</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restart"/>
            <w:noWrap/>
            <w:vAlign w:val="center"/>
          </w:tcPr>
          <w:p>
            <w:pPr>
              <w:widowControl/>
              <w:spacing w:line="230" w:lineRule="exact"/>
              <w:jc w:val="center"/>
              <w:rPr>
                <w:color w:val="auto"/>
                <w:kern w:val="0"/>
                <w:szCs w:val="21"/>
              </w:rPr>
            </w:pPr>
            <w:r>
              <w:rPr>
                <w:rFonts w:hint="eastAsia"/>
                <w:color w:val="auto"/>
                <w:kern w:val="0"/>
                <w:szCs w:val="21"/>
              </w:rPr>
              <w:t>满意度</w:t>
            </w:r>
          </w:p>
          <w:p>
            <w:pPr>
              <w:widowControl/>
              <w:spacing w:line="230" w:lineRule="exact"/>
              <w:jc w:val="center"/>
              <w:rPr>
                <w:color w:val="auto"/>
                <w:kern w:val="0"/>
                <w:szCs w:val="21"/>
              </w:rPr>
            </w:pPr>
            <w:r>
              <w:rPr>
                <w:rFonts w:hint="eastAsia"/>
                <w:color w:val="auto"/>
                <w:kern w:val="0"/>
                <w:szCs w:val="21"/>
              </w:rPr>
              <w:t>指标</w:t>
            </w:r>
          </w:p>
        </w:tc>
        <w:tc>
          <w:tcPr>
            <w:tcW w:w="1013" w:type="dxa"/>
            <w:vMerge w:val="restart"/>
            <w:noWrap/>
            <w:vAlign w:val="center"/>
          </w:tcPr>
          <w:p>
            <w:pPr>
              <w:widowControl/>
              <w:spacing w:line="230" w:lineRule="exact"/>
              <w:jc w:val="center"/>
              <w:rPr>
                <w:color w:val="auto"/>
                <w:kern w:val="0"/>
                <w:szCs w:val="21"/>
              </w:rPr>
            </w:pPr>
            <w:r>
              <w:rPr>
                <w:rFonts w:hint="eastAsia"/>
                <w:color w:val="auto"/>
                <w:kern w:val="0"/>
                <w:szCs w:val="21"/>
              </w:rPr>
              <w:t>满意度指标</w:t>
            </w: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1:</w:t>
            </w:r>
            <w:r>
              <w:rPr>
                <w:rFonts w:hint="eastAsia" w:eastAsia="宋体"/>
                <w:color w:val="auto"/>
                <w:kern w:val="0"/>
                <w:sz w:val="21"/>
                <w:szCs w:val="21"/>
                <w:lang w:eastAsia="zh-CN"/>
              </w:rPr>
              <w:t>提升群众满意率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对信访机构满意</w:t>
            </w:r>
            <w:r>
              <w:rPr>
                <w:rFonts w:hint="eastAsia"/>
                <w:color w:val="auto"/>
                <w:kern w:val="0"/>
                <w:sz w:val="21"/>
                <w:szCs w:val="21"/>
                <w:lang w:eastAsia="zh-CN"/>
              </w:rPr>
              <w:t>率</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color w:val="auto"/>
                <w:kern w:val="0"/>
                <w:szCs w:val="21"/>
                <w:lang w:val="en-US"/>
              </w:rPr>
            </w:pPr>
            <w:r>
              <w:rPr>
                <w:rFonts w:hint="eastAsia" w:cs="宋体"/>
                <w:color w:val="auto"/>
                <w:kern w:val="0"/>
                <w:sz w:val="21"/>
                <w:szCs w:val="21"/>
                <w:lang w:val="en-US" w:eastAsia="zh-CN" w:bidi="ar-SA"/>
              </w:rPr>
              <w:t>100%</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rPr>
              <w:t>指标</w:t>
            </w:r>
            <w:r>
              <w:rPr>
                <w:rFonts w:eastAsia="宋体"/>
                <w:color w:val="auto"/>
                <w:kern w:val="0"/>
                <w:sz w:val="21"/>
                <w:szCs w:val="21"/>
              </w:rPr>
              <w:t>2:</w:t>
            </w:r>
            <w:r>
              <w:rPr>
                <w:rFonts w:hint="eastAsia" w:eastAsia="宋体"/>
                <w:color w:val="auto"/>
                <w:kern w:val="0"/>
                <w:sz w:val="21"/>
                <w:szCs w:val="21"/>
                <w:lang w:eastAsia="zh-CN"/>
              </w:rPr>
              <w:t>提升群众满意率</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eastAsia="宋体"/>
                <w:color w:val="auto"/>
                <w:kern w:val="0"/>
                <w:sz w:val="21"/>
                <w:szCs w:val="21"/>
                <w:lang w:eastAsia="zh-CN"/>
              </w:rPr>
              <w:t>对责任部门满意度</w:t>
            </w:r>
            <w:r>
              <w:rPr>
                <w:rFonts w:hint="eastAsia"/>
                <w:color w:val="auto"/>
                <w:kern w:val="0"/>
                <w:sz w:val="21"/>
                <w:szCs w:val="21"/>
                <w:lang w:eastAsia="zh-CN"/>
              </w:rPr>
              <w:t>率</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eastAsia="宋体"/>
                <w:color w:val="auto"/>
                <w:kern w:val="0"/>
                <w:szCs w:val="21"/>
                <w:lang w:val="en-US" w:eastAsia="zh-CN"/>
              </w:rPr>
            </w:pPr>
            <w:r>
              <w:rPr>
                <w:rFonts w:hint="eastAsia" w:ascii="宋体" w:hAnsi="宋体" w:eastAsia="宋体" w:cs="宋体"/>
                <w:color w:val="auto"/>
                <w:kern w:val="0"/>
                <w:szCs w:val="21"/>
              </w:rPr>
              <w:t>≧</w:t>
            </w:r>
            <w:r>
              <w:rPr>
                <w:rFonts w:hint="eastAsia"/>
                <w:color w:val="auto"/>
                <w:kern w:val="0"/>
                <w:szCs w:val="21"/>
                <w:lang w:val="en-US" w:eastAsia="zh-CN"/>
              </w:rPr>
              <w:t>97%</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color w:val="auto"/>
                <w:kern w:val="0"/>
                <w:szCs w:val="21"/>
              </w:rPr>
            </w:pPr>
          </w:p>
        </w:tc>
        <w:tc>
          <w:tcPr>
            <w:tcW w:w="1680" w:type="dxa"/>
            <w:vMerge w:val="continue"/>
            <w:noWrap w:val="0"/>
            <w:vAlign w:val="center"/>
          </w:tcPr>
          <w:p>
            <w:pPr>
              <w:widowControl/>
              <w:spacing w:line="230" w:lineRule="exact"/>
              <w:jc w:val="left"/>
              <w:rPr>
                <w:color w:val="auto"/>
                <w:kern w:val="0"/>
                <w:szCs w:val="21"/>
              </w:rPr>
            </w:pPr>
          </w:p>
        </w:tc>
        <w:tc>
          <w:tcPr>
            <w:tcW w:w="1013" w:type="dxa"/>
            <w:vMerge w:val="continue"/>
            <w:noWrap w:val="0"/>
            <w:vAlign w:val="center"/>
          </w:tcPr>
          <w:p>
            <w:pPr>
              <w:widowControl/>
              <w:spacing w:line="230" w:lineRule="exact"/>
              <w:jc w:val="left"/>
              <w:rPr>
                <w:color w:val="auto"/>
                <w:kern w:val="0"/>
                <w:szCs w:val="21"/>
              </w:rPr>
            </w:pPr>
          </w:p>
        </w:tc>
        <w:tc>
          <w:tcPr>
            <w:tcW w:w="110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eastAsia="宋体"/>
                <w:color w:val="auto"/>
                <w:kern w:val="0"/>
                <w:sz w:val="21"/>
                <w:szCs w:val="21"/>
              </w:rPr>
              <w:t>指标</w:t>
            </w:r>
            <w:r>
              <w:rPr>
                <w:rFonts w:hint="eastAsia" w:eastAsia="宋体"/>
                <w:color w:val="auto"/>
                <w:kern w:val="0"/>
                <w:sz w:val="21"/>
                <w:szCs w:val="21"/>
                <w:lang w:val="en-US" w:eastAsia="zh-CN"/>
              </w:rPr>
              <w:t>3</w:t>
            </w:r>
            <w:r>
              <w:rPr>
                <w:rFonts w:eastAsia="宋体"/>
                <w:color w:val="auto"/>
                <w:kern w:val="0"/>
                <w:sz w:val="21"/>
                <w:szCs w:val="21"/>
              </w:rPr>
              <w:t>:</w:t>
            </w:r>
            <w:r>
              <w:rPr>
                <w:rFonts w:hint="eastAsia"/>
                <w:color w:val="auto"/>
                <w:kern w:val="0"/>
                <w:sz w:val="21"/>
                <w:szCs w:val="21"/>
                <w:lang w:eastAsia="zh-CN"/>
              </w:rPr>
              <w:t>社会满意度评价</w:t>
            </w:r>
          </w:p>
        </w:tc>
        <w:tc>
          <w:tcPr>
            <w:tcW w:w="273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 w:val="21"/>
                <w:szCs w:val="21"/>
                <w:lang w:eastAsia="zh-CN"/>
              </w:rPr>
              <w:t>密切联系群众部门满意度率</w:t>
            </w:r>
          </w:p>
        </w:tc>
        <w:tc>
          <w:tcPr>
            <w:tcW w:w="1023"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color w:val="auto"/>
                <w:kern w:val="0"/>
                <w:szCs w:val="21"/>
              </w:rPr>
            </w:pPr>
            <w:r>
              <w:rPr>
                <w:rFonts w:hint="eastAsia" w:ascii="宋体" w:hAnsi="宋体" w:eastAsia="宋体" w:cs="宋体"/>
                <w:color w:val="auto"/>
                <w:kern w:val="0"/>
                <w:szCs w:val="21"/>
              </w:rPr>
              <w:t>≧</w:t>
            </w:r>
            <w:r>
              <w:rPr>
                <w:rFonts w:hint="eastAsia"/>
                <w:color w:val="auto"/>
                <w:kern w:val="0"/>
                <w:szCs w:val="21"/>
                <w:lang w:val="en-US" w:eastAsia="zh-CN"/>
              </w:rPr>
              <w:t>95%</w:t>
            </w:r>
          </w:p>
        </w:tc>
        <w:tc>
          <w:tcPr>
            <w:tcW w:w="1479"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787" w:type="dxa"/>
            <w:vMerge w:val="continue"/>
            <w:tcBorders>
              <w:bottom w:val="single" w:color="auto" w:sz="12" w:space="0"/>
            </w:tcBorders>
            <w:noWrap w:val="0"/>
            <w:vAlign w:val="center"/>
          </w:tcPr>
          <w:p>
            <w:pPr>
              <w:widowControl/>
              <w:spacing w:line="240" w:lineRule="exact"/>
              <w:jc w:val="left"/>
              <w:rPr>
                <w:color w:val="auto"/>
                <w:kern w:val="0"/>
                <w:szCs w:val="21"/>
              </w:rPr>
            </w:pPr>
          </w:p>
        </w:tc>
        <w:tc>
          <w:tcPr>
            <w:tcW w:w="1680" w:type="dxa"/>
            <w:vMerge w:val="continue"/>
            <w:tcBorders>
              <w:bottom w:val="single" w:color="auto" w:sz="12" w:space="0"/>
            </w:tcBorders>
            <w:noWrap w:val="0"/>
            <w:vAlign w:val="center"/>
          </w:tcPr>
          <w:p>
            <w:pPr>
              <w:widowControl/>
              <w:spacing w:line="240" w:lineRule="exact"/>
              <w:jc w:val="left"/>
              <w:rPr>
                <w:color w:val="auto"/>
                <w:kern w:val="0"/>
                <w:szCs w:val="21"/>
              </w:rPr>
            </w:pPr>
          </w:p>
        </w:tc>
        <w:tc>
          <w:tcPr>
            <w:tcW w:w="1013" w:type="dxa"/>
            <w:tcBorders>
              <w:bottom w:val="single" w:color="auto" w:sz="12" w:space="0"/>
            </w:tcBorders>
            <w:noWrap/>
            <w:vAlign w:val="center"/>
          </w:tcPr>
          <w:p>
            <w:pPr>
              <w:widowControl/>
              <w:spacing w:line="240" w:lineRule="exact"/>
              <w:jc w:val="left"/>
              <w:rPr>
                <w:color w:val="auto"/>
                <w:kern w:val="0"/>
                <w:szCs w:val="21"/>
              </w:rPr>
            </w:pPr>
            <w:r>
              <w:rPr>
                <w:rFonts w:hint="eastAsia"/>
                <w:color w:val="auto"/>
                <w:kern w:val="0"/>
                <w:szCs w:val="21"/>
              </w:rPr>
              <w:t>……</w:t>
            </w:r>
            <w:r>
              <w:rPr>
                <w:color w:val="auto"/>
                <w:kern w:val="0"/>
                <w:szCs w:val="21"/>
              </w:rPr>
              <w:t>.</w:t>
            </w:r>
          </w:p>
        </w:tc>
        <w:tc>
          <w:tcPr>
            <w:tcW w:w="1109" w:type="dxa"/>
            <w:tcBorders>
              <w:bottom w:val="single" w:color="auto" w:sz="12" w:space="0"/>
            </w:tcBorders>
            <w:noWrap/>
            <w:vAlign w:val="center"/>
          </w:tcPr>
          <w:p>
            <w:pPr>
              <w:widowControl/>
              <w:spacing w:line="240" w:lineRule="exact"/>
              <w:jc w:val="left"/>
              <w:rPr>
                <w:color w:val="auto"/>
                <w:kern w:val="0"/>
                <w:szCs w:val="21"/>
              </w:rPr>
            </w:pPr>
            <w:r>
              <w:rPr>
                <w:rFonts w:hint="eastAsia"/>
                <w:color w:val="auto"/>
                <w:kern w:val="0"/>
                <w:szCs w:val="21"/>
              </w:rPr>
              <w:t>　</w:t>
            </w:r>
          </w:p>
        </w:tc>
        <w:tc>
          <w:tcPr>
            <w:tcW w:w="2739" w:type="dxa"/>
            <w:tcBorders>
              <w:bottom w:val="single" w:color="auto" w:sz="12" w:space="0"/>
            </w:tcBorders>
            <w:noWrap/>
            <w:vAlign w:val="center"/>
          </w:tcPr>
          <w:p>
            <w:pPr>
              <w:widowControl/>
              <w:spacing w:line="240" w:lineRule="exact"/>
              <w:jc w:val="left"/>
              <w:rPr>
                <w:color w:val="auto"/>
                <w:kern w:val="0"/>
                <w:szCs w:val="21"/>
              </w:rPr>
            </w:pPr>
            <w:r>
              <w:rPr>
                <w:rFonts w:hint="eastAsia"/>
                <w:color w:val="auto"/>
                <w:kern w:val="0"/>
                <w:szCs w:val="21"/>
              </w:rPr>
              <w:t>　</w:t>
            </w:r>
          </w:p>
        </w:tc>
        <w:tc>
          <w:tcPr>
            <w:tcW w:w="1023" w:type="dxa"/>
            <w:tcBorders>
              <w:bottom w:val="single" w:color="auto" w:sz="12" w:space="0"/>
            </w:tcBorders>
            <w:noWrap/>
            <w:vAlign w:val="center"/>
          </w:tcPr>
          <w:p>
            <w:pPr>
              <w:widowControl/>
              <w:spacing w:line="240" w:lineRule="exact"/>
              <w:jc w:val="left"/>
              <w:rPr>
                <w:color w:val="auto"/>
                <w:kern w:val="0"/>
                <w:szCs w:val="21"/>
              </w:rPr>
            </w:pPr>
            <w:r>
              <w:rPr>
                <w:rFonts w:hint="eastAsia"/>
                <w:color w:val="auto"/>
                <w:kern w:val="0"/>
                <w:szCs w:val="21"/>
              </w:rPr>
              <w:t>　</w:t>
            </w:r>
          </w:p>
        </w:tc>
        <w:tc>
          <w:tcPr>
            <w:tcW w:w="1479" w:type="dxa"/>
            <w:tcBorders>
              <w:bottom w:val="single" w:color="auto" w:sz="12" w:space="0"/>
            </w:tcBorders>
            <w:noWrap/>
            <w:vAlign w:val="center"/>
          </w:tcPr>
          <w:p>
            <w:pPr>
              <w:widowControl/>
              <w:spacing w:line="240" w:lineRule="exact"/>
              <w:jc w:val="left"/>
              <w:rPr>
                <w:color w:val="auto"/>
                <w:kern w:val="0"/>
                <w:szCs w:val="21"/>
              </w:rPr>
            </w:pPr>
            <w:r>
              <w:rPr>
                <w:rFonts w:hint="eastAsia"/>
                <w:color w:val="auto"/>
                <w:kern w:val="0"/>
                <w:szCs w:val="21"/>
              </w:rPr>
              <w:t>　</w:t>
            </w:r>
          </w:p>
        </w:tc>
      </w:tr>
    </w:tbl>
    <w:p>
      <w:pPr>
        <w:spacing w:line="620" w:lineRule="exact"/>
        <w:jc w:val="left"/>
        <w:rPr>
          <w:rFonts w:ascii="??????" w:hAnsi="宋体" w:eastAsia="Times New Roman"/>
          <w:color w:val="auto"/>
          <w:kern w:val="0"/>
          <w:sz w:val="33"/>
          <w:szCs w:val="33"/>
        </w:rPr>
        <w:sectPr>
          <w:pgSz w:w="11907" w:h="16840"/>
          <w:pgMar w:top="2098" w:right="1474" w:bottom="1928" w:left="1588" w:header="851" w:footer="992" w:gutter="0"/>
          <w:pgNumType w:fmt="numberInDash"/>
          <w:cols w:space="720" w:num="1"/>
          <w:docGrid w:type="lines" w:linePitch="312" w:charSpace="0"/>
        </w:sectPr>
      </w:pPr>
    </w:p>
    <w:p>
      <w:pPr>
        <w:pStyle w:val="7"/>
        <w:spacing w:before="93"/>
        <w:rPr>
          <w:rFonts w:hint="default" w:eastAsia="仿宋_GB2312"/>
          <w:sz w:val="32"/>
          <w:szCs w:val="32"/>
          <w:lang w:val="en-US" w:eastAsia="zh-CN"/>
        </w:rPr>
      </w:pPr>
      <w:r>
        <w:rPr>
          <w:rFonts w:hint="eastAsia" w:hAnsi="宋体" w:cs="宋体"/>
          <w:sz w:val="32"/>
          <w:szCs w:val="32"/>
          <w:shd w:val="clear" w:color="auto" w:fill="FFFFFF"/>
          <w:lang w:val="zh-CN"/>
        </w:rPr>
        <w:t>附件</w:t>
      </w:r>
      <w:r>
        <w:rPr>
          <w:rFonts w:hint="eastAsia" w:hAnsi="宋体" w:cs="宋体"/>
          <w:sz w:val="32"/>
          <w:szCs w:val="32"/>
          <w:shd w:val="clear" w:color="auto" w:fill="FFFFFF"/>
        </w:rPr>
        <w:t>2</w:t>
      </w:r>
      <w:r>
        <w:rPr>
          <w:rFonts w:hint="eastAsia" w:hAnsi="宋体" w:cs="宋体"/>
          <w:sz w:val="32"/>
          <w:szCs w:val="32"/>
          <w:shd w:val="clear" w:color="auto" w:fill="FFFFFF"/>
          <w:lang w:val="en-US" w:eastAsia="zh-CN"/>
        </w:rPr>
        <w:t>-1</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（全国、省、市两会及党代会处访工作经费）</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rPr>
          <w:rFonts w:hint="eastAsia"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520" w:lineRule="exact"/>
        <w:ind w:firstLine="640" w:firstLineChars="200"/>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numPr>
          <w:ilvl w:val="0"/>
          <w:numId w:val="9"/>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adjustRightInd w:val="0"/>
        <w:snapToGrid w:val="0"/>
        <w:spacing w:line="520" w:lineRule="exact"/>
        <w:ind w:firstLine="640" w:firstLineChars="200"/>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2022年县信访局项目支出预算100万，其中</w:t>
      </w:r>
      <w:r>
        <w:rPr>
          <w:rFonts w:hint="eastAsia" w:ascii="仿宋_GB2312" w:hAnsi="宋体" w:eastAsia="仿宋_GB2312"/>
          <w:sz w:val="32"/>
          <w:szCs w:val="32"/>
          <w:lang w:eastAsia="zh-CN"/>
        </w:rPr>
        <w:t>全国、省、市两会及党代会处访工作经费</w:t>
      </w:r>
      <w:r>
        <w:rPr>
          <w:rFonts w:hint="eastAsia" w:ascii="仿宋_GB2312" w:hAnsi="宋体" w:eastAsia="仿宋_GB2312"/>
          <w:sz w:val="32"/>
          <w:szCs w:val="32"/>
          <w:lang w:val="en-US" w:eastAsia="zh-CN"/>
        </w:rPr>
        <w:t>40万元，截止2022年底，该项目资金已完成预算100%。</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44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重大敏感政治活动处访工作经费用于党的二十大、北京冬残奥会等敏感节点信访维稳工作。</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numPr>
          <w:ilvl w:val="0"/>
          <w:numId w:val="0"/>
        </w:numPr>
        <w:ind w:leftChars="200"/>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2022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adjustRightInd w:val="0"/>
        <w:snapToGrid w:val="0"/>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2022年信访工作未接到人民群众、部门工作人员及相关不满意情况反映，满意度为98%。</w:t>
      </w:r>
    </w:p>
    <w:p>
      <w:pPr>
        <w:spacing w:line="580" w:lineRule="exact"/>
        <w:ind w:firstLine="640" w:firstLineChars="200"/>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44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44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44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202</w:t>
      </w:r>
      <w:r>
        <w:rPr>
          <w:rFonts w:hint="eastAsia" w:ascii="方正仿宋简体" w:hAnsi="方正仿宋简体" w:eastAsia="方正仿宋简体" w:cs="方正仿宋简体"/>
          <w:kern w:val="0"/>
          <w:sz w:val="32"/>
          <w:szCs w:val="32"/>
          <w:lang w:val="en-US" w:eastAsia="zh-CN"/>
        </w:rPr>
        <w:t>2</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eastAsia="zh-CN"/>
        </w:rPr>
        <w:t>，县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44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44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hint="default" w:eastAsia="方正黑体简体"/>
          <w:bCs/>
          <w:kern w:val="0"/>
          <w:sz w:val="32"/>
          <w:szCs w:val="32"/>
          <w:lang w:val="en-US" w:eastAsia="zh-CN"/>
        </w:rPr>
      </w:pPr>
      <w:r>
        <w:rPr>
          <w:rFonts w:hint="eastAsia" w:eastAsia="方正黑体简体"/>
          <w:bCs/>
          <w:kern w:val="0"/>
          <w:sz w:val="32"/>
          <w:szCs w:val="32"/>
          <w:lang w:eastAsia="zh-CN"/>
        </w:rPr>
        <w:t>附件</w:t>
      </w:r>
      <w:r>
        <w:rPr>
          <w:rFonts w:hint="eastAsia" w:eastAsia="方正黑体简体"/>
          <w:bCs/>
          <w:kern w:val="0"/>
          <w:sz w:val="32"/>
          <w:szCs w:val="32"/>
          <w:lang w:val="en-US" w:eastAsia="zh-CN"/>
        </w:rPr>
        <w:t>2-1-1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cs="宋体"/>
          <w:color w:val="auto"/>
          <w:kern w:val="0"/>
          <w:szCs w:val="21"/>
          <w:lang w:bidi="ar"/>
        </w:rPr>
        <w:t>全国、省、市两会及党代会处访工作经费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全国省市两会确保社会和谐稳定</w:t>
            </w:r>
            <w:r>
              <w:t>/</w:t>
            </w:r>
            <w:r>
              <w:rPr>
                <w:rFonts w:hint="eastAsia"/>
                <w:lang w:eastAsia="zh-CN"/>
              </w:rPr>
              <w:t>全国省市两会确保社会和谐稳定</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2022年</w:t>
            </w:r>
            <w:r>
              <w:t>-</w:t>
            </w:r>
            <w:r>
              <w:rPr>
                <w:rFonts w:hint="eastAsia"/>
                <w:lang w:val="en-US" w:eastAsia="zh-CN"/>
              </w:rPr>
              <w:t>2022年底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2022年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派遣工作组</w:t>
            </w:r>
            <w:r>
              <w:rPr>
                <w:rFonts w:hint="eastAsia"/>
                <w:lang w:val="en-US" w:eastAsia="zh-CN"/>
              </w:rPr>
              <w:t>11/派遣工作组11</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w:t>
            </w:r>
            <w:r>
              <w:rPr>
                <w:rFonts w:hint="eastAsia"/>
                <w:lang w:val="en-US" w:eastAsia="zh-CN"/>
              </w:rPr>
              <w:t>40万元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bCs/>
          <w:kern w:val="0"/>
          <w:sz w:val="32"/>
          <w:szCs w:val="32"/>
          <w:lang w:eastAsia="zh-CN"/>
        </w:rPr>
        <w:t>附件</w:t>
      </w:r>
      <w:r>
        <w:rPr>
          <w:rFonts w:hint="eastAsia" w:eastAsia="方正黑体简体"/>
          <w:bCs/>
          <w:kern w:val="0"/>
          <w:sz w:val="32"/>
          <w:szCs w:val="32"/>
          <w:lang w:val="en-US" w:eastAsia="zh-CN"/>
        </w:rPr>
        <w:t>2-1-2</w:t>
      </w:r>
    </w:p>
    <w:p>
      <w:pPr>
        <w:spacing w:line="620" w:lineRule="exact"/>
        <w:jc w:val="center"/>
        <w:rPr>
          <w:rFonts w:eastAsia="方正小标宋简体"/>
          <w:color w:val="000000"/>
          <w:spacing w:val="-12"/>
          <w:kern w:val="0"/>
          <w:sz w:val="36"/>
          <w:szCs w:val="36"/>
        </w:rPr>
      </w:pPr>
      <w:r>
        <w:rPr>
          <w:rFonts w:eastAsia="方正小标宋简体"/>
          <w:color w:val="000000"/>
          <w:spacing w:val="-12"/>
          <w:kern w:val="0"/>
          <w:sz w:val="36"/>
          <w:szCs w:val="36"/>
        </w:rPr>
        <w:t>202</w:t>
      </w:r>
      <w:r>
        <w:rPr>
          <w:rFonts w:hint="eastAsia" w:eastAsia="方正小标宋简体"/>
          <w:color w:val="000000"/>
          <w:spacing w:val="-12"/>
          <w:kern w:val="0"/>
          <w:sz w:val="36"/>
          <w:szCs w:val="36"/>
        </w:rPr>
        <w:t>2年度乐至县项目支出绩效目标完成情况表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auto"/>
                <w:kern w:val="0"/>
                <w:szCs w:val="21"/>
                <w:lang w:bidi="ar"/>
              </w:rPr>
              <w:t>全国、省、市两会及党代会处访工作经费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派遣处访工作组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控制越级访，减少进京到省访人数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信访维稳经费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40万元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40万元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widowControl/>
        <w:jc w:val="left"/>
        <w:rPr>
          <w:rStyle w:val="31"/>
          <w:rFonts w:ascii="黑体" w:hAnsi="黑体" w:eastAsia="黑体"/>
          <w:b w:val="0"/>
        </w:rPr>
      </w:pPr>
    </w:p>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pPr>
    </w:p>
    <w:p>
      <w:pPr>
        <w:adjustRightInd w:val="0"/>
        <w:snapToGrid w:val="0"/>
        <w:spacing w:line="520" w:lineRule="exact"/>
        <w:rPr>
          <w:rFonts w:hint="default" w:eastAsia="方正仿宋简体"/>
          <w:sz w:val="32"/>
          <w:szCs w:val="32"/>
          <w:lang w:val="en-US" w:eastAsia="zh-CN"/>
        </w:rPr>
      </w:pPr>
      <w:r>
        <w:rPr>
          <w:rFonts w:hint="eastAsia" w:eastAsia="方正仿宋简体"/>
          <w:sz w:val="32"/>
          <w:szCs w:val="32"/>
          <w:lang w:eastAsia="zh-CN"/>
        </w:rPr>
        <w:t>附</w:t>
      </w:r>
      <w:r>
        <w:rPr>
          <w:rFonts w:hint="eastAsia" w:eastAsia="方正仿宋简体"/>
          <w:sz w:val="32"/>
          <w:szCs w:val="32"/>
          <w:lang w:val="en-US" w:eastAsia="zh-CN"/>
        </w:rPr>
        <w:t>2-2</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（全国、省、市两会及党代会处访工作经费）</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rPr>
          <w:rFonts w:hint="eastAsia"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520" w:lineRule="exact"/>
        <w:ind w:firstLine="640" w:firstLineChars="200"/>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numPr>
          <w:ilvl w:val="0"/>
          <w:numId w:val="9"/>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adjustRightInd w:val="0"/>
        <w:snapToGrid w:val="0"/>
        <w:spacing w:line="520" w:lineRule="exact"/>
        <w:ind w:firstLine="640" w:firstLineChars="200"/>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2022年县信访局项目支出预算100万，其中</w:t>
      </w:r>
      <w:r>
        <w:rPr>
          <w:rFonts w:hint="eastAsia" w:ascii="仿宋_GB2312" w:hAnsi="宋体" w:eastAsia="仿宋_GB2312"/>
          <w:sz w:val="32"/>
          <w:szCs w:val="32"/>
          <w:lang w:eastAsia="zh-CN"/>
        </w:rPr>
        <w:t>全国、省、市两会及党代会处访工作经费</w:t>
      </w:r>
      <w:r>
        <w:rPr>
          <w:rFonts w:hint="eastAsia" w:ascii="仿宋_GB2312" w:hAnsi="宋体" w:eastAsia="仿宋_GB2312"/>
          <w:sz w:val="32"/>
          <w:szCs w:val="32"/>
          <w:lang w:val="en-US" w:eastAsia="zh-CN"/>
        </w:rPr>
        <w:t>40万元，截止2022年底，该项目资金已完成预算100%。</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44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重大敏感政治活动处访工作经费用于党的二十大、北京冬残奥会等敏感节点信访维稳工作。</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numPr>
          <w:ilvl w:val="0"/>
          <w:numId w:val="0"/>
        </w:numPr>
        <w:ind w:leftChars="200"/>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2022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adjustRightInd w:val="0"/>
        <w:snapToGrid w:val="0"/>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2022年信访工作未接到人民群众、部门工作人员及相关不满意情况反映，满意度为98%。</w:t>
      </w:r>
    </w:p>
    <w:p>
      <w:pPr>
        <w:spacing w:line="580" w:lineRule="exact"/>
        <w:ind w:firstLine="640" w:firstLineChars="200"/>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44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44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44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202</w:t>
      </w:r>
      <w:r>
        <w:rPr>
          <w:rFonts w:hint="eastAsia" w:ascii="方正仿宋简体" w:hAnsi="方正仿宋简体" w:eastAsia="方正仿宋简体" w:cs="方正仿宋简体"/>
          <w:kern w:val="0"/>
          <w:sz w:val="32"/>
          <w:szCs w:val="32"/>
          <w:lang w:val="en-US" w:eastAsia="zh-CN"/>
        </w:rPr>
        <w:t>2</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eastAsia="zh-CN"/>
        </w:rPr>
        <w:t>，县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44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44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小标宋简体"/>
          <w:bCs/>
          <w:kern w:val="0"/>
          <w:sz w:val="44"/>
          <w:szCs w:val="44"/>
        </w:rPr>
      </w:pPr>
      <w:r>
        <w:rPr>
          <w:rFonts w:hint="eastAsia" w:eastAsia="方正黑体简体"/>
          <w:bCs/>
          <w:kern w:val="0"/>
          <w:sz w:val="32"/>
          <w:szCs w:val="32"/>
          <w:lang w:eastAsia="zh-CN"/>
        </w:rPr>
        <w:t>附件</w:t>
      </w:r>
      <w:r>
        <w:rPr>
          <w:rFonts w:hint="eastAsia" w:eastAsia="方正黑体简体"/>
          <w:bCs/>
          <w:kern w:val="0"/>
          <w:sz w:val="32"/>
          <w:szCs w:val="32"/>
          <w:lang w:val="en-US" w:eastAsia="zh-CN"/>
        </w:rPr>
        <w:t>2-2-1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cs="宋体"/>
          <w:color w:val="auto"/>
          <w:kern w:val="0"/>
          <w:szCs w:val="21"/>
          <w:lang w:bidi="ar"/>
        </w:rPr>
        <w:t>全国、省、市两会及党代会处访工作经费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全国省市两会确保社会和谐稳定</w:t>
            </w:r>
            <w:r>
              <w:t>/</w:t>
            </w:r>
            <w:r>
              <w:rPr>
                <w:rFonts w:hint="eastAsia"/>
                <w:lang w:eastAsia="zh-CN"/>
              </w:rPr>
              <w:t>全国省市两会确保社会和谐稳定</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2022年</w:t>
            </w:r>
            <w:r>
              <w:t>-</w:t>
            </w:r>
            <w:r>
              <w:rPr>
                <w:rFonts w:hint="eastAsia"/>
                <w:lang w:val="en-US" w:eastAsia="zh-CN"/>
              </w:rPr>
              <w:t>2022年底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2022年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派遣工作组</w:t>
            </w:r>
            <w:r>
              <w:rPr>
                <w:rFonts w:hint="eastAsia"/>
                <w:lang w:val="en-US" w:eastAsia="zh-CN"/>
              </w:rPr>
              <w:t>11/派遣工作组11</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40万元</w:t>
            </w:r>
            <w:r>
              <w:t>-</w:t>
            </w:r>
            <w:r>
              <w:rPr>
                <w:rFonts w:hint="eastAsia"/>
                <w:lang w:val="en-US" w:eastAsia="zh-CN"/>
              </w:rPr>
              <w:t>40万元</w:t>
            </w:r>
            <w:r>
              <w:rPr>
                <w:rFonts w:hint="eastAsia"/>
              </w:rPr>
              <w:t>）</w:t>
            </w:r>
            <w:r>
              <w:t>/</w:t>
            </w:r>
            <w:r>
              <w:rPr>
                <w:rFonts w:hint="eastAsia"/>
                <w:lang w:val="en-US" w:eastAsia="zh-CN"/>
              </w:rPr>
              <w:t>40万元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小标宋简体"/>
          <w:color w:val="000000"/>
          <w:spacing w:val="-12"/>
          <w:kern w:val="0"/>
          <w:sz w:val="36"/>
          <w:szCs w:val="36"/>
        </w:rPr>
      </w:pPr>
      <w:r>
        <w:rPr>
          <w:rFonts w:hint="eastAsia" w:eastAsia="方正黑体简体"/>
          <w:bCs/>
          <w:kern w:val="0"/>
          <w:sz w:val="32"/>
          <w:szCs w:val="32"/>
          <w:lang w:eastAsia="zh-CN"/>
        </w:rPr>
        <w:t>附件</w:t>
      </w:r>
      <w:r>
        <w:rPr>
          <w:rFonts w:hint="eastAsia" w:eastAsia="方正黑体简体"/>
          <w:bCs/>
          <w:kern w:val="0"/>
          <w:sz w:val="32"/>
          <w:szCs w:val="32"/>
          <w:lang w:val="en-US" w:eastAsia="zh-CN"/>
        </w:rPr>
        <w:t>2-2-2</w:t>
      </w:r>
    </w:p>
    <w:p>
      <w:pPr>
        <w:spacing w:line="620" w:lineRule="exact"/>
        <w:jc w:val="center"/>
        <w:rPr>
          <w:rFonts w:eastAsia="方正小标宋简体"/>
          <w:color w:val="000000"/>
          <w:spacing w:val="-12"/>
          <w:kern w:val="0"/>
          <w:sz w:val="36"/>
          <w:szCs w:val="36"/>
        </w:rPr>
      </w:pPr>
      <w:r>
        <w:rPr>
          <w:rFonts w:eastAsia="方正小标宋简体"/>
          <w:color w:val="000000"/>
          <w:spacing w:val="-12"/>
          <w:kern w:val="0"/>
          <w:sz w:val="36"/>
          <w:szCs w:val="36"/>
        </w:rPr>
        <w:t>202</w:t>
      </w:r>
      <w:r>
        <w:rPr>
          <w:rFonts w:hint="eastAsia" w:eastAsia="方正小标宋简体"/>
          <w:color w:val="000000"/>
          <w:spacing w:val="-12"/>
          <w:kern w:val="0"/>
          <w:sz w:val="36"/>
          <w:szCs w:val="36"/>
        </w:rPr>
        <w:t>2年度乐至县项目支出绩效目标完成情况表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auto"/>
                <w:kern w:val="0"/>
                <w:szCs w:val="21"/>
                <w:lang w:bidi="ar"/>
              </w:rPr>
              <w:t>全国、省、市两会及党代会处访工作经费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40</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40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派遣处访工作组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控制越级访，减少进京到省访人数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信访维稳经费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40万元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40万元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pPr>
    </w:p>
    <w:p/>
    <w:p>
      <w:pPr>
        <w:spacing w:line="580" w:lineRule="exact"/>
        <w:rPr>
          <w:rFonts w:hint="default" w:eastAsia="方正黑体简体"/>
          <w:sz w:val="32"/>
          <w:szCs w:val="32"/>
          <w:lang w:val="en-US" w:eastAsia="zh-CN"/>
        </w:rPr>
      </w:pPr>
      <w:r>
        <w:rPr>
          <w:rFonts w:hint="eastAsia" w:eastAsia="方正黑体简体"/>
          <w:sz w:val="32"/>
          <w:szCs w:val="32"/>
        </w:rPr>
        <w:t>附件</w:t>
      </w:r>
      <w:r>
        <w:rPr>
          <w:rFonts w:hint="eastAsia" w:eastAsia="方正黑体简体"/>
          <w:sz w:val="32"/>
          <w:szCs w:val="32"/>
          <w:lang w:val="en-US" w:eastAsia="zh-CN"/>
        </w:rPr>
        <w:t>2-3</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小标宋简体"/>
          <w:sz w:val="44"/>
          <w:szCs w:val="44"/>
        </w:rPr>
        <w:t>特殊疑难信访问题中央补助资金</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rPr>
          <w:rFonts w:hint="eastAsia"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320" w:firstLineChars="100"/>
      </w:pPr>
      <w:r>
        <w:rPr>
          <w:rFonts w:hint="eastAsia" w:ascii="仿宋" w:hAnsi="仿宋" w:eastAsia="仿宋" w:cs="仿宋"/>
          <w:i w:val="0"/>
          <w:iCs w:val="0"/>
          <w:caps w:val="0"/>
          <w:color w:val="000000"/>
          <w:spacing w:val="0"/>
          <w:sz w:val="32"/>
          <w:szCs w:val="32"/>
          <w:shd w:val="clear" w:fill="FFFFFF"/>
          <w:lang w:val="en-US" w:eastAsia="zh-CN"/>
        </w:rPr>
        <w:t>为减少矛盾上行，控制信访存量，减少信访增量，我县着力解决了一批信访“无头案、钉子案、骨头案”，按照“三到位一处理”要求，对诉求合理的解决到位、诉求无理的思想教育到位、生活困难的帮扶救助到位，行为违法的依法处理到位。</w:t>
      </w:r>
    </w:p>
    <w:p>
      <w:pPr>
        <w:numPr>
          <w:ilvl w:val="0"/>
          <w:numId w:val="9"/>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adjustRightInd w:val="0"/>
        <w:snapToGrid w:val="0"/>
        <w:spacing w:line="520" w:lineRule="exact"/>
        <w:ind w:leftChars="196" w:firstLine="320" w:firstLineChars="100"/>
        <w:rPr>
          <w:rFonts w:hint="eastAsia" w:ascii="仿宋_GB2312" w:hAnsi="宋体" w:eastAsia="仿宋_GB2312"/>
          <w:sz w:val="32"/>
          <w:szCs w:val="32"/>
          <w:lang w:eastAsia="zh-CN"/>
        </w:rPr>
      </w:pPr>
      <w:r>
        <w:rPr>
          <w:rFonts w:hint="eastAsia" w:ascii="仿宋_GB2312" w:hAnsi="宋体" w:eastAsia="仿宋_GB2312"/>
          <w:sz w:val="32"/>
          <w:szCs w:val="32"/>
          <w:lang w:eastAsia="zh-CN"/>
        </w:rPr>
        <w:t>资金为中央财政资金，县级财政匹配一部分，完全符合法</w:t>
      </w:r>
    </w:p>
    <w:p>
      <w:pPr>
        <w:numPr>
          <w:ilvl w:val="0"/>
          <w:numId w:val="0"/>
        </w:numPr>
        <w:adjustRightInd w:val="0"/>
        <w:snapToGrid w:val="0"/>
        <w:spacing w:line="520" w:lineRule="exact"/>
      </w:pPr>
      <w:r>
        <w:rPr>
          <w:rFonts w:hint="eastAsia" w:ascii="仿宋_GB2312" w:hAnsi="宋体" w:eastAsia="仿宋_GB2312"/>
          <w:sz w:val="32"/>
          <w:szCs w:val="32"/>
          <w:lang w:eastAsia="zh-CN"/>
        </w:rPr>
        <w:t>律法规，资金渠道明确。截止202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年12月31日，县信访局特殊疑难信访问题专项资实际支出</w:t>
      </w:r>
      <w:r>
        <w:rPr>
          <w:rFonts w:hint="eastAsia" w:ascii="仿宋_GB2312" w:hAnsi="宋体" w:eastAsia="仿宋_GB2312"/>
          <w:sz w:val="32"/>
          <w:szCs w:val="32"/>
          <w:lang w:val="en-US" w:eastAsia="zh-CN"/>
        </w:rPr>
        <w:t>8</w:t>
      </w:r>
      <w:r>
        <w:rPr>
          <w:rFonts w:hint="eastAsia" w:ascii="仿宋_GB2312" w:hAnsi="宋体" w:eastAsia="仿宋_GB2312"/>
          <w:sz w:val="32"/>
          <w:szCs w:val="32"/>
          <w:lang w:eastAsia="zh-CN"/>
        </w:rPr>
        <w:t>万元,全力攻坚“治重化积”工作,难案疑案积案得到有效化解,202</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年中央、省、市交办我县“治重化积"信访件共7件,在不突破政策法律底线的前提下以以为本,资金开支化解了-批复杂疑难信访问题和信访积案难案,做到案结事了，息访息诉,保证了全县社会和谐稳定。特殊疑难信访问题专项资金使用根据需求申报计划,按计划进行支付,支付依据合规合法。</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440" w:lineRule="exact"/>
        <w:ind w:left="0" w:leftChars="0" w:firstLine="640" w:firstLineChars="200"/>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为完成特定的行政工作任务，2022年</w:t>
      </w:r>
      <w:r>
        <w:rPr>
          <w:rFonts w:hint="eastAsia" w:ascii="仿宋_GB2312" w:hAnsi="宋体" w:eastAsia="仿宋_GB2312"/>
          <w:sz w:val="32"/>
          <w:szCs w:val="32"/>
          <w:lang w:eastAsia="zh-CN"/>
        </w:rPr>
        <w:t>特殊疑难信访问题中央补助资金</w:t>
      </w:r>
      <w:r>
        <w:rPr>
          <w:rFonts w:hint="eastAsia" w:ascii="方正仿宋简体" w:hAnsi="方正仿宋简体" w:eastAsia="方正仿宋简体" w:cs="方正仿宋简体"/>
          <w:kern w:val="2"/>
          <w:sz w:val="32"/>
          <w:szCs w:val="32"/>
          <w:lang w:val="en-US" w:eastAsia="zh-CN" w:bidi="ar-SA"/>
        </w:rPr>
        <w:t>经费为8万元，用于解决两名信访人吴某某和陈某某实际生活困难。项目资金已于2022年底发放到位。</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numPr>
          <w:ilvl w:val="0"/>
          <w:numId w:val="0"/>
        </w:numPr>
        <w:ind w:leftChars="200"/>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2021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：中央补助资金8万元，县级财政补助一部分，着力解决了两件特殊疑难信访问题。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ascii="方正仿宋简体" w:hAnsi="方正仿宋简体" w:eastAsia="方正仿宋简体" w:cs="方正仿宋简体"/>
          <w:kern w:val="2"/>
          <w:sz w:val="32"/>
          <w:szCs w:val="32"/>
          <w:lang w:val="en-US" w:eastAsia="zh-CN" w:bidi="ar-SA"/>
        </w:rPr>
        <w:t>对生活困难的信访群众进行救助,成功化解了疑难信访事项2件,全年进京赴省上访人次下降。</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方正仿宋简体" w:hAnsi="方正仿宋简体" w:eastAsia="方正仿宋简体" w:cs="方正仿宋简体"/>
          <w:kern w:val="2"/>
          <w:sz w:val="32"/>
          <w:szCs w:val="32"/>
          <w:lang w:val="en-US" w:eastAsia="zh-CN" w:bidi="ar-SA"/>
        </w:rPr>
        <w:t>2022年度我局特殊疑难信访问题中央补助资金支出合理,科学的分配，有效的保证了我局依法履行职能职责。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2022年信访工作未接到人民群众、部门工作人员及相关不满意情况反映。</w:t>
      </w:r>
    </w:p>
    <w:p>
      <w:pPr>
        <w:spacing w:line="580" w:lineRule="exact"/>
        <w:ind w:firstLine="640" w:firstLineChars="200"/>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44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44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44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202</w:t>
      </w:r>
      <w:r>
        <w:rPr>
          <w:rFonts w:hint="eastAsia" w:ascii="方正仿宋简体" w:hAnsi="方正仿宋简体" w:eastAsia="方正仿宋简体" w:cs="方正仿宋简体"/>
          <w:kern w:val="0"/>
          <w:sz w:val="32"/>
          <w:szCs w:val="32"/>
          <w:lang w:val="en-US" w:eastAsia="zh-CN"/>
        </w:rPr>
        <w:t>2</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eastAsia="zh-CN"/>
        </w:rPr>
        <w:t>，县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44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44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pgNumType w:fmt="numberInDash"/>
          <w:cols w:space="720" w:num="1"/>
          <w:docGrid w:type="lines" w:linePitch="312" w:charSpace="0"/>
        </w:sectPr>
      </w:pPr>
    </w:p>
    <w:p>
      <w:pPr>
        <w:spacing w:line="580" w:lineRule="exact"/>
        <w:rPr>
          <w:rFonts w:hint="default"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附2-3-1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特殊疑难信访问题中央补助资金</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w:t>
            </w:r>
            <w:r>
              <w:t>/</w:t>
            </w:r>
            <w:r>
              <w:rPr>
                <w:rFonts w:hint="eastAsia"/>
                <w:lang w:val="en-US" w:eastAsia="zh-CN"/>
              </w:rPr>
              <w:t>8</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w:t>
            </w:r>
            <w:r>
              <w:t>/</w:t>
            </w:r>
            <w:r>
              <w:rPr>
                <w:rFonts w:hint="eastAsia"/>
                <w:lang w:val="en-US" w:eastAsia="zh-CN"/>
              </w:rPr>
              <w:t>8</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eastAsia="zh-CN"/>
              </w:rPr>
              <w:t>解决两件疑难信访问题</w:t>
            </w:r>
            <w:r>
              <w:t>/</w:t>
            </w:r>
            <w:r>
              <w:rPr>
                <w:rFonts w:hint="eastAsia"/>
              </w:rPr>
              <w:t>计划</w:t>
            </w:r>
            <w:r>
              <w:rPr>
                <w:rFonts w:hint="eastAsia"/>
                <w:lang w:eastAsia="zh-CN"/>
              </w:rPr>
              <w:t>解决两件疑难信访</w:t>
            </w:r>
            <w:r>
              <w:rPr>
                <w:rFonts w:hint="eastAsia"/>
              </w:rPr>
              <w:t>）×</w:t>
            </w:r>
            <w: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2022年</w:t>
            </w:r>
            <w:r>
              <w:t>-</w:t>
            </w:r>
            <w:r>
              <w:rPr>
                <w:rFonts w:hint="eastAsia"/>
                <w:lang w:val="en-US" w:eastAsia="zh-CN"/>
              </w:rPr>
              <w:t>2022年底</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rPr>
                <w:rFonts w:hint="eastAsia"/>
              </w:rPr>
              <w:t>）</w:t>
            </w:r>
            <w:r>
              <w:t>/</w:t>
            </w:r>
            <w:r>
              <w:rPr>
                <w:rFonts w:hint="eastAsia"/>
                <w:lang w:val="en-US" w:eastAsia="zh-CN"/>
              </w:rPr>
              <w:t>2022年</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eastAsia="zh-CN"/>
              </w:rPr>
              <w:t>解决两件疑难信访问题</w:t>
            </w:r>
            <w:r>
              <w:t>/</w:t>
            </w:r>
            <w:r>
              <w:rPr>
                <w:rFonts w:hint="eastAsia"/>
                <w:lang w:eastAsia="zh-CN"/>
              </w:rPr>
              <w:t>解决两件疑难信访</w:t>
            </w:r>
            <w:r>
              <w:rPr>
                <w:rFonts w:hint="eastAsia"/>
              </w:rPr>
              <w:t>）×</w:t>
            </w:r>
            <w: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8万元</w:t>
            </w:r>
            <w:r>
              <w:t>-</w:t>
            </w:r>
            <w:r>
              <w:rPr>
                <w:rFonts w:hint="eastAsia"/>
                <w:lang w:val="en-US" w:eastAsia="zh-CN"/>
              </w:rPr>
              <w:t>8万元</w:t>
            </w:r>
            <w:r>
              <w:rPr>
                <w:rFonts w:hint="eastAsia"/>
              </w:rPr>
              <w:t>）</w:t>
            </w:r>
            <w:r>
              <w:t>/</w:t>
            </w:r>
            <w:r>
              <w:rPr>
                <w:rFonts w:hint="eastAsia"/>
                <w:lang w:val="en-US" w:eastAsia="zh-CN"/>
              </w:rPr>
              <w:t>8万元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580" w:lineRule="exact"/>
        <w:rPr>
          <w:rFonts w:eastAsia="方正黑体简体"/>
          <w:sz w:val="32"/>
          <w:szCs w:val="32"/>
        </w:rPr>
      </w:pPr>
      <w:r>
        <w:rPr>
          <w:rFonts w:hint="eastAsia" w:ascii="方正仿宋简体" w:hAnsi="方正仿宋简体" w:eastAsia="方正仿宋简体" w:cs="方正仿宋简体"/>
          <w:kern w:val="2"/>
          <w:sz w:val="32"/>
          <w:szCs w:val="32"/>
          <w:lang w:val="en-US" w:eastAsia="zh-CN" w:bidi="ar-SA"/>
        </w:rPr>
        <w:t>附件2-3-2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2年度乐至县项目支出绩效目标完成情况表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eastAsia="zh-CN"/>
              </w:rPr>
              <w:t>特殊疑难信访问题中央补助资金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1:</w:t>
            </w:r>
            <w:r>
              <w:rPr>
                <w:rFonts w:hint="eastAsia"/>
                <w:color w:val="000000"/>
                <w:kern w:val="0"/>
                <w:szCs w:val="21"/>
              </w:rPr>
              <w:t>解决特殊疑难信访问题</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解决疑难信访问题</w:t>
            </w:r>
          </w:p>
        </w:tc>
        <w:tc>
          <w:tcPr>
            <w:tcW w:w="0" w:type="auto"/>
            <w:noWrap/>
            <w:vAlign w:val="center"/>
          </w:tcPr>
          <w:p>
            <w:pPr>
              <w:widowControl/>
              <w:spacing w:line="240" w:lineRule="exact"/>
              <w:ind w:firstLine="210" w:firstLineChars="100"/>
              <w:jc w:val="left"/>
              <w:rPr>
                <w:rFonts w:hint="eastAsia" w:eastAsia="宋体"/>
                <w:color w:val="000000"/>
                <w:kern w:val="0"/>
                <w:szCs w:val="21"/>
                <w:lang w:val="en-US" w:eastAsia="zh-CN"/>
              </w:rPr>
            </w:pPr>
            <w:r>
              <w:rPr>
                <w:rFonts w:hint="eastAsia"/>
                <w:color w:val="000000"/>
                <w:kern w:val="0"/>
                <w:szCs w:val="21"/>
                <w:lang w:val="en-US" w:eastAsia="zh-CN"/>
              </w:rPr>
              <w:t>2件</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color w:val="000000"/>
                <w:kern w:val="0"/>
                <w:szCs w:val="21"/>
                <w:lang w:val="en-US" w:eastAsia="zh-CN"/>
              </w:rPr>
              <w:t>2件</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信访积案难案化解率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color w:val="000000"/>
                <w:kern w:val="0"/>
                <w:szCs w:val="21"/>
                <w:lang w:eastAsia="zh-CN"/>
              </w:rPr>
              <w:t>及时解决群众生活苦难</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基本解决</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基本解决</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资金及时支付率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疑难信访问题中央补助资金</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val="en-US" w:eastAsia="zh-CN"/>
              </w:rPr>
              <w:t>8万元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8万元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pStyle w:val="2"/>
        <w:rPr>
          <w:rFonts w:ascii="宋体"/>
          <w:sz w:val="32"/>
          <w:szCs w:val="32"/>
        </w:rPr>
      </w:pPr>
    </w:p>
    <w:p>
      <w:pPr>
        <w:rPr>
          <w:rFonts w:ascii="宋体"/>
          <w:sz w:val="32"/>
          <w:szCs w:val="32"/>
        </w:rPr>
      </w:pPr>
    </w:p>
    <w:p>
      <w:pPr>
        <w:pStyle w:val="2"/>
        <w:rPr>
          <w:rFonts w:ascii="宋体"/>
          <w:sz w:val="32"/>
          <w:szCs w:val="32"/>
        </w:rPr>
      </w:pPr>
    </w:p>
    <w:p>
      <w:pPr>
        <w:rPr>
          <w:rFonts w:ascii="宋体"/>
          <w:sz w:val="32"/>
          <w:szCs w:val="32"/>
        </w:rPr>
      </w:pPr>
    </w:p>
    <w:p>
      <w:pPr>
        <w:pStyle w:val="2"/>
        <w:rPr>
          <w:rFonts w:ascii="宋体"/>
          <w:sz w:val="32"/>
          <w:szCs w:val="32"/>
        </w:rPr>
      </w:pPr>
    </w:p>
    <w:p>
      <w:pPr>
        <w:rPr>
          <w:rFonts w:ascii="宋体"/>
          <w:sz w:val="32"/>
          <w:szCs w:val="32"/>
        </w:rPr>
      </w:pPr>
    </w:p>
    <w:p>
      <w:pPr>
        <w:pStyle w:val="2"/>
      </w:pPr>
    </w:p>
    <w:p>
      <w:pPr>
        <w:spacing w:line="580" w:lineRule="exact"/>
        <w:rPr>
          <w:rFonts w:hint="default" w:eastAsia="方正黑体简体"/>
          <w:sz w:val="32"/>
          <w:szCs w:val="32"/>
          <w:lang w:val="en-US" w:eastAsia="zh-CN"/>
        </w:rPr>
      </w:pPr>
      <w:r>
        <w:rPr>
          <w:rFonts w:hint="eastAsia" w:eastAsia="方正黑体简体"/>
          <w:sz w:val="32"/>
          <w:szCs w:val="32"/>
        </w:rPr>
        <w:t>附件</w:t>
      </w:r>
      <w:r>
        <w:rPr>
          <w:rFonts w:hint="eastAsia" w:eastAsia="方正黑体简体"/>
          <w:sz w:val="32"/>
          <w:szCs w:val="32"/>
          <w:lang w:val="en-US" w:eastAsia="zh-CN"/>
        </w:rPr>
        <w:t>2-4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（重大敏感政治活动处访工作经费）</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rPr>
          <w:rFonts w:hint="eastAsia"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520" w:lineRule="exact"/>
        <w:ind w:firstLine="640" w:firstLineChars="200"/>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numPr>
          <w:ilvl w:val="0"/>
          <w:numId w:val="9"/>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adjustRightInd w:val="0"/>
        <w:snapToGrid w:val="0"/>
        <w:spacing w:line="520" w:lineRule="exact"/>
        <w:ind w:firstLine="640" w:firstLineChars="200"/>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2022年县信访局项目支出预算100万，其中重大敏感政治活动处访工作经费17万元，截止2022年底，该项目资金已完成预算100%。</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44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重大敏感政治活动处访工作经费用于党的二十大、北京冬残奥会等敏感节点信访维稳工作。</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numPr>
          <w:ilvl w:val="0"/>
          <w:numId w:val="0"/>
        </w:numPr>
        <w:ind w:leftChars="200"/>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2021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adjustRightInd w:val="0"/>
        <w:snapToGrid w:val="0"/>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2022年信访工作未接到人民群众、部门工作人员及相关不满意情况反映，满意度为98%。</w:t>
      </w:r>
    </w:p>
    <w:p>
      <w:pPr>
        <w:spacing w:line="580" w:lineRule="exact"/>
        <w:ind w:firstLine="640" w:firstLineChars="200"/>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44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44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44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202</w:t>
      </w:r>
      <w:r>
        <w:rPr>
          <w:rFonts w:hint="eastAsia" w:ascii="方正仿宋简体" w:hAnsi="方正仿宋简体" w:eastAsia="方正仿宋简体" w:cs="方正仿宋简体"/>
          <w:kern w:val="0"/>
          <w:sz w:val="32"/>
          <w:szCs w:val="32"/>
          <w:lang w:val="en-US" w:eastAsia="zh-CN"/>
        </w:rPr>
        <w:t>2</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eastAsia="zh-CN"/>
        </w:rPr>
        <w:t>，县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44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44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hint="default" w:eastAsia="方正黑体简体"/>
          <w:bCs/>
          <w:kern w:val="0"/>
          <w:sz w:val="32"/>
          <w:szCs w:val="32"/>
          <w:lang w:val="en-US" w:eastAsia="zh-CN"/>
        </w:rPr>
      </w:pPr>
      <w:r>
        <w:rPr>
          <w:rFonts w:hint="eastAsia" w:eastAsia="方正黑体简体"/>
          <w:bCs/>
          <w:kern w:val="0"/>
          <w:sz w:val="32"/>
          <w:szCs w:val="32"/>
        </w:rPr>
        <w:t>附件</w:t>
      </w:r>
      <w:r>
        <w:rPr>
          <w:rFonts w:hint="eastAsia" w:eastAsia="方正黑体简体"/>
          <w:bCs/>
          <w:kern w:val="0"/>
          <w:sz w:val="32"/>
          <w:szCs w:val="32"/>
          <w:lang w:val="en-US" w:eastAsia="zh-CN"/>
        </w:rPr>
        <w:t>2-4-1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小标宋简体"/>
          <w:bCs/>
          <w:kern w:val="0"/>
          <w:sz w:val="32"/>
          <w:szCs w:val="32"/>
        </w:rPr>
        <w:t>重大敏感政治活动处访工作经费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17</w:t>
            </w:r>
            <w:r>
              <w:t>/</w:t>
            </w:r>
            <w:r>
              <w:rPr>
                <w:rFonts w:hint="eastAsia"/>
                <w:lang w:val="en-US" w:eastAsia="zh-CN"/>
              </w:rPr>
              <w:t>17</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17</w:t>
            </w:r>
            <w:r>
              <w:t>/</w:t>
            </w:r>
            <w:r>
              <w:rPr>
                <w:rFonts w:hint="eastAsia"/>
                <w:lang w:val="en-US" w:eastAsia="zh-CN"/>
              </w:rPr>
              <w:t>17</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重要敏感节点确保社会和谐稳定</w:t>
            </w:r>
            <w:r>
              <w:t>/</w:t>
            </w:r>
            <w:r>
              <w:rPr>
                <w:rFonts w:hint="eastAsia"/>
                <w:lang w:eastAsia="zh-CN"/>
              </w:rPr>
              <w:t>重要敏感节点确保社会和谐稳定</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2022年</w:t>
            </w:r>
            <w:r>
              <w:t>-</w:t>
            </w:r>
            <w:r>
              <w:rPr>
                <w:rFonts w:hint="eastAsia"/>
                <w:lang w:val="en-US" w:eastAsia="zh-CN"/>
              </w:rPr>
              <w:t>2022年底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2022年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派遣工作组</w:t>
            </w:r>
            <w:r>
              <w:rPr>
                <w:rFonts w:hint="eastAsia"/>
                <w:lang w:val="en-US" w:eastAsia="zh-CN"/>
              </w:rPr>
              <w:t>11/派遣工作组11</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17万元</w:t>
            </w:r>
            <w:r>
              <w:t>-</w:t>
            </w:r>
            <w:r>
              <w:rPr>
                <w:rFonts w:hint="eastAsia"/>
                <w:lang w:val="en-US" w:eastAsia="zh-CN"/>
              </w:rPr>
              <w:t>17万元</w:t>
            </w:r>
            <w:r>
              <w:rPr>
                <w:rFonts w:hint="eastAsia"/>
              </w:rPr>
              <w:t>）</w:t>
            </w:r>
            <w:r>
              <w:t>/</w:t>
            </w:r>
            <w:r>
              <w:rPr>
                <w:rFonts w:hint="eastAsia"/>
                <w:lang w:val="en-US" w:eastAsia="zh-CN"/>
              </w:rPr>
              <w:t>17万元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hint="default" w:eastAsia="方正黑体简体"/>
          <w:bCs/>
          <w:kern w:val="0"/>
          <w:sz w:val="32"/>
          <w:szCs w:val="32"/>
          <w:lang w:val="en-US" w:eastAsia="zh-CN"/>
        </w:rPr>
      </w:pPr>
      <w:r>
        <w:rPr>
          <w:rFonts w:hint="eastAsia" w:eastAsia="方正黑体简体"/>
          <w:bCs/>
          <w:kern w:val="0"/>
          <w:sz w:val="32"/>
          <w:szCs w:val="32"/>
        </w:rPr>
        <w:t>附件</w:t>
      </w:r>
      <w:r>
        <w:rPr>
          <w:rFonts w:hint="eastAsia" w:eastAsia="方正黑体简体"/>
          <w:bCs/>
          <w:kern w:val="0"/>
          <w:sz w:val="32"/>
          <w:szCs w:val="32"/>
          <w:lang w:val="en-US" w:eastAsia="zh-CN"/>
        </w:rPr>
        <w:t>2-4-2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2年度乐至县项目支出绩效目标完成情况表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重大敏感政治活动处访工作经费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17</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17</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17</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17</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17</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17</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确保重要敏感节点社会和谐稳定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派遣处访工作组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控制越级访，减少进京到省访人数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信访维稳经费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val="en-US" w:eastAsia="zh-CN"/>
              </w:rPr>
              <w:t>17万元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17万元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580" w:lineRule="exact"/>
        <w:jc w:val="center"/>
        <w:rPr>
          <w:rFonts w:eastAsia="方正小标宋简体"/>
          <w:sz w:val="44"/>
          <w:szCs w:val="44"/>
        </w:rPr>
      </w:pPr>
    </w:p>
    <w:p>
      <w:pPr>
        <w:spacing w:line="580" w:lineRule="exact"/>
        <w:jc w:val="center"/>
        <w:rPr>
          <w:rFonts w:eastAsia="方正小标宋简体"/>
          <w:sz w:val="44"/>
          <w:szCs w:val="44"/>
        </w:rPr>
      </w:pPr>
    </w:p>
    <w:p>
      <w:pPr>
        <w:spacing w:line="580" w:lineRule="exact"/>
        <w:jc w:val="center"/>
        <w:rPr>
          <w:rFonts w:eastAsia="方正小标宋简体"/>
          <w:sz w:val="44"/>
          <w:szCs w:val="44"/>
        </w:rPr>
      </w:pPr>
    </w:p>
    <w:p>
      <w:pPr>
        <w:spacing w:line="580" w:lineRule="exact"/>
        <w:jc w:val="center"/>
        <w:rPr>
          <w:rFonts w:eastAsia="方正小标宋简体"/>
          <w:sz w:val="44"/>
          <w:szCs w:val="44"/>
        </w:rPr>
      </w:pPr>
    </w:p>
    <w:p>
      <w:pPr>
        <w:spacing w:line="580" w:lineRule="exact"/>
        <w:jc w:val="center"/>
        <w:rPr>
          <w:rFonts w:eastAsia="方正小标宋简体"/>
          <w:sz w:val="44"/>
          <w:szCs w:val="44"/>
        </w:rPr>
      </w:pPr>
    </w:p>
    <w:p>
      <w:pPr>
        <w:spacing w:line="580" w:lineRule="exact"/>
        <w:jc w:val="center"/>
        <w:rPr>
          <w:rFonts w:eastAsia="方正小标宋简体"/>
          <w:sz w:val="44"/>
          <w:szCs w:val="44"/>
        </w:rPr>
      </w:pPr>
    </w:p>
    <w:p>
      <w:pPr>
        <w:spacing w:line="580" w:lineRule="exact"/>
        <w:jc w:val="both"/>
        <w:rPr>
          <w:rFonts w:hint="eastAsia" w:eastAsia="方正黑体简体"/>
          <w:bCs/>
          <w:kern w:val="0"/>
          <w:sz w:val="32"/>
          <w:szCs w:val="32"/>
        </w:rPr>
      </w:pPr>
    </w:p>
    <w:p>
      <w:pPr>
        <w:spacing w:line="580" w:lineRule="exact"/>
        <w:jc w:val="both"/>
        <w:rPr>
          <w:rFonts w:eastAsia="方正小标宋简体"/>
          <w:sz w:val="44"/>
          <w:szCs w:val="44"/>
        </w:rPr>
      </w:pPr>
      <w:r>
        <w:rPr>
          <w:rFonts w:hint="eastAsia" w:eastAsia="方正黑体简体"/>
          <w:bCs/>
          <w:kern w:val="0"/>
          <w:sz w:val="32"/>
          <w:szCs w:val="32"/>
        </w:rPr>
        <w:t>附件</w:t>
      </w:r>
      <w:r>
        <w:rPr>
          <w:rFonts w:hint="eastAsia" w:eastAsia="方正黑体简体"/>
          <w:bCs/>
          <w:kern w:val="0"/>
          <w:sz w:val="32"/>
          <w:szCs w:val="32"/>
          <w:lang w:val="en-US" w:eastAsia="zh-CN"/>
        </w:rPr>
        <w:t>2-5</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小标宋简体"/>
          <w:sz w:val="44"/>
          <w:szCs w:val="44"/>
        </w:rPr>
        <w:t>重点群体信访维稳工作经费</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rPr>
          <w:rFonts w:hint="eastAsia"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520" w:lineRule="exact"/>
        <w:ind w:firstLine="640" w:firstLineChars="200"/>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numPr>
          <w:ilvl w:val="0"/>
          <w:numId w:val="9"/>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adjustRightInd w:val="0"/>
        <w:snapToGrid w:val="0"/>
        <w:spacing w:line="520" w:lineRule="exact"/>
        <w:ind w:firstLine="640" w:firstLineChars="200"/>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2022年县信访局项目支出预算100万，其中</w:t>
      </w:r>
      <w:r>
        <w:rPr>
          <w:rFonts w:hint="eastAsia" w:ascii="仿宋_GB2312" w:hAnsi="宋体" w:eastAsia="仿宋_GB2312"/>
          <w:sz w:val="32"/>
          <w:szCs w:val="32"/>
          <w:lang w:eastAsia="zh-CN"/>
        </w:rPr>
        <w:t>上缴市信访局驻京联络处处访工作经费</w:t>
      </w:r>
      <w:r>
        <w:rPr>
          <w:rFonts w:hint="eastAsia" w:ascii="仿宋_GB2312" w:hAnsi="宋体" w:eastAsia="仿宋_GB2312"/>
          <w:sz w:val="32"/>
          <w:szCs w:val="32"/>
          <w:lang w:val="en-US" w:eastAsia="zh-CN"/>
        </w:rPr>
        <w:t>23万元，截止2022年底，该项目资金已完成预算100%。</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44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eastAsia="zh-CN"/>
        </w:rPr>
        <w:t>上缴市信访局驻京联络处处访工作经费</w:t>
      </w:r>
      <w:r>
        <w:rPr>
          <w:rFonts w:hint="eastAsia" w:ascii="仿宋_GB2312" w:hAnsi="宋体" w:eastAsia="仿宋_GB2312"/>
          <w:sz w:val="32"/>
          <w:szCs w:val="32"/>
          <w:lang w:val="en-US" w:eastAsia="zh-CN"/>
        </w:rPr>
        <w:t>用于驻京联络处工作开展经费。</w:t>
      </w:r>
    </w:p>
    <w:p>
      <w:pPr>
        <w:numPr>
          <w:ilvl w:val="0"/>
          <w:numId w:val="9"/>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numPr>
          <w:ilvl w:val="0"/>
          <w:numId w:val="0"/>
        </w:numPr>
        <w:ind w:leftChars="200"/>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2022年度项目绩效自评工作中，我局认真筹划，严密组织，以严谨、务实的态度，不折不扣的落实县委、县政府和县财政局的相关要求，认真收集整理评价资料，全面真实反映年度项目经费使用管理情况，对照县信访局2021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：派驻驻京工作人员，对进京人员第一时间劝返，控制越级访，较少进京到省访人员。</w:t>
      </w:r>
    </w:p>
    <w:p>
      <w:pPr>
        <w:adjustRightInd w:val="0"/>
        <w:snapToGrid w:val="0"/>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44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2022年信访工作未接到人民群众、部门工作人员及相关不满意情况反映，满意度为98%。</w:t>
      </w:r>
    </w:p>
    <w:p>
      <w:pPr>
        <w:spacing w:line="580" w:lineRule="exact"/>
        <w:ind w:firstLine="640" w:firstLineChars="200"/>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44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44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44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44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44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rPr>
        <w:t>202</w:t>
      </w:r>
      <w:r>
        <w:rPr>
          <w:rFonts w:hint="eastAsia" w:ascii="方正仿宋简体" w:hAnsi="方正仿宋简体" w:eastAsia="方正仿宋简体" w:cs="方正仿宋简体"/>
          <w:kern w:val="0"/>
          <w:sz w:val="32"/>
          <w:szCs w:val="32"/>
          <w:lang w:val="en-US" w:eastAsia="zh-CN"/>
        </w:rPr>
        <w:t>2</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eastAsia="zh-CN"/>
        </w:rPr>
        <w:t>，县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44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44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hint="default" w:eastAsia="方正黑体简体"/>
          <w:bCs/>
          <w:kern w:val="0"/>
          <w:sz w:val="32"/>
          <w:szCs w:val="32"/>
          <w:lang w:val="en-US" w:eastAsia="zh-CN"/>
        </w:rPr>
      </w:pPr>
      <w:r>
        <w:rPr>
          <w:rFonts w:hint="eastAsia" w:eastAsia="方正黑体简体"/>
          <w:bCs/>
          <w:kern w:val="0"/>
          <w:sz w:val="32"/>
          <w:szCs w:val="32"/>
        </w:rPr>
        <w:t>附件</w:t>
      </w:r>
      <w:r>
        <w:rPr>
          <w:rFonts w:hint="eastAsia" w:eastAsia="方正黑体简体"/>
          <w:bCs/>
          <w:kern w:val="0"/>
          <w:sz w:val="32"/>
          <w:szCs w:val="32"/>
          <w:lang w:val="en-US" w:eastAsia="zh-CN"/>
        </w:rPr>
        <w:t>2-5-1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（重点群体信访维稳工作经费）</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派驻驻京工作组</w:t>
            </w:r>
            <w:r>
              <w:t>/</w:t>
            </w:r>
            <w:r>
              <w:rPr>
                <w:rFonts w:hint="eastAsia"/>
                <w:lang w:eastAsia="zh-CN"/>
              </w:rPr>
              <w:t>派驻驻京工作组</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2022年</w:t>
            </w:r>
            <w:r>
              <w:t>-</w:t>
            </w:r>
            <w:r>
              <w:rPr>
                <w:rFonts w:hint="eastAsia"/>
                <w:lang w:val="en-US" w:eastAsia="zh-CN"/>
              </w:rPr>
              <w:t>2022年底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2022年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进京人数</w:t>
            </w:r>
            <w:r>
              <w:rPr>
                <w:rFonts w:hint="eastAsia"/>
                <w:lang w:val="en-US" w:eastAsia="zh-CN"/>
              </w:rPr>
              <w:t>1/进京人数1</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w:t>
            </w:r>
            <w:r>
              <w:rPr>
                <w:rFonts w:hint="eastAsia"/>
                <w:lang w:val="en-US" w:eastAsia="zh-CN"/>
              </w:rPr>
              <w:t>23万元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both"/>
        <w:rPr>
          <w:rFonts w:hint="default" w:eastAsia="方正黑体简体"/>
          <w:bCs/>
          <w:kern w:val="0"/>
          <w:sz w:val="32"/>
          <w:szCs w:val="32"/>
          <w:lang w:val="en-US" w:eastAsia="zh-CN"/>
        </w:rPr>
      </w:pPr>
      <w:r>
        <w:rPr>
          <w:rFonts w:hint="eastAsia" w:eastAsia="方正黑体简体"/>
          <w:bCs/>
          <w:kern w:val="0"/>
          <w:sz w:val="32"/>
          <w:szCs w:val="32"/>
        </w:rPr>
        <w:t>附件</w:t>
      </w:r>
      <w:r>
        <w:rPr>
          <w:rFonts w:hint="eastAsia" w:eastAsia="方正黑体简体"/>
          <w:bCs/>
          <w:kern w:val="0"/>
          <w:sz w:val="32"/>
          <w:szCs w:val="32"/>
          <w:lang w:val="en-US" w:eastAsia="zh-CN"/>
        </w:rPr>
        <w:t>2-5-2</w:t>
      </w:r>
    </w:p>
    <w:p>
      <w:pPr>
        <w:spacing w:line="620" w:lineRule="exact"/>
        <w:jc w:val="center"/>
        <w:rPr>
          <w:rFonts w:eastAsia="方正小标宋简体"/>
          <w:color w:val="000000"/>
          <w:spacing w:val="-12"/>
          <w:kern w:val="0"/>
          <w:sz w:val="36"/>
          <w:szCs w:val="36"/>
        </w:rPr>
      </w:pPr>
      <w:r>
        <w:rPr>
          <w:rFonts w:eastAsia="方正小标宋简体"/>
          <w:color w:val="000000"/>
          <w:spacing w:val="-12"/>
          <w:kern w:val="0"/>
          <w:sz w:val="36"/>
          <w:szCs w:val="36"/>
        </w:rPr>
        <w:t>202</w:t>
      </w:r>
      <w:r>
        <w:rPr>
          <w:rFonts w:hint="eastAsia" w:eastAsia="方正小标宋简体"/>
          <w:color w:val="000000"/>
          <w:spacing w:val="-12"/>
          <w:kern w:val="0"/>
          <w:sz w:val="36"/>
          <w:szCs w:val="36"/>
        </w:rPr>
        <w:t>2年度乐至县项目支出绩效目标完成情况表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06"/>
        <w:gridCol w:w="1310"/>
        <w:gridCol w:w="968"/>
        <w:gridCol w:w="1365"/>
        <w:gridCol w:w="1065"/>
        <w:gridCol w:w="1340"/>
        <w:gridCol w:w="1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cs="宋体"/>
                <w:color w:val="auto"/>
                <w:kern w:val="0"/>
                <w:szCs w:val="21"/>
                <w:lang w:eastAsia="zh-CN" w:bidi="ar"/>
              </w:rPr>
              <w:t>信访事务追加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派遣驻京工作组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控制越级访，减少进京到省访人数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重点群体信访维稳工作经费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23万元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23万元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pStyle w:val="7"/>
        <w:spacing w:before="93"/>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600" w:lineRule="exact"/>
        <w:jc w:val="center"/>
        <w:outlineLvl w:val="0"/>
        <w:rPr>
          <w:rFonts w:ascii="仿宋" w:hAnsi="仿宋" w:eastAsia="仿宋"/>
        </w:rPr>
      </w:pPr>
      <w:bookmarkStart w:id="57" w:name="_Toc15396618"/>
      <w:r>
        <w:rPr>
          <w:rFonts w:hint="eastAsia" w:ascii="黑体" w:hAnsi="黑体" w:eastAsia="黑体"/>
          <w:sz w:val="44"/>
          <w:szCs w:val="44"/>
        </w:rPr>
        <w:t>第</w:t>
      </w:r>
      <w:r>
        <w:rPr>
          <w:rStyle w:val="31"/>
          <w:rFonts w:hint="eastAsia" w:ascii="黑体" w:hAnsi="黑体" w:eastAsia="黑体"/>
          <w:b w:val="0"/>
        </w:rPr>
        <w:t>五部分 附表</w:t>
      </w:r>
      <w:bookmarkEnd w:id="55"/>
      <w:bookmarkEnd w:id="57"/>
      <w:bookmarkStart w:id="58" w:name="_Toc15396619"/>
    </w:p>
    <w:p>
      <w:pPr>
        <w:pStyle w:val="4"/>
        <w:rPr>
          <w:rFonts w:ascii="仿宋" w:hAnsi="仿宋" w:eastAsia="仿宋"/>
        </w:rPr>
      </w:pPr>
      <w:r>
        <w:rPr>
          <w:rFonts w:hint="eastAsia" w:ascii="仿宋" w:hAnsi="仿宋" w:eastAsia="仿宋"/>
          <w:b w:val="0"/>
        </w:rPr>
        <w:t>一、收</w:t>
      </w:r>
      <w:r>
        <w:rPr>
          <w:rStyle w:val="32"/>
          <w:rFonts w:hint="eastAsia" w:ascii="仿宋" w:hAnsi="仿宋" w:eastAsia="仿宋"/>
          <w:b w:val="0"/>
          <w:bCs w:val="0"/>
        </w:rPr>
        <w:t>入支出决算总表</w:t>
      </w:r>
      <w:bookmarkEnd w:id="58"/>
    </w:p>
    <w:p>
      <w:pPr>
        <w:pStyle w:val="4"/>
        <w:rPr>
          <w:rFonts w:ascii="仿宋" w:hAnsi="仿宋" w:eastAsia="仿宋"/>
        </w:rPr>
      </w:pPr>
      <w:bookmarkStart w:id="59" w:name="_Toc15396620"/>
      <w:r>
        <w:rPr>
          <w:rFonts w:hint="eastAsia" w:ascii="仿宋" w:hAnsi="仿宋" w:eastAsia="仿宋"/>
          <w:b w:val="0"/>
        </w:rPr>
        <w:t>二、收</w:t>
      </w:r>
      <w:r>
        <w:rPr>
          <w:rStyle w:val="32"/>
          <w:rFonts w:hint="eastAsia" w:ascii="仿宋" w:hAnsi="仿宋" w:eastAsia="仿宋"/>
          <w:b w:val="0"/>
          <w:bCs w:val="0"/>
        </w:rPr>
        <w:t>入决算表</w:t>
      </w:r>
      <w:bookmarkEnd w:id="59"/>
    </w:p>
    <w:p>
      <w:pPr>
        <w:pStyle w:val="4"/>
        <w:rPr>
          <w:rFonts w:ascii="仿宋" w:hAnsi="仿宋" w:eastAsia="仿宋"/>
        </w:rPr>
      </w:pPr>
      <w:bookmarkStart w:id="60" w:name="_Toc15396621"/>
      <w:r>
        <w:rPr>
          <w:rStyle w:val="32"/>
          <w:rFonts w:hint="eastAsia" w:ascii="仿宋" w:hAnsi="仿宋" w:eastAsia="仿宋"/>
          <w:b w:val="0"/>
          <w:bCs w:val="0"/>
        </w:rPr>
        <w:t>三、</w:t>
      </w:r>
      <w:r>
        <w:rPr>
          <w:rFonts w:hint="eastAsia" w:ascii="仿宋" w:hAnsi="仿宋" w:eastAsia="仿宋"/>
          <w:b w:val="0"/>
        </w:rPr>
        <w:t>支</w:t>
      </w:r>
      <w:r>
        <w:rPr>
          <w:rStyle w:val="32"/>
          <w:rFonts w:hint="eastAsia" w:ascii="仿宋" w:hAnsi="仿宋" w:eastAsia="仿宋"/>
          <w:b w:val="0"/>
          <w:bCs w:val="0"/>
        </w:rPr>
        <w:t>出决算表</w:t>
      </w:r>
      <w:bookmarkEnd w:id="60"/>
    </w:p>
    <w:p>
      <w:pPr>
        <w:pStyle w:val="4"/>
        <w:rPr>
          <w:rFonts w:ascii="仿宋" w:hAnsi="仿宋" w:eastAsia="仿宋"/>
          <w:b w:val="0"/>
        </w:rPr>
      </w:pPr>
      <w:bookmarkStart w:id="61" w:name="_Toc15396622"/>
      <w:r>
        <w:rPr>
          <w:rStyle w:val="32"/>
          <w:rFonts w:hint="eastAsia" w:ascii="仿宋" w:hAnsi="仿宋" w:eastAsia="仿宋"/>
          <w:b w:val="0"/>
          <w:bCs w:val="0"/>
        </w:rPr>
        <w:t>四、</w:t>
      </w:r>
      <w:r>
        <w:rPr>
          <w:rFonts w:hint="eastAsia" w:ascii="仿宋" w:hAnsi="仿宋" w:eastAsia="仿宋"/>
          <w:b w:val="0"/>
        </w:rPr>
        <w:t>财</w:t>
      </w:r>
      <w:r>
        <w:rPr>
          <w:rStyle w:val="32"/>
          <w:rFonts w:hint="eastAsia" w:ascii="仿宋" w:hAnsi="仿宋" w:eastAsia="仿宋"/>
          <w:b w:val="0"/>
          <w:bCs w:val="0"/>
        </w:rPr>
        <w:t>政拨款收入支出决算总表</w:t>
      </w:r>
      <w:bookmarkEnd w:id="61"/>
    </w:p>
    <w:p>
      <w:pPr>
        <w:pStyle w:val="4"/>
        <w:rPr>
          <w:rStyle w:val="32"/>
          <w:rFonts w:ascii="仿宋" w:hAnsi="仿宋" w:eastAsia="仿宋"/>
          <w:b w:val="0"/>
          <w:bCs w:val="0"/>
        </w:rPr>
      </w:pPr>
      <w:bookmarkStart w:id="62" w:name="_Toc15396623"/>
      <w:r>
        <w:rPr>
          <w:rStyle w:val="32"/>
          <w:rFonts w:hint="eastAsia" w:ascii="仿宋" w:hAnsi="仿宋" w:eastAsia="仿宋"/>
          <w:b w:val="0"/>
          <w:bCs w:val="0"/>
        </w:rPr>
        <w:t>五、</w:t>
      </w:r>
      <w:r>
        <w:rPr>
          <w:rFonts w:hint="eastAsia" w:ascii="仿宋" w:hAnsi="仿宋" w:eastAsia="仿宋"/>
          <w:b w:val="0"/>
        </w:rPr>
        <w:t>财</w:t>
      </w:r>
      <w:r>
        <w:rPr>
          <w:rStyle w:val="32"/>
          <w:rFonts w:hint="eastAsia" w:ascii="仿宋" w:hAnsi="仿宋" w:eastAsia="仿宋"/>
          <w:b w:val="0"/>
          <w:bCs w:val="0"/>
        </w:rPr>
        <w:t>政拨款支出决算明细表</w:t>
      </w:r>
      <w:bookmarkEnd w:id="62"/>
      <w:bookmarkStart w:id="63" w:name="_Toc15396624"/>
    </w:p>
    <w:p>
      <w:pPr>
        <w:pStyle w:val="4"/>
        <w:rPr>
          <w:rFonts w:ascii="仿宋" w:hAnsi="仿宋" w:eastAsia="仿宋"/>
        </w:rPr>
      </w:pPr>
      <w:r>
        <w:rPr>
          <w:rStyle w:val="32"/>
          <w:rFonts w:hint="eastAsia" w:ascii="仿宋" w:hAnsi="仿宋" w:eastAsia="仿宋"/>
          <w:b w:val="0"/>
          <w:bCs w:val="0"/>
        </w:rPr>
        <w:t>六、</w:t>
      </w:r>
      <w:r>
        <w:rPr>
          <w:rFonts w:hint="eastAsia" w:ascii="仿宋" w:hAnsi="仿宋" w:eastAsia="仿宋"/>
          <w:b w:val="0"/>
        </w:rPr>
        <w:t>一</w:t>
      </w:r>
      <w:r>
        <w:rPr>
          <w:rStyle w:val="32"/>
          <w:rFonts w:hint="eastAsia" w:ascii="仿宋" w:hAnsi="仿宋" w:eastAsia="仿宋"/>
          <w:b w:val="0"/>
          <w:bCs w:val="0"/>
        </w:rPr>
        <w:t>般公共预算财政拨款支出决算表</w:t>
      </w:r>
      <w:bookmarkEnd w:id="63"/>
    </w:p>
    <w:p>
      <w:pPr>
        <w:pStyle w:val="4"/>
        <w:rPr>
          <w:rFonts w:ascii="仿宋" w:hAnsi="仿宋" w:eastAsia="仿宋"/>
        </w:rPr>
      </w:pPr>
      <w:bookmarkStart w:id="64" w:name="_Toc15396625"/>
      <w:r>
        <w:rPr>
          <w:rStyle w:val="32"/>
          <w:rFonts w:hint="eastAsia" w:ascii="仿宋" w:hAnsi="仿宋" w:eastAsia="仿宋"/>
          <w:b w:val="0"/>
          <w:bCs w:val="0"/>
        </w:rPr>
        <w:t>七、</w:t>
      </w:r>
      <w:r>
        <w:rPr>
          <w:rFonts w:hint="eastAsia" w:ascii="仿宋" w:hAnsi="仿宋" w:eastAsia="仿宋"/>
          <w:b w:val="0"/>
        </w:rPr>
        <w:t>一</w:t>
      </w:r>
      <w:r>
        <w:rPr>
          <w:rStyle w:val="32"/>
          <w:rFonts w:hint="eastAsia" w:ascii="仿宋" w:hAnsi="仿宋" w:eastAsia="仿宋"/>
          <w:b w:val="0"/>
          <w:bCs w:val="0"/>
        </w:rPr>
        <w:t>般公共预算财政拨款支出决算明细表</w:t>
      </w:r>
      <w:bookmarkEnd w:id="64"/>
    </w:p>
    <w:p>
      <w:pPr>
        <w:pStyle w:val="4"/>
        <w:rPr>
          <w:rFonts w:ascii="仿宋" w:hAnsi="仿宋" w:eastAsia="仿宋"/>
        </w:rPr>
      </w:pPr>
      <w:bookmarkStart w:id="65" w:name="_Toc15396626"/>
      <w:r>
        <w:rPr>
          <w:rStyle w:val="32"/>
          <w:rFonts w:hint="eastAsia" w:ascii="仿宋" w:hAnsi="仿宋" w:eastAsia="仿宋"/>
          <w:b w:val="0"/>
          <w:bCs w:val="0"/>
        </w:rPr>
        <w:t>八、</w:t>
      </w:r>
      <w:r>
        <w:rPr>
          <w:rFonts w:hint="eastAsia" w:ascii="仿宋" w:hAnsi="仿宋" w:eastAsia="仿宋"/>
          <w:b w:val="0"/>
        </w:rPr>
        <w:t>一</w:t>
      </w:r>
      <w:r>
        <w:rPr>
          <w:rStyle w:val="32"/>
          <w:rFonts w:hint="eastAsia" w:ascii="仿宋" w:hAnsi="仿宋" w:eastAsia="仿宋"/>
          <w:b w:val="0"/>
          <w:bCs w:val="0"/>
        </w:rPr>
        <w:t>般公共预算财政拨款基本支出决算表</w:t>
      </w:r>
      <w:bookmarkEnd w:id="65"/>
    </w:p>
    <w:p>
      <w:pPr>
        <w:pStyle w:val="4"/>
        <w:rPr>
          <w:rFonts w:ascii="仿宋" w:hAnsi="仿宋" w:eastAsia="仿宋"/>
        </w:rPr>
      </w:pPr>
      <w:bookmarkStart w:id="66" w:name="_Toc15396627"/>
      <w:r>
        <w:rPr>
          <w:rStyle w:val="32"/>
          <w:rFonts w:hint="eastAsia" w:ascii="仿宋" w:hAnsi="仿宋" w:eastAsia="仿宋"/>
          <w:b w:val="0"/>
          <w:bCs w:val="0"/>
        </w:rPr>
        <w:t>九、</w:t>
      </w:r>
      <w:r>
        <w:rPr>
          <w:rFonts w:hint="eastAsia" w:ascii="仿宋" w:hAnsi="仿宋" w:eastAsia="仿宋"/>
          <w:b w:val="0"/>
        </w:rPr>
        <w:t>一</w:t>
      </w:r>
      <w:r>
        <w:rPr>
          <w:rStyle w:val="32"/>
          <w:rFonts w:hint="eastAsia" w:ascii="仿宋" w:hAnsi="仿宋" w:eastAsia="仿宋"/>
          <w:b w:val="0"/>
          <w:bCs w:val="0"/>
        </w:rPr>
        <w:t>般公共预算财政拨款项目支出决算表</w:t>
      </w:r>
      <w:bookmarkEnd w:id="66"/>
    </w:p>
    <w:p>
      <w:pPr>
        <w:pStyle w:val="4"/>
        <w:rPr>
          <w:rFonts w:ascii="仿宋" w:hAnsi="仿宋" w:eastAsia="仿宋"/>
        </w:rPr>
      </w:pPr>
      <w:bookmarkStart w:id="67" w:name="_Toc15396628"/>
      <w:r>
        <w:rPr>
          <w:rStyle w:val="32"/>
          <w:rFonts w:hint="eastAsia" w:ascii="仿宋" w:hAnsi="仿宋" w:eastAsia="仿宋"/>
          <w:b w:val="0"/>
          <w:bCs w:val="0"/>
        </w:rPr>
        <w:t>十、</w:t>
      </w:r>
      <w:bookmarkEnd w:id="67"/>
      <w:r>
        <w:rPr>
          <w:rFonts w:hint="eastAsia" w:ascii="仿宋" w:hAnsi="仿宋" w:eastAsia="仿宋"/>
          <w:b w:val="0"/>
        </w:rPr>
        <w:t>政</w:t>
      </w:r>
      <w:r>
        <w:rPr>
          <w:rStyle w:val="32"/>
          <w:rFonts w:hint="eastAsia" w:ascii="仿宋" w:hAnsi="仿宋" w:eastAsia="仿宋"/>
          <w:b w:val="0"/>
          <w:bCs w:val="0"/>
        </w:rPr>
        <w:t>府性基金预算财政拨款收入支出决算表</w:t>
      </w:r>
    </w:p>
    <w:p>
      <w:pPr>
        <w:pStyle w:val="4"/>
        <w:rPr>
          <w:rFonts w:ascii="仿宋" w:hAnsi="仿宋" w:eastAsia="仿宋"/>
        </w:rPr>
      </w:pPr>
      <w:bookmarkStart w:id="68" w:name="_Toc15396629"/>
      <w:r>
        <w:rPr>
          <w:rStyle w:val="32"/>
          <w:rFonts w:hint="eastAsia" w:ascii="仿宋" w:hAnsi="仿宋" w:eastAsia="仿宋"/>
          <w:b w:val="0"/>
          <w:bCs w:val="0"/>
        </w:rPr>
        <w:t>十一、</w:t>
      </w:r>
      <w:bookmarkEnd w:id="68"/>
      <w:r>
        <w:rPr>
          <w:rFonts w:hint="eastAsia" w:ascii="仿宋" w:hAnsi="仿宋" w:eastAsia="仿宋"/>
          <w:b w:val="0"/>
        </w:rPr>
        <w:t>国</w:t>
      </w:r>
      <w:r>
        <w:rPr>
          <w:rStyle w:val="32"/>
          <w:rFonts w:hint="eastAsia" w:ascii="仿宋" w:hAnsi="仿宋" w:eastAsia="仿宋"/>
          <w:b w:val="0"/>
          <w:bCs w:val="0"/>
        </w:rPr>
        <w:t>有资本经营预算财政拨款收入支出决算表</w:t>
      </w:r>
    </w:p>
    <w:p>
      <w:pPr>
        <w:pStyle w:val="4"/>
        <w:rPr>
          <w:rFonts w:ascii="仿宋" w:hAnsi="仿宋" w:eastAsia="仿宋"/>
        </w:rPr>
      </w:pPr>
      <w:bookmarkStart w:id="69" w:name="_Toc15396630"/>
      <w:r>
        <w:rPr>
          <w:rStyle w:val="32"/>
          <w:rFonts w:hint="eastAsia" w:ascii="仿宋" w:hAnsi="仿宋" w:eastAsia="仿宋"/>
          <w:b w:val="0"/>
          <w:bCs w:val="0"/>
        </w:rPr>
        <w:t>十二、</w:t>
      </w:r>
      <w:bookmarkEnd w:id="69"/>
      <w:r>
        <w:rPr>
          <w:rStyle w:val="32"/>
          <w:rFonts w:hint="eastAsia" w:ascii="仿宋" w:hAnsi="仿宋" w:eastAsia="仿宋"/>
          <w:b w:val="0"/>
          <w:bCs w:val="0"/>
        </w:rPr>
        <w:t>国有资本经营预算财政拨款支出决算表</w:t>
      </w:r>
    </w:p>
    <w:p>
      <w:pPr>
        <w:pStyle w:val="4"/>
        <w:rPr>
          <w:rFonts w:eastAsia="仿宋"/>
        </w:rPr>
      </w:pPr>
      <w:bookmarkStart w:id="70" w:name="_Toc15396631"/>
      <w:r>
        <w:rPr>
          <w:rStyle w:val="32"/>
          <w:rFonts w:hint="eastAsia" w:ascii="仿宋" w:hAnsi="仿宋" w:eastAsia="仿宋"/>
          <w:b w:val="0"/>
          <w:bCs w:val="0"/>
        </w:rPr>
        <w:t>十三、</w:t>
      </w:r>
      <w:bookmarkEnd w:id="70"/>
      <w:r>
        <w:rPr>
          <w:rStyle w:val="32"/>
          <w:rFonts w:hint="eastAsia" w:ascii="仿宋" w:hAnsi="仿宋" w:eastAsia="仿宋"/>
          <w:b w:val="0"/>
          <w:bCs w:val="0"/>
        </w:rPr>
        <w:t>财政拨款“三公”经费支出决算表</w:t>
      </w:r>
    </w:p>
    <w:sectPr>
      <w:headerReference r:id="rId4" w:type="default"/>
      <w:footerReference r:id="rId5"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1312" behindDoc="0" locked="0" layoutInCell="1" allowOverlap="1">
              <wp:simplePos x="0" y="0"/>
              <wp:positionH relativeFrom="margin">
                <wp:posOffset>5134610</wp:posOffset>
              </wp:positionH>
              <wp:positionV relativeFrom="paragraph">
                <wp:posOffset>-211455</wp:posOffset>
              </wp:positionV>
              <wp:extent cx="436880" cy="52133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436880" cy="521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04.3pt;margin-top:-16.65pt;height:41.05pt;width:34.4pt;mso-position-horizontal-relative:margin;z-index:251661312;mso-width-relative:page;mso-height-relative:page;" filled="f" stroked="f" coordsize="21600,21600" o:gfxdata="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2Hbja2QAAAAoBAAAPAAAAAAAAAAEAIAAAACIAAABkcnMvZG93&#10;bnJldi54bWxQSwECFAAUAAAACACHTuJAqAOgkTgCAABjBAAADgAAAAAAAAABACAAAAAoAQAAZHJz&#10;L2Uyb0RvYy54bWxQSwUGAAAAAAYABgBZAQAA0gUAAAAA&#10;">
              <v:fill on="f" focussize="0,0"/>
              <v:stroke on="f" weight="0.5pt"/>
              <v:imagedata o:title=""/>
              <o:lock v:ext="edit" aspectratio="f"/>
              <v:textbox inset="0mm,0mm,0mm,0mm">
                <w:txbxContent>
                  <w:p>
                    <w:pPr>
                      <w:pStyle w:val="12"/>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-224155</wp:posOffset>
              </wp:positionV>
              <wp:extent cx="622300" cy="4699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622300" cy="469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30"/>
                              <w:szCs w:val="30"/>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7.65pt;height:37pt;width:49pt;mso-position-horizontal:right;mso-position-horizontal-relative:margin;z-index:251659264;mso-width-relative:page;mso-height-relative:page;" filled="f" stroked="f" coordsize="21600,21600" o:gfxdata="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JdzS7VAAAABgEAAA8AAAAAAAAAAQAgAAAAIgAAAGRycy9kb3ducmV2Lnht&#10;bFBLAQIUABQAAAAIAIdO4kCf1U6uNQIAAGMEAAAOAAAAAAAAAAEAIAAAACQBAABkcnMvZTJvRG9j&#10;LnhtbFBLBQYAAAAABgAGAFkBAADLBQAAAAA=&#10;">
              <v:fill on="f" focussize="0,0"/>
              <v:stroke on="f" weight="0.5pt"/>
              <v:imagedata o:title=""/>
              <o:lock v:ext="edit" aspectratio="f"/>
              <v:textbox inset="0mm,0mm,0mm,0mm">
                <w:txbxContent>
                  <w:p>
                    <w:pPr>
                      <w:pStyle w:val="12"/>
                      <w:rPr>
                        <w:sz w:val="30"/>
                        <w:szCs w:val="3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6EDE5B"/>
    <w:multiLevelType w:val="singleLevel"/>
    <w:tmpl w:val="8C6EDE5B"/>
    <w:lvl w:ilvl="0" w:tentative="0">
      <w:start w:val="1"/>
      <w:numFmt w:val="chineseCounting"/>
      <w:suff w:val="space"/>
      <w:lvlText w:val="第%1部分"/>
      <w:lvlJc w:val="left"/>
      <w:rPr>
        <w:rFonts w:hint="eastAsia"/>
      </w:rPr>
    </w:lvl>
  </w:abstractNum>
  <w:abstractNum w:abstractNumId="1">
    <w:nsid w:val="C81C386C"/>
    <w:multiLevelType w:val="singleLevel"/>
    <w:tmpl w:val="C81C386C"/>
    <w:lvl w:ilvl="0" w:tentative="0">
      <w:start w:val="2"/>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B8E1004"/>
    <w:multiLevelType w:val="singleLevel"/>
    <w:tmpl w:val="1B8E1004"/>
    <w:lvl w:ilvl="0" w:tentative="0">
      <w:start w:val="2"/>
      <w:numFmt w:val="chineseCounting"/>
      <w:suff w:val="nothing"/>
      <w:lvlText w:val="（%1）"/>
      <w:lvlJc w:val="left"/>
      <w:rPr>
        <w:rFonts w:hint="eastAsia"/>
      </w:rPr>
    </w:lvl>
  </w:abstractNum>
  <w:abstractNum w:abstractNumId="6">
    <w:nsid w:val="1BF4DC13"/>
    <w:multiLevelType w:val="singleLevel"/>
    <w:tmpl w:val="1BF4DC13"/>
    <w:lvl w:ilvl="0" w:tentative="0">
      <w:start w:val="5"/>
      <w:numFmt w:val="chineseCounting"/>
      <w:suff w:val="nothing"/>
      <w:lvlText w:val="%1、"/>
      <w:lvlJc w:val="left"/>
      <w:rPr>
        <w:rFonts w:hint="eastAsia"/>
      </w:rPr>
    </w:lvl>
  </w:abstractNum>
  <w:abstractNum w:abstractNumId="7">
    <w:nsid w:val="569AFF07"/>
    <w:multiLevelType w:val="singleLevel"/>
    <w:tmpl w:val="569AFF07"/>
    <w:lvl w:ilvl="0" w:tentative="0">
      <w:start w:val="2"/>
      <w:numFmt w:val="chineseCounting"/>
      <w:suff w:val="nothing"/>
      <w:lvlText w:val="（%1）"/>
      <w:lvlJc w:val="left"/>
      <w:rPr>
        <w:rFonts w:hint="eastAsia"/>
      </w:rPr>
    </w:lvl>
  </w:abstractNum>
  <w:abstractNum w:abstractNumId="8">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0"/>
  </w:num>
  <w:num w:numId="2">
    <w:abstractNumId w:val="8"/>
  </w:num>
  <w:num w:numId="3">
    <w:abstractNumId w:val="4"/>
  </w:num>
  <w:num w:numId="4">
    <w:abstractNumId w:val="2"/>
  </w:num>
  <w:num w:numId="5">
    <w:abstractNumId w:val="3"/>
  </w:num>
  <w:num w:numId="6">
    <w:abstractNumId w:val="5"/>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996F6E"/>
    <w:rsid w:val="09EF5765"/>
    <w:rsid w:val="0A2032A3"/>
    <w:rsid w:val="0F98263C"/>
    <w:rsid w:val="101860EC"/>
    <w:rsid w:val="1068770F"/>
    <w:rsid w:val="10C055FF"/>
    <w:rsid w:val="11115DBE"/>
    <w:rsid w:val="118107EC"/>
    <w:rsid w:val="13D50BC4"/>
    <w:rsid w:val="16BB723D"/>
    <w:rsid w:val="1BE8440E"/>
    <w:rsid w:val="1D155CEE"/>
    <w:rsid w:val="1FF35744"/>
    <w:rsid w:val="23860B96"/>
    <w:rsid w:val="240371BF"/>
    <w:rsid w:val="29FD04D3"/>
    <w:rsid w:val="2C8A61B5"/>
    <w:rsid w:val="2DF04E50"/>
    <w:rsid w:val="2F040D46"/>
    <w:rsid w:val="319F7F4E"/>
    <w:rsid w:val="3304709D"/>
    <w:rsid w:val="36AA5135"/>
    <w:rsid w:val="376D39B2"/>
    <w:rsid w:val="37E16F03"/>
    <w:rsid w:val="38D469F0"/>
    <w:rsid w:val="3D98207C"/>
    <w:rsid w:val="3E78745D"/>
    <w:rsid w:val="44E268DA"/>
    <w:rsid w:val="45511F91"/>
    <w:rsid w:val="46E407E7"/>
    <w:rsid w:val="4A627F82"/>
    <w:rsid w:val="4B0E749A"/>
    <w:rsid w:val="4B4F25DA"/>
    <w:rsid w:val="4BE068DB"/>
    <w:rsid w:val="4D577224"/>
    <w:rsid w:val="4EAB630A"/>
    <w:rsid w:val="4ECE2238"/>
    <w:rsid w:val="537E6D0A"/>
    <w:rsid w:val="55C10B53"/>
    <w:rsid w:val="564A0387"/>
    <w:rsid w:val="57DA58D5"/>
    <w:rsid w:val="5AF92295"/>
    <w:rsid w:val="5CD71FC4"/>
    <w:rsid w:val="5EF97619"/>
    <w:rsid w:val="66F37FA7"/>
    <w:rsid w:val="6B163E42"/>
    <w:rsid w:val="6C4A05C8"/>
    <w:rsid w:val="6E7E3605"/>
    <w:rsid w:val="6EA328DF"/>
    <w:rsid w:val="6F367BC0"/>
    <w:rsid w:val="6FF5CC65"/>
    <w:rsid w:val="706305CE"/>
    <w:rsid w:val="715C0E4B"/>
    <w:rsid w:val="72734D90"/>
    <w:rsid w:val="72AC7F71"/>
    <w:rsid w:val="73AD73D5"/>
    <w:rsid w:val="73B6EB34"/>
    <w:rsid w:val="744731E5"/>
    <w:rsid w:val="76E3355F"/>
    <w:rsid w:val="778769C8"/>
    <w:rsid w:val="78E40F12"/>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uiPriority w:val="0"/>
    <w:pPr>
      <w:ind w:left="200" w:leftChars="200" w:hanging="200" w:hangingChars="200"/>
    </w:pPr>
    <w:rPr>
      <w:rFonts w:ascii="Calibri" w:hAnsi="Calibri"/>
    </w:rPr>
  </w:style>
  <w:style w:type="paragraph" w:styleId="6">
    <w:name w:val="annotation text"/>
    <w:basedOn w:val="1"/>
    <w:semiHidden/>
    <w:unhideWhenUsed/>
    <w:qFormat/>
    <w:uiPriority w:val="99"/>
    <w:pPr>
      <w:jc w:val="left"/>
    </w:pPr>
  </w:style>
  <w:style w:type="paragraph" w:styleId="7">
    <w:name w:val="Body Text"/>
    <w:basedOn w:val="1"/>
    <w:next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99"/>
    <w:pPr>
      <w:spacing w:line="480" w:lineRule="auto"/>
      <w:ind w:left="420" w:leftChars="200"/>
    </w:pPr>
    <w:rPr>
      <w:rFonts w:ascii="Calibri" w:hAnsi="Calibri" w:cs="Calibri"/>
    </w:rPr>
  </w:style>
  <w:style w:type="paragraph" w:styleId="11">
    <w:name w:val="Balloon Text"/>
    <w:basedOn w:val="1"/>
    <w:link w:val="34"/>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2"/>
    <w:basedOn w:val="8"/>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3"/>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2"/>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3"/>
    <w:qFormat/>
    <w:uiPriority w:val="9"/>
    <w:rPr>
      <w:rFonts w:ascii="Times New Roman" w:hAnsi="Times New Roman"/>
      <w:b/>
      <w:bCs/>
      <w:kern w:val="44"/>
      <w:sz w:val="44"/>
      <w:szCs w:val="44"/>
    </w:rPr>
  </w:style>
  <w:style w:type="character" w:customStyle="1" w:styleId="32">
    <w:name w:val="标题 2 字符"/>
    <w:basedOn w:val="19"/>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11"/>
    <w:semiHidden/>
    <w:qFormat/>
    <w:uiPriority w:val="99"/>
    <w:rPr>
      <w:rFonts w:ascii="Times New Roman" w:hAnsi="Times New Roman"/>
      <w:kern w:val="2"/>
      <w:sz w:val="18"/>
      <w:szCs w:val="18"/>
    </w:rPr>
  </w:style>
  <w:style w:type="character" w:customStyle="1" w:styleId="35">
    <w:name w:val="标题 3 字符"/>
    <w:basedOn w:val="19"/>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70033296943231"/>
          <c:y val="0.0119617224880383"/>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c:v>
                </c:pt>
              </c:strCache>
            </c:strRef>
          </c:tx>
          <c:spPr>
            <a:solidFill>
              <a:schemeClr val="accent1"/>
            </a:solidFill>
            <a:ln>
              <a:noFill/>
            </a:ln>
            <a:effectLst/>
          </c:spPr>
          <c:invertIfNegative val="0"/>
          <c:dLbls>
            <c:delete val="1"/>
          </c:dLbls>
          <c:cat>
            <c:strRef>
              <c:f>Sheet1!$A$2:$A$3</c:f>
              <c:strCache>
                <c:ptCount val="2"/>
                <c:pt idx="0">
                  <c:v>2021年收支</c:v>
                </c:pt>
                <c:pt idx="1">
                  <c:v>2022年收支</c:v>
                </c:pt>
              </c:strCache>
            </c:strRef>
          </c:cat>
          <c:val>
            <c:numRef>
              <c:f>Sheet1!$B$2:$B$3</c:f>
              <c:numCache>
                <c:formatCode>General</c:formatCode>
                <c:ptCount val="2"/>
                <c:pt idx="0">
                  <c:v>270.2</c:v>
                </c:pt>
                <c:pt idx="1">
                  <c:v>348.3</c:v>
                </c:pt>
              </c:numCache>
            </c:numRef>
          </c:val>
        </c:ser>
        <c:ser>
          <c:idx val="1"/>
          <c:order val="1"/>
          <c:tx>
            <c:strRef>
              <c:f>Sheet1!$C$1</c:f>
              <c:strCache>
                <c:ptCount val="1"/>
                <c:pt idx="0">
                  <c:v>支</c:v>
                </c:pt>
              </c:strCache>
            </c:strRef>
          </c:tx>
          <c:spPr>
            <a:solidFill>
              <a:schemeClr val="accent2"/>
            </a:solidFill>
            <a:ln>
              <a:noFill/>
            </a:ln>
            <a:effectLst/>
          </c:spPr>
          <c:invertIfNegative val="0"/>
          <c:dLbls>
            <c:delete val="1"/>
          </c:dLbls>
          <c:cat>
            <c:strRef>
              <c:f>Sheet1!$A$2:$A$3</c:f>
              <c:strCache>
                <c:ptCount val="2"/>
                <c:pt idx="0">
                  <c:v>2021年收支</c:v>
                </c:pt>
                <c:pt idx="1">
                  <c:v>2022年收支</c:v>
                </c:pt>
              </c:strCache>
            </c:strRef>
          </c:cat>
          <c:val>
            <c:numRef>
              <c:f>Sheet1!$C$2:$C$3</c:f>
              <c:numCache>
                <c:formatCode>General</c:formatCode>
                <c:ptCount val="2"/>
                <c:pt idx="0">
                  <c:v>270.2</c:v>
                </c:pt>
                <c:pt idx="1">
                  <c:v>348.3</c:v>
                </c:pt>
              </c:numCache>
            </c:numRef>
          </c:val>
        </c:ser>
        <c:dLbls>
          <c:showLegendKey val="0"/>
          <c:showVal val="0"/>
          <c:showCatName val="0"/>
          <c:showSerName val="0"/>
          <c:showPercent val="0"/>
          <c:showBubbleSize val="0"/>
        </c:dLbls>
        <c:gapWidth val="219"/>
        <c:overlap val="-27"/>
        <c:axId val="907496345"/>
        <c:axId val="390724342"/>
      </c:barChart>
      <c:catAx>
        <c:axId val="9074963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24342"/>
        <c:crosses val="autoZero"/>
        <c:auto val="1"/>
        <c:lblAlgn val="ctr"/>
        <c:lblOffset val="100"/>
        <c:noMultiLvlLbl val="0"/>
      </c:catAx>
      <c:valAx>
        <c:axId val="39072434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749634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Lbls>
            <c:delete val="1"/>
          </c:dLbls>
          <c:cat>
            <c:strRef>
              <c:f>Sheet1!$A$2</c:f>
              <c:strCache>
                <c:ptCount val="1"/>
                <c:pt idx="0">
                  <c:v>财政收入</c:v>
                </c:pt>
              </c:strCache>
            </c:strRef>
          </c:cat>
          <c:val>
            <c:numRef>
              <c:f>Sheet1!$B$2</c:f>
              <c:numCache>
                <c:formatCode>General</c:formatCode>
                <c:ptCount val="1"/>
                <c:pt idx="0">
                  <c:v>348.3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0.00%</c:formatCode>
                <c:ptCount val="2"/>
                <c:pt idx="0">
                  <c:v>0.6305</c:v>
                </c:pt>
                <c:pt idx="1">
                  <c:v>0.3695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manualLayout>
          <c:xMode val="edge"/>
          <c:yMode val="edge"/>
          <c:x val="0.273"/>
          <c:y val="0.025"/>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c:v>
                </c:pt>
              </c:strCache>
            </c:strRef>
          </c:tx>
          <c:spPr>
            <a:solidFill>
              <a:schemeClr val="accent1"/>
            </a:solidFill>
            <a:ln>
              <a:noFill/>
            </a:ln>
            <a:effectLst/>
          </c:spPr>
          <c:invertIfNegative val="0"/>
          <c:dLbls>
            <c:delete val="1"/>
          </c:dLbls>
          <c:cat>
            <c:strRef>
              <c:f>Sheet1!$A$2:$A$3</c:f>
              <c:strCache>
                <c:ptCount val="2"/>
                <c:pt idx="0">
                  <c:v>2021年收支</c:v>
                </c:pt>
                <c:pt idx="1">
                  <c:v>2022年收支</c:v>
                </c:pt>
              </c:strCache>
            </c:strRef>
          </c:cat>
          <c:val>
            <c:numRef>
              <c:f>Sheet1!$B$2:$B$3</c:f>
              <c:numCache>
                <c:formatCode>General</c:formatCode>
                <c:ptCount val="2"/>
                <c:pt idx="0">
                  <c:v>270.2</c:v>
                </c:pt>
                <c:pt idx="1">
                  <c:v>348.3</c:v>
                </c:pt>
              </c:numCache>
            </c:numRef>
          </c:val>
        </c:ser>
        <c:ser>
          <c:idx val="1"/>
          <c:order val="1"/>
          <c:tx>
            <c:strRef>
              <c:f>Sheet1!$C$1</c:f>
              <c:strCache>
                <c:ptCount val="1"/>
                <c:pt idx="0">
                  <c:v>支</c:v>
                </c:pt>
              </c:strCache>
            </c:strRef>
          </c:tx>
          <c:spPr>
            <a:solidFill>
              <a:schemeClr val="accent2"/>
            </a:solidFill>
            <a:ln>
              <a:noFill/>
            </a:ln>
            <a:effectLst/>
          </c:spPr>
          <c:invertIfNegative val="0"/>
          <c:dLbls>
            <c:delete val="1"/>
          </c:dLbls>
          <c:cat>
            <c:strRef>
              <c:f>Sheet1!$A$2:$A$3</c:f>
              <c:strCache>
                <c:ptCount val="2"/>
                <c:pt idx="0">
                  <c:v>2021年收支</c:v>
                </c:pt>
                <c:pt idx="1">
                  <c:v>2022年收支</c:v>
                </c:pt>
              </c:strCache>
            </c:strRef>
          </c:cat>
          <c:val>
            <c:numRef>
              <c:f>Sheet1!$C$2:$C$3</c:f>
              <c:numCache>
                <c:formatCode>General</c:formatCode>
                <c:ptCount val="2"/>
                <c:pt idx="0">
                  <c:v>270.2</c:v>
                </c:pt>
                <c:pt idx="1">
                  <c:v>348.3</c:v>
                </c:pt>
              </c:numCache>
            </c:numRef>
          </c:val>
        </c:ser>
        <c:dLbls>
          <c:showLegendKey val="0"/>
          <c:showVal val="0"/>
          <c:showCatName val="0"/>
          <c:showSerName val="0"/>
          <c:showPercent val="0"/>
          <c:showBubbleSize val="0"/>
        </c:dLbls>
        <c:gapWidth val="219"/>
        <c:overlap val="-27"/>
        <c:axId val="907496345"/>
        <c:axId val="390724342"/>
      </c:barChart>
      <c:catAx>
        <c:axId val="9074963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24342"/>
        <c:crosses val="autoZero"/>
        <c:auto val="1"/>
        <c:lblAlgn val="ctr"/>
        <c:lblOffset val="100"/>
        <c:noMultiLvlLbl val="0"/>
      </c:catAx>
      <c:valAx>
        <c:axId val="39072434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749634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5"/>
          <c:y val="0.155110523332704"/>
          <c:w val="0.945"/>
          <c:h val="0.753523521632344"/>
        </c:manualLayout>
      </c:layout>
      <c:barChart>
        <c:barDir val="col"/>
        <c:grouping val="clustered"/>
        <c:varyColors val="0"/>
        <c:ser>
          <c:idx val="0"/>
          <c:order val="0"/>
          <c:tx>
            <c:strRef>
              <c:f>Sheet1!$B$1</c:f>
              <c:strCache>
                <c:ptCount val="1"/>
                <c:pt idx="0">
                  <c:v>支</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Sheet1!$A$2:$A$5</c:f>
              <c:strCache>
                <c:ptCount val="4"/>
                <c:pt idx="0">
                  <c:v>2021年</c:v>
                </c:pt>
                <c:pt idx="1">
                  <c:v>2022年</c:v>
                </c:pt>
              </c:strCache>
            </c:strRef>
          </c:cat>
          <c:val>
            <c:numRef>
              <c:f>Sheet1!$B$2:$B$5</c:f>
              <c:numCache>
                <c:formatCode>General</c:formatCode>
                <c:ptCount val="4"/>
                <c:pt idx="0">
                  <c:v>270.22</c:v>
                </c:pt>
                <c:pt idx="1">
                  <c:v>348.31</c:v>
                </c:pt>
              </c:numCache>
            </c:numRef>
          </c:val>
        </c:ser>
        <c:dLbls>
          <c:showLegendKey val="0"/>
          <c:showVal val="1"/>
          <c:showCatName val="0"/>
          <c:showSerName val="0"/>
          <c:showPercent val="0"/>
          <c:showBubbleSize val="0"/>
        </c:dLbls>
        <c:gapWidth val="65"/>
        <c:overlap val="0"/>
        <c:axId val="436573409"/>
        <c:axId val="114760008"/>
      </c:barChart>
      <c:catAx>
        <c:axId val="436573409"/>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114760008"/>
        <c:crosses val="autoZero"/>
        <c:auto val="1"/>
        <c:lblAlgn val="ctr"/>
        <c:lblOffset val="100"/>
        <c:noMultiLvlLbl val="0"/>
      </c:catAx>
      <c:valAx>
        <c:axId val="11476000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436573409"/>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87.61</c:v>
                </c:pt>
                <c:pt idx="1">
                  <c:v>3.97</c:v>
                </c:pt>
                <c:pt idx="2">
                  <c:v>2.33</c:v>
                </c:pt>
                <c:pt idx="3">
                  <c:v>6.09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公务接待支出</c:v>
                </c:pt>
                <c:pt idx="1">
                  <c:v>公务用车运行维护支出</c:v>
                </c:pt>
              </c:strCache>
            </c:strRef>
          </c:cat>
          <c:val>
            <c:numRef>
              <c:f>Sheet1!$B$2:$B$3</c:f>
              <c:numCache>
                <c:formatCode>0.00%</c:formatCode>
                <c:ptCount val="2"/>
                <c:pt idx="0">
                  <c:v>0.1611</c:v>
                </c:pt>
                <c:pt idx="1">
                  <c:v>0.8389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2023-11-17T02:37:38Z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6AFD616AF664485EB444ACFD44479F37</vt:lpwstr>
  </property>
</Properties>
</file>