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96597"/>
      <w:bookmarkStart w:id="1" w:name="_Toc15378441"/>
      <w:bookmarkStart w:id="2" w:name="_Toc15377425"/>
      <w:bookmarkStart w:id="3" w:name="_Toc15396475"/>
      <w:bookmarkStart w:id="4" w:name="_Toc15377193"/>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0881"/>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bookmarkEnd w:id="6"/>
    </w:p>
    <w:bookmarkEnd w:id="5"/>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77426"/>
      <w:bookmarkStart w:id="8" w:name="_Toc15396476"/>
      <w:bookmarkStart w:id="9" w:name="_Toc15377194"/>
      <w:bookmarkStart w:id="10" w:name="_Toc15378442"/>
      <w:bookmarkStart w:id="11" w:name="_Toc15396598"/>
      <w:bookmarkStart w:id="12" w:name="_Toc15306268"/>
      <w:bookmarkStart w:id="13" w:name="_Toc7616"/>
      <w:r>
        <w:rPr>
          <w:rFonts w:hint="eastAsia" w:ascii="方正小标宋简体" w:hAnsi="方正小标宋简体" w:eastAsia="方正小标宋简体" w:cs="方正小标宋简体"/>
          <w:sz w:val="72"/>
          <w:szCs w:val="72"/>
          <w:lang w:eastAsia="zh-CN"/>
        </w:rPr>
        <w:t>资阳市乐至县人民检察院</w:t>
      </w:r>
      <w:r>
        <w:rPr>
          <w:rFonts w:hint="eastAsia" w:ascii="方正小标宋简体" w:hAnsi="方正小标宋简体" w:eastAsia="方正小标宋简体" w:cs="方正小标宋简体"/>
          <w:sz w:val="72"/>
          <w:szCs w:val="72"/>
        </w:rPr>
        <w:t>部门决算</w:t>
      </w:r>
      <w:bookmarkEnd w:id="7"/>
      <w:bookmarkEnd w:id="8"/>
      <w:bookmarkEnd w:id="9"/>
      <w:bookmarkEnd w:id="10"/>
      <w:bookmarkEnd w:id="11"/>
      <w:bookmarkEnd w:id="12"/>
      <w:bookmarkEnd w:id="13"/>
    </w:p>
    <w:p>
      <w:pPr>
        <w:widowControl/>
        <w:jc w:val="center"/>
        <w:rPr>
          <w:rFonts w:hint="eastAsia" w:ascii="黑体" w:hAnsi="黑体" w:eastAsia="黑体"/>
          <w:sz w:val="48"/>
          <w:szCs w:val="48"/>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公开时间：2023年</w:t>
      </w:r>
      <w:r>
        <w:rPr>
          <w:rFonts w:hint="eastAsia"/>
          <w:lang w:val="en-US" w:eastAsia="zh-CN"/>
        </w:rPr>
        <w:t>10</w:t>
      </w:r>
      <w:r>
        <w:t xml:space="preserve"> </w:t>
      </w:r>
      <w:r>
        <w:rPr>
          <w:rFonts w:hint="eastAsia"/>
        </w:rPr>
        <w:t>月</w:t>
      </w:r>
      <w:r>
        <w:rPr>
          <w:rFonts w:hint="eastAsia"/>
          <w:lang w:val="en-US" w:eastAsia="zh-CN"/>
        </w:rPr>
        <w:t>20</w:t>
      </w:r>
      <w:r>
        <w:t xml:space="preserve"> </w:t>
      </w:r>
      <w:r>
        <w:rPr>
          <w:rFonts w:hint="eastAsia"/>
        </w:rPr>
        <w:t>日</w:t>
      </w:r>
      <w:r>
        <w:fldChar w:fldCharType="begin"/>
      </w:r>
      <w:r>
        <w:instrText xml:space="preserve">TOC \o "1-2" \h \u </w:instrText>
      </w:r>
      <w:r>
        <w:fldChar w:fldCharType="separate"/>
      </w:r>
    </w:p>
    <w:p>
      <w:pPr>
        <w:pStyle w:val="13"/>
        <w:tabs>
          <w:tab w:val="right" w:leader="dot" w:pos="8306"/>
          <w:tab w:val="clear" w:pos="8296"/>
        </w:tabs>
      </w:pPr>
      <w:r>
        <w:fldChar w:fldCharType="begin"/>
      </w:r>
      <w:r>
        <w:instrText xml:space="preserve"> HYPERLINK \l _Toc26125 </w:instrText>
      </w:r>
      <w:r>
        <w:fldChar w:fldCharType="separate"/>
      </w:r>
      <w:r>
        <w:rPr>
          <w:rFonts w:hint="eastAsia" w:ascii="黑体" w:hAnsi="黑体" w:eastAsia="黑体"/>
        </w:rPr>
        <w:t xml:space="preserve">第一部分 </w:t>
      </w:r>
      <w:r>
        <w:rPr>
          <w:rFonts w:hint="eastAsia" w:ascii="黑体" w:hAnsi="黑体" w:eastAsia="黑体"/>
          <w:bCs w:val="0"/>
        </w:rPr>
        <w:t>部门概况</w:t>
      </w:r>
      <w:r>
        <w:tab/>
      </w:r>
      <w:r>
        <w:fldChar w:fldCharType="begin"/>
      </w:r>
      <w:r>
        <w:instrText xml:space="preserve"> PAGEREF _Toc26125 \h </w:instrText>
      </w:r>
      <w:r>
        <w:fldChar w:fldCharType="separate"/>
      </w:r>
      <w:r>
        <w:t>1</w:t>
      </w:r>
      <w:r>
        <w:fldChar w:fldCharType="end"/>
      </w:r>
      <w:r>
        <w:fldChar w:fldCharType="end"/>
      </w:r>
    </w:p>
    <w:p>
      <w:pPr>
        <w:pStyle w:val="14"/>
        <w:tabs>
          <w:tab w:val="right" w:leader="dot" w:pos="8306"/>
          <w:tab w:val="clear" w:pos="8296"/>
        </w:tabs>
      </w:pPr>
      <w:r>
        <w:fldChar w:fldCharType="begin"/>
      </w:r>
      <w:r>
        <w:instrText xml:space="preserve"> HYPERLINK \l _Toc28922 </w:instrText>
      </w:r>
      <w:r>
        <w:fldChar w:fldCharType="separate"/>
      </w:r>
      <w:r>
        <w:rPr>
          <w:rFonts w:hint="eastAsia" w:ascii="黑体" w:hAnsi="黑体" w:eastAsia="黑体"/>
        </w:rPr>
        <w:t>一、部门职责</w:t>
      </w:r>
      <w:r>
        <w:tab/>
      </w:r>
      <w:r>
        <w:fldChar w:fldCharType="begin"/>
      </w:r>
      <w:r>
        <w:instrText xml:space="preserve"> PAGEREF _Toc28922 \h </w:instrText>
      </w:r>
      <w:r>
        <w:fldChar w:fldCharType="separate"/>
      </w:r>
      <w:r>
        <w:t>1</w:t>
      </w:r>
      <w:r>
        <w:fldChar w:fldCharType="end"/>
      </w:r>
      <w:r>
        <w:fldChar w:fldCharType="end"/>
      </w:r>
    </w:p>
    <w:p>
      <w:pPr>
        <w:pStyle w:val="14"/>
        <w:tabs>
          <w:tab w:val="right" w:leader="dot" w:pos="8306"/>
          <w:tab w:val="clear" w:pos="8296"/>
        </w:tabs>
      </w:pPr>
      <w:r>
        <w:fldChar w:fldCharType="begin"/>
      </w:r>
      <w:r>
        <w:instrText xml:space="preserve"> HYPERLINK \l _Toc1769 </w:instrText>
      </w:r>
      <w:r>
        <w:fldChar w:fldCharType="separate"/>
      </w:r>
      <w:r>
        <w:rPr>
          <w:rFonts w:hint="eastAsia" w:ascii="黑体" w:eastAsia="黑体"/>
        </w:rPr>
        <w:t>二、</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_Toc1769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_Toc14950 </w:instrText>
      </w:r>
      <w:r>
        <w:fldChar w:fldCharType="separate"/>
      </w:r>
      <w:r>
        <w:rPr>
          <w:rFonts w:hint="eastAsia" w:ascii="黑体" w:hAnsi="黑体" w:eastAsia="黑体"/>
        </w:rPr>
        <w:t>第二部分 2022年度</w:t>
      </w:r>
      <w:r>
        <w:rPr>
          <w:rFonts w:hint="eastAsia" w:ascii="黑体" w:hAnsi="黑体" w:eastAsia="黑体"/>
          <w:bCs/>
        </w:rPr>
        <w:t>部门决算情况说明</w:t>
      </w:r>
      <w:r>
        <w:tab/>
      </w:r>
      <w:r>
        <w:fldChar w:fldCharType="begin"/>
      </w:r>
      <w:r>
        <w:instrText xml:space="preserve"> PAGEREF _Toc14950 \h </w:instrText>
      </w:r>
      <w:r>
        <w:fldChar w:fldCharType="separate"/>
      </w:r>
      <w:r>
        <w:t>2</w:t>
      </w:r>
      <w:r>
        <w:fldChar w:fldCharType="end"/>
      </w:r>
      <w:r>
        <w:fldChar w:fldCharType="end"/>
      </w:r>
    </w:p>
    <w:p>
      <w:pPr>
        <w:pStyle w:val="14"/>
        <w:tabs>
          <w:tab w:val="right" w:leader="dot" w:pos="8306"/>
          <w:tab w:val="clear" w:pos="8296"/>
        </w:tabs>
      </w:pPr>
      <w:r>
        <w:fldChar w:fldCharType="begin"/>
      </w:r>
      <w:r>
        <w:instrText xml:space="preserve"> HYPERLINK \l _Toc13250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_Toc13250 \h </w:instrText>
      </w:r>
      <w:r>
        <w:fldChar w:fldCharType="separate"/>
      </w:r>
      <w:r>
        <w:t>2</w:t>
      </w:r>
      <w:r>
        <w:fldChar w:fldCharType="end"/>
      </w:r>
      <w:r>
        <w:fldChar w:fldCharType="end"/>
      </w:r>
    </w:p>
    <w:p>
      <w:pPr>
        <w:pStyle w:val="14"/>
        <w:tabs>
          <w:tab w:val="right" w:leader="dot" w:pos="8306"/>
          <w:tab w:val="clear" w:pos="8296"/>
        </w:tabs>
      </w:pPr>
      <w:r>
        <w:fldChar w:fldCharType="begin"/>
      </w:r>
      <w:r>
        <w:instrText xml:space="preserve"> HYPERLINK \l _Toc28961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_Toc28961 \h </w:instrText>
      </w:r>
      <w:r>
        <w:fldChar w:fldCharType="separate"/>
      </w:r>
      <w:r>
        <w:t>3</w:t>
      </w:r>
      <w:r>
        <w:fldChar w:fldCharType="end"/>
      </w:r>
      <w:r>
        <w:fldChar w:fldCharType="end"/>
      </w:r>
    </w:p>
    <w:p>
      <w:pPr>
        <w:pStyle w:val="14"/>
        <w:tabs>
          <w:tab w:val="right" w:leader="dot" w:pos="8306"/>
          <w:tab w:val="clear" w:pos="8296"/>
        </w:tabs>
      </w:pPr>
      <w:r>
        <w:fldChar w:fldCharType="begin"/>
      </w:r>
      <w:r>
        <w:instrText xml:space="preserve"> HYPERLINK \l _Toc1427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_Toc1427 \h </w:instrText>
      </w:r>
      <w:r>
        <w:fldChar w:fldCharType="separate"/>
      </w:r>
      <w:r>
        <w:t>3</w:t>
      </w:r>
      <w:r>
        <w:fldChar w:fldCharType="end"/>
      </w:r>
      <w:r>
        <w:fldChar w:fldCharType="end"/>
      </w:r>
    </w:p>
    <w:p>
      <w:pPr>
        <w:pStyle w:val="14"/>
        <w:tabs>
          <w:tab w:val="right" w:leader="dot" w:pos="8306"/>
          <w:tab w:val="clear" w:pos="8296"/>
        </w:tabs>
      </w:pPr>
      <w:r>
        <w:fldChar w:fldCharType="begin"/>
      </w:r>
      <w:r>
        <w:instrText xml:space="preserve"> HYPERLINK \l _Toc20198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_Toc20198 \h </w:instrText>
      </w:r>
      <w:r>
        <w:fldChar w:fldCharType="separate"/>
      </w:r>
      <w:r>
        <w:t>4</w:t>
      </w:r>
      <w:r>
        <w:fldChar w:fldCharType="end"/>
      </w:r>
      <w:r>
        <w:fldChar w:fldCharType="end"/>
      </w:r>
    </w:p>
    <w:p>
      <w:pPr>
        <w:pStyle w:val="14"/>
        <w:tabs>
          <w:tab w:val="right" w:leader="dot" w:pos="8306"/>
          <w:tab w:val="clear" w:pos="8296"/>
        </w:tabs>
      </w:pPr>
      <w:r>
        <w:fldChar w:fldCharType="begin"/>
      </w:r>
      <w:r>
        <w:instrText xml:space="preserve"> HYPERLINK \l _Toc27044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_Toc27044 \h </w:instrText>
      </w:r>
      <w:r>
        <w:fldChar w:fldCharType="separate"/>
      </w:r>
      <w:r>
        <w:t>4</w:t>
      </w:r>
      <w:r>
        <w:fldChar w:fldCharType="end"/>
      </w:r>
      <w:r>
        <w:fldChar w:fldCharType="end"/>
      </w:r>
    </w:p>
    <w:p>
      <w:pPr>
        <w:pStyle w:val="14"/>
        <w:tabs>
          <w:tab w:val="right" w:leader="dot" w:pos="8306"/>
          <w:tab w:val="clear" w:pos="8296"/>
        </w:tabs>
      </w:pPr>
      <w:r>
        <w:fldChar w:fldCharType="begin"/>
      </w:r>
      <w:r>
        <w:instrText xml:space="preserve"> HYPERLINK \l _Toc32060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_Toc32060 \h </w:instrText>
      </w:r>
      <w:r>
        <w:fldChar w:fldCharType="separate"/>
      </w:r>
      <w:r>
        <w:t>6</w:t>
      </w:r>
      <w:r>
        <w:fldChar w:fldCharType="end"/>
      </w:r>
      <w:r>
        <w:fldChar w:fldCharType="end"/>
      </w:r>
    </w:p>
    <w:p>
      <w:pPr>
        <w:pStyle w:val="14"/>
        <w:tabs>
          <w:tab w:val="right" w:leader="dot" w:pos="8306"/>
          <w:tab w:val="clear" w:pos="8296"/>
        </w:tabs>
      </w:pPr>
      <w:r>
        <w:fldChar w:fldCharType="begin"/>
      </w:r>
      <w:r>
        <w:instrText xml:space="preserve"> HYPERLINK \l _Toc2225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_Toc2225 \h </w:instrText>
      </w:r>
      <w:r>
        <w:fldChar w:fldCharType="separate"/>
      </w:r>
      <w:r>
        <w:t>7</w:t>
      </w:r>
      <w:r>
        <w:fldChar w:fldCharType="end"/>
      </w:r>
      <w:r>
        <w:fldChar w:fldCharType="end"/>
      </w:r>
    </w:p>
    <w:p>
      <w:pPr>
        <w:pStyle w:val="14"/>
        <w:tabs>
          <w:tab w:val="right" w:leader="dot" w:pos="8306"/>
          <w:tab w:val="clear" w:pos="8296"/>
        </w:tabs>
      </w:pPr>
      <w:r>
        <w:fldChar w:fldCharType="begin"/>
      </w:r>
      <w:r>
        <w:instrText xml:space="preserve"> HYPERLINK \l _Toc32390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_Toc32390 \h </w:instrText>
      </w:r>
      <w:r>
        <w:fldChar w:fldCharType="separate"/>
      </w:r>
      <w:r>
        <w:t>8</w:t>
      </w:r>
      <w:r>
        <w:fldChar w:fldCharType="end"/>
      </w:r>
      <w:r>
        <w:fldChar w:fldCharType="end"/>
      </w:r>
    </w:p>
    <w:p>
      <w:pPr>
        <w:pStyle w:val="14"/>
        <w:tabs>
          <w:tab w:val="right" w:leader="dot" w:pos="8306"/>
          <w:tab w:val="clear" w:pos="8296"/>
        </w:tabs>
      </w:pPr>
      <w:r>
        <w:fldChar w:fldCharType="begin"/>
      </w:r>
      <w:r>
        <w:instrText xml:space="preserve"> HYPERLINK \l _Toc21397 </w:instrText>
      </w:r>
      <w:r>
        <w:fldChar w:fldCharType="separate"/>
      </w:r>
      <w:r>
        <w:rPr>
          <w:rFonts w:hint="eastAsia" w:ascii="黑体" w:hAnsi="黑体" w:eastAsia="黑体"/>
        </w:rPr>
        <w:t>九、 国有资本经营预算支出决算情况说明</w:t>
      </w:r>
      <w:r>
        <w:tab/>
      </w:r>
      <w:r>
        <w:fldChar w:fldCharType="begin"/>
      </w:r>
      <w:r>
        <w:instrText xml:space="preserve"> PAGEREF _Toc21397 \h </w:instrText>
      </w:r>
      <w:r>
        <w:fldChar w:fldCharType="separate"/>
      </w:r>
      <w:r>
        <w:t>8</w:t>
      </w:r>
      <w:r>
        <w:fldChar w:fldCharType="end"/>
      </w:r>
      <w:r>
        <w:fldChar w:fldCharType="end"/>
      </w:r>
    </w:p>
    <w:p>
      <w:pPr>
        <w:pStyle w:val="14"/>
        <w:tabs>
          <w:tab w:val="right" w:leader="dot" w:pos="8306"/>
          <w:tab w:val="clear" w:pos="8296"/>
        </w:tabs>
      </w:pPr>
      <w:r>
        <w:fldChar w:fldCharType="begin"/>
      </w:r>
      <w:r>
        <w:instrText xml:space="preserve"> HYPERLINK \l _Toc29488 </w:instrText>
      </w:r>
      <w:r>
        <w:fldChar w:fldCharType="separate"/>
      </w:r>
      <w:r>
        <w:rPr>
          <w:rFonts w:hint="eastAsia" w:ascii="黑体" w:hAnsi="黑体" w:eastAsia="黑体"/>
        </w:rPr>
        <w:t>十、 其他重要事项的情况说明</w:t>
      </w:r>
      <w:r>
        <w:tab/>
      </w:r>
      <w:r>
        <w:fldChar w:fldCharType="begin"/>
      </w:r>
      <w:r>
        <w:instrText xml:space="preserve"> PAGEREF _Toc29488 \h </w:instrText>
      </w:r>
      <w:r>
        <w:fldChar w:fldCharType="separate"/>
      </w:r>
      <w:r>
        <w:t>8</w:t>
      </w:r>
      <w:r>
        <w:fldChar w:fldCharType="end"/>
      </w:r>
      <w:r>
        <w:fldChar w:fldCharType="end"/>
      </w:r>
    </w:p>
    <w:p>
      <w:pPr>
        <w:pStyle w:val="13"/>
        <w:tabs>
          <w:tab w:val="right" w:leader="dot" w:pos="8306"/>
          <w:tab w:val="clear" w:pos="8296"/>
        </w:tabs>
      </w:pPr>
      <w:r>
        <w:fldChar w:fldCharType="begin"/>
      </w:r>
      <w:r>
        <w:instrText xml:space="preserve"> HYPERLINK \l _Toc12474 </w:instrText>
      </w:r>
      <w:r>
        <w:fldChar w:fldCharType="separate"/>
      </w:r>
      <w:r>
        <w:rPr>
          <w:rFonts w:hint="eastAsia" w:ascii="黑体" w:hAnsi="黑体" w:eastAsia="黑体"/>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_Toc12474 \h </w:instrText>
      </w:r>
      <w:r>
        <w:fldChar w:fldCharType="separate"/>
      </w:r>
      <w:r>
        <w:t>10</w:t>
      </w:r>
      <w:r>
        <w:fldChar w:fldCharType="end"/>
      </w:r>
      <w:r>
        <w:fldChar w:fldCharType="end"/>
      </w:r>
    </w:p>
    <w:p>
      <w:pPr>
        <w:pStyle w:val="13"/>
        <w:tabs>
          <w:tab w:val="right" w:leader="dot" w:pos="8306"/>
          <w:tab w:val="clear" w:pos="8296"/>
        </w:tabs>
      </w:pPr>
      <w:r>
        <w:fldChar w:fldCharType="begin"/>
      </w:r>
      <w:r>
        <w:instrText xml:space="preserve"> HYPERLINK \l _Toc30966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_Toc30966 \h </w:instrText>
      </w:r>
      <w:r>
        <w:fldChar w:fldCharType="separate"/>
      </w:r>
      <w:r>
        <w:t>13</w:t>
      </w:r>
      <w:r>
        <w:fldChar w:fldCharType="end"/>
      </w:r>
      <w:r>
        <w:fldChar w:fldCharType="end"/>
      </w:r>
    </w:p>
    <w:p>
      <w:pPr>
        <w:pStyle w:val="13"/>
        <w:tabs>
          <w:tab w:val="right" w:leader="dot" w:pos="8306"/>
          <w:tab w:val="clear" w:pos="8296"/>
        </w:tabs>
      </w:pPr>
      <w:r>
        <w:fldChar w:fldCharType="begin"/>
      </w:r>
      <w:r>
        <w:instrText xml:space="preserve"> HYPERLINK \l _Toc23525 </w:instrText>
      </w:r>
      <w:r>
        <w:fldChar w:fldCharType="separate"/>
      </w:r>
      <w:r>
        <w:rPr>
          <w:rFonts w:hint="eastAsia" w:ascii="黑体" w:hAnsi="黑体" w:eastAsia="黑体" w:cs="黑体"/>
          <w:szCs w:val="32"/>
        </w:rPr>
        <w:t>附件</w:t>
      </w:r>
      <w:r>
        <w:tab/>
      </w:r>
      <w:r>
        <w:fldChar w:fldCharType="begin"/>
      </w:r>
      <w:r>
        <w:instrText xml:space="preserve"> PAGEREF _Toc23525 \h </w:instrText>
      </w:r>
      <w:r>
        <w:fldChar w:fldCharType="separate"/>
      </w:r>
      <w:r>
        <w:t>13</w:t>
      </w:r>
      <w:r>
        <w:fldChar w:fldCharType="end"/>
      </w:r>
      <w:r>
        <w:fldChar w:fldCharType="end"/>
      </w:r>
    </w:p>
    <w:p>
      <w:pPr>
        <w:pStyle w:val="13"/>
        <w:tabs>
          <w:tab w:val="right" w:leader="dot" w:pos="8306"/>
          <w:tab w:val="clear" w:pos="8296"/>
        </w:tabs>
      </w:pPr>
      <w:r>
        <w:fldChar w:fldCharType="begin"/>
      </w:r>
      <w:r>
        <w:instrText xml:space="preserve"> HYPERLINK \l _Toc1441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_Toc1441 \h </w:instrText>
      </w:r>
      <w:r>
        <w:fldChar w:fldCharType="separate"/>
      </w:r>
      <w:r>
        <w:t>22</w:t>
      </w:r>
      <w:r>
        <w:fldChar w:fldCharType="end"/>
      </w:r>
      <w:r>
        <w:fldChar w:fldCharType="end"/>
      </w:r>
    </w:p>
    <w:p>
      <w:pPr>
        <w:pStyle w:val="14"/>
        <w:tabs>
          <w:tab w:val="right" w:leader="dot" w:pos="8306"/>
          <w:tab w:val="clear" w:pos="8296"/>
        </w:tabs>
      </w:pPr>
      <w:r>
        <w:fldChar w:fldCharType="begin"/>
      </w:r>
      <w:r>
        <w:instrText xml:space="preserve"> HYPERLINK \l _Toc16517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_Toc16517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_Toc6274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_Toc6274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_Toc9150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_Toc9150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_Toc224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_Toc224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_Toc937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_Toc937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_Toc10420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_Toc10420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_Toc32146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_Toc32146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_Toc3688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_Toc3688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_Toc23367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_Toc23367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_Toc11639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_Toc11639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_Toc10159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_Toc10159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_Toc21790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_Toc21790 \h </w:instrText>
      </w:r>
      <w:r>
        <w:fldChar w:fldCharType="separate"/>
      </w:r>
      <w:r>
        <w:t>23</w:t>
      </w:r>
      <w:r>
        <w:fldChar w:fldCharType="end"/>
      </w:r>
      <w:r>
        <w:fldChar w:fldCharType="end"/>
      </w:r>
    </w:p>
    <w:p>
      <w:pPr>
        <w:pStyle w:val="14"/>
        <w:tabs>
          <w:tab w:val="right" w:leader="dot" w:pos="8306"/>
          <w:tab w:val="clear" w:pos="8296"/>
        </w:tabs>
      </w:pPr>
      <w:r>
        <w:fldChar w:fldCharType="begin"/>
      </w:r>
      <w:r>
        <w:instrText xml:space="preserve"> HYPERLINK \l _Toc27967 </w:instrText>
      </w:r>
      <w:r>
        <w:fldChar w:fldCharType="separate"/>
      </w:r>
      <w:r>
        <w:rPr>
          <w:rFonts w:hint="eastAsia" w:ascii="仿宋" w:hAnsi="仿宋" w:eastAsia="仿宋"/>
          <w:bCs w:val="0"/>
        </w:rPr>
        <w:t>十三、财政拨款“三公”经费支出决算表</w:t>
      </w:r>
      <w:r>
        <w:tab/>
      </w:r>
      <w:r>
        <w:fldChar w:fldCharType="begin"/>
      </w:r>
      <w:r>
        <w:instrText xml:space="preserve"> PAGEREF _Toc27967 \h </w:instrText>
      </w:r>
      <w:r>
        <w:fldChar w:fldCharType="separate"/>
      </w:r>
      <w:r>
        <w:t>23</w:t>
      </w:r>
      <w:r>
        <w:fldChar w:fldCharType="end"/>
      </w:r>
      <w:r>
        <w:fldChar w:fldCharType="end"/>
      </w:r>
    </w:p>
    <w:p>
      <w:r>
        <w:fldChar w:fldCharType="end"/>
      </w:r>
    </w:p>
    <w:p>
      <w:pPr>
        <w:pStyle w:val="3"/>
        <w:jc w:val="center"/>
        <w:rPr>
          <w:rFonts w:hint="eastAsia" w:ascii="黑体" w:hAnsi="黑体" w:eastAsia="黑体"/>
          <w:b w:val="0"/>
        </w:rPr>
        <w:sectPr>
          <w:footerReference r:id="rId5" w:type="default"/>
          <w:pgSz w:w="11906" w:h="16838"/>
          <w:pgMar w:top="1440" w:right="1800" w:bottom="1440" w:left="1800" w:header="851" w:footer="992" w:gutter="0"/>
          <w:pgNumType w:start="1"/>
          <w:cols w:space="425" w:num="1"/>
          <w:docGrid w:type="lines" w:linePitch="312" w:charSpace="0"/>
        </w:sectPr>
      </w:pPr>
    </w:p>
    <w:p>
      <w:pPr>
        <w:pStyle w:val="3"/>
        <w:jc w:val="center"/>
        <w:rPr>
          <w:rStyle w:val="31"/>
          <w:rFonts w:ascii="黑体" w:hAnsi="黑体" w:eastAsia="黑体"/>
          <w:b/>
          <w:bCs w:val="0"/>
        </w:rPr>
      </w:pPr>
      <w:bookmarkStart w:id="14" w:name="_Toc26125"/>
      <w:r>
        <w:rPr>
          <w:rFonts w:hint="eastAsia" w:ascii="黑体" w:hAnsi="黑体" w:eastAsia="黑体"/>
          <w:b w:val="0"/>
        </w:rPr>
        <w:t xml:space="preserve">第一部分 </w:t>
      </w:r>
      <w:r>
        <w:rPr>
          <w:rStyle w:val="31"/>
          <w:rFonts w:hint="eastAsia" w:ascii="黑体" w:hAnsi="黑体" w:eastAsia="黑体"/>
          <w:b w:val="0"/>
          <w:bCs w:val="0"/>
        </w:rPr>
        <w:t>部门概况</w:t>
      </w:r>
      <w:bookmarkEnd w:id="14"/>
    </w:p>
    <w:p>
      <w:pPr>
        <w:widowControl/>
        <w:jc w:val="left"/>
        <w:rPr>
          <w:rFonts w:ascii="黑体" w:eastAsia="黑体"/>
          <w:sz w:val="32"/>
          <w:szCs w:val="32"/>
        </w:rPr>
      </w:pPr>
    </w:p>
    <w:p>
      <w:pPr>
        <w:pStyle w:val="4"/>
        <w:rPr>
          <w:rFonts w:ascii="Times New Roman" w:eastAsia="仿宋"/>
          <w:bCs w:val="0"/>
          <w:i/>
          <w:highlight w:val="yellow"/>
        </w:rPr>
      </w:pPr>
      <w:bookmarkStart w:id="15" w:name="_Toc28922"/>
      <w:r>
        <w:rPr>
          <w:rFonts w:hint="eastAsia" w:ascii="黑体" w:hAnsi="黑体" w:eastAsia="黑体"/>
          <w:b w:val="0"/>
        </w:rPr>
        <w:t>一、部门职责</w:t>
      </w:r>
      <w:bookmarkEnd w:id="15"/>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zh-CN" w:eastAsia="zh-CN"/>
        </w:rPr>
      </w:pPr>
      <w:r>
        <w:rPr>
          <w:rFonts w:hint="default" w:ascii="仿宋_GB2312" w:hAnsi="宋体" w:eastAsia="仿宋_GB2312" w:cs="宋体"/>
          <w:color w:val="000000"/>
          <w:kern w:val="0"/>
          <w:sz w:val="32"/>
          <w:szCs w:val="32"/>
          <w:shd w:val="clear" w:color="auto" w:fill="FFFFFF"/>
          <w:lang w:val="zh-CN"/>
        </w:rPr>
        <w:t>1.依照法律规定对有关刑事案件行使侦查权</w:t>
      </w:r>
      <w:r>
        <w:rPr>
          <w:rFonts w:hint="eastAsia" w:ascii="仿宋_GB2312" w:hAnsi="宋体" w:eastAsia="仿宋_GB2312" w:cs="宋体"/>
          <w:color w:val="000000"/>
          <w:kern w:val="0"/>
          <w:sz w:val="32"/>
          <w:szCs w:val="32"/>
          <w:shd w:val="clear" w:color="auto" w:fill="FFFFFF"/>
          <w:lang w:val="zh-CN"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hint="default" w:ascii="仿宋_GB2312" w:hAnsi="宋体" w:eastAsia="仿宋_GB2312" w:cs="宋体"/>
          <w:color w:val="000000"/>
          <w:kern w:val="0"/>
          <w:sz w:val="32"/>
          <w:szCs w:val="32"/>
          <w:shd w:val="clear" w:color="auto" w:fill="FFFFFF"/>
          <w:lang w:val="zh-CN"/>
        </w:rPr>
        <w:t>2.对刑事案件进行审查，批准或者决定是否逮捕犯罪嫌疑人；</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hint="default" w:ascii="仿宋_GB2312" w:hAnsi="宋体" w:eastAsia="仿宋_GB2312" w:cs="宋体"/>
          <w:color w:val="000000"/>
          <w:kern w:val="0"/>
          <w:sz w:val="32"/>
          <w:szCs w:val="32"/>
          <w:shd w:val="clear" w:color="auto" w:fill="FFFFFF"/>
          <w:lang w:val="zh-CN"/>
        </w:rPr>
        <w:t>3.对刑事案件进行审查，决定是否提起公诉，对决定提起公诉的案件支持公诉；</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zh-CN" w:eastAsia="zh-CN"/>
        </w:rPr>
      </w:pPr>
      <w:r>
        <w:rPr>
          <w:rFonts w:hint="default" w:ascii="仿宋_GB2312" w:hAnsi="宋体" w:eastAsia="仿宋_GB2312" w:cs="宋体"/>
          <w:color w:val="000000"/>
          <w:kern w:val="0"/>
          <w:sz w:val="32"/>
          <w:szCs w:val="32"/>
          <w:shd w:val="clear" w:color="auto" w:fill="FFFFFF"/>
          <w:lang w:val="zh-CN"/>
        </w:rPr>
        <w:t>4.对生效民事、行政判决、裁定、调解书的监督</w:t>
      </w:r>
      <w:r>
        <w:rPr>
          <w:rFonts w:hint="eastAsia" w:ascii="仿宋_GB2312" w:hAnsi="宋体" w:eastAsia="仿宋_GB2312" w:cs="宋体"/>
          <w:color w:val="000000"/>
          <w:kern w:val="0"/>
          <w:sz w:val="32"/>
          <w:szCs w:val="32"/>
          <w:shd w:val="clear" w:color="auto" w:fill="FFFFFF"/>
          <w:lang w:val="zh-CN"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zh-CN" w:eastAsia="zh-CN"/>
        </w:rPr>
      </w:pPr>
      <w:r>
        <w:rPr>
          <w:rFonts w:hint="default" w:ascii="仿宋_GB2312" w:hAnsi="宋体" w:eastAsia="仿宋_GB2312" w:cs="宋体"/>
          <w:color w:val="000000"/>
          <w:kern w:val="0"/>
          <w:sz w:val="32"/>
          <w:szCs w:val="32"/>
          <w:shd w:val="clear" w:color="auto" w:fill="FFFFFF"/>
          <w:lang w:val="zh-CN"/>
        </w:rPr>
        <w:t>5.对审判程序中审判人员违法行为的监督</w:t>
      </w:r>
      <w:r>
        <w:rPr>
          <w:rFonts w:hint="eastAsia" w:ascii="仿宋_GB2312" w:hAnsi="宋体" w:eastAsia="仿宋_GB2312" w:cs="宋体"/>
          <w:color w:val="000000"/>
          <w:kern w:val="0"/>
          <w:sz w:val="32"/>
          <w:szCs w:val="32"/>
          <w:shd w:val="clear" w:color="auto" w:fill="FFFFFF"/>
          <w:lang w:val="zh-CN"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hint="default" w:ascii="仿宋_GB2312" w:hAnsi="宋体" w:eastAsia="仿宋_GB2312" w:cs="宋体"/>
          <w:color w:val="000000"/>
          <w:kern w:val="0"/>
          <w:sz w:val="32"/>
          <w:szCs w:val="32"/>
          <w:shd w:val="clear" w:color="auto" w:fill="FFFFFF"/>
          <w:lang w:val="zh-CN"/>
        </w:rPr>
        <w:t>6.依照法律规定提起公益诉讼；</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hint="default" w:ascii="仿宋_GB2312" w:hAnsi="宋体" w:eastAsia="仿宋_GB2312" w:cs="宋体"/>
          <w:color w:val="000000"/>
          <w:kern w:val="0"/>
          <w:sz w:val="32"/>
          <w:szCs w:val="32"/>
          <w:shd w:val="clear" w:color="auto" w:fill="FFFFFF"/>
          <w:lang w:val="zh-CN"/>
        </w:rPr>
        <w:t>7.对诉讼活动实行法律监督；</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hint="default" w:ascii="仿宋_GB2312" w:hAnsi="宋体" w:eastAsia="仿宋_GB2312" w:cs="宋体"/>
          <w:color w:val="000000"/>
          <w:kern w:val="0"/>
          <w:sz w:val="32"/>
          <w:szCs w:val="32"/>
          <w:shd w:val="clear" w:color="auto" w:fill="FFFFFF"/>
          <w:lang w:val="zh-CN"/>
        </w:rPr>
        <w:t>8.对判决、裁定等生效法律文书的执行工作实行法律监督；</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hint="default" w:ascii="仿宋_GB2312" w:hAnsi="宋体" w:eastAsia="仿宋_GB2312" w:cs="宋体"/>
          <w:color w:val="000000"/>
          <w:kern w:val="0"/>
          <w:sz w:val="32"/>
          <w:szCs w:val="32"/>
          <w:shd w:val="clear" w:color="auto" w:fill="FFFFFF"/>
          <w:lang w:val="zh-CN"/>
        </w:rPr>
        <w:t>9.对看守所的执法活动实行法律监督；</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eastAsia="zh-CN"/>
        </w:rPr>
      </w:pPr>
      <w:r>
        <w:rPr>
          <w:rFonts w:hint="default" w:ascii="仿宋_GB2312" w:hAnsi="宋体" w:eastAsia="仿宋_GB2312" w:cs="宋体"/>
          <w:color w:val="000000"/>
          <w:kern w:val="0"/>
          <w:sz w:val="32"/>
          <w:szCs w:val="32"/>
          <w:shd w:val="clear" w:color="auto" w:fill="FFFFFF"/>
          <w:lang w:val="zh-CN"/>
        </w:rPr>
        <w:t>10.对未成年人犯罪和侵害未成年人犯罪案件的审查逮捕、审查起诉，出庭支持公诉、抗诉，开展相关立案监督、侦察监督、审</w:t>
      </w:r>
      <w:r>
        <w:rPr>
          <w:rFonts w:hint="eastAsia" w:ascii="仿宋_GB2312" w:hAnsi="宋体" w:eastAsia="仿宋_GB2312" w:cs="宋体"/>
          <w:color w:val="000000"/>
          <w:kern w:val="0"/>
          <w:sz w:val="32"/>
          <w:szCs w:val="32"/>
          <w:shd w:val="clear" w:color="auto" w:fill="FFFFFF"/>
          <w:lang w:val="zh-CN" w:eastAsia="zh-CN"/>
        </w:rPr>
        <w:t>判</w:t>
      </w:r>
      <w:r>
        <w:rPr>
          <w:rFonts w:hint="default" w:ascii="仿宋_GB2312" w:hAnsi="宋体" w:eastAsia="仿宋_GB2312" w:cs="宋体"/>
          <w:color w:val="000000"/>
          <w:kern w:val="0"/>
          <w:sz w:val="32"/>
          <w:szCs w:val="32"/>
          <w:shd w:val="clear" w:color="auto" w:fill="FFFFFF"/>
          <w:lang w:val="zh-CN"/>
        </w:rPr>
        <w:t>监督以及相关案件的补充侦查</w:t>
      </w:r>
      <w:r>
        <w:rPr>
          <w:rFonts w:hint="default" w:ascii="仿宋_GB2312" w:hAnsi="宋体" w:eastAsia="仿宋_GB2312" w:cs="宋体"/>
          <w:color w:val="000000"/>
          <w:kern w:val="0"/>
          <w:sz w:val="32"/>
          <w:szCs w:val="32"/>
          <w:shd w:val="clear" w:color="auto" w:fill="FFFFFF"/>
          <w:lang w:val="zh-CN"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pPr>
      <w:r>
        <w:rPr>
          <w:rFonts w:hint="default" w:ascii="仿宋_GB2312" w:hAnsi="宋体" w:eastAsia="仿宋_GB2312" w:cs="宋体"/>
          <w:color w:val="000000"/>
          <w:kern w:val="0"/>
          <w:sz w:val="32"/>
          <w:szCs w:val="32"/>
          <w:shd w:val="clear" w:color="auto" w:fill="FFFFFF"/>
          <w:lang w:val="zh-CN"/>
        </w:rPr>
        <w:t>11.法律规定的其他职权</w:t>
      </w:r>
      <w:r>
        <w:rPr>
          <w:rFonts w:hint="default" w:ascii="仿宋_GB2312" w:hAnsi="宋体" w:eastAsia="仿宋_GB2312" w:cs="宋体"/>
          <w:color w:val="000000"/>
          <w:kern w:val="0"/>
          <w:sz w:val="32"/>
          <w:szCs w:val="32"/>
          <w:shd w:val="clear" w:color="auto" w:fill="FFFFFF"/>
          <w:lang w:val="zh-CN" w:eastAsia="zh-CN"/>
        </w:rPr>
        <w:t>。</w:t>
      </w:r>
    </w:p>
    <w:p>
      <w:pPr>
        <w:pStyle w:val="4"/>
        <w:rPr>
          <w:rStyle w:val="20"/>
          <w:b w:val="0"/>
          <w:bCs w:val="0"/>
        </w:rPr>
      </w:pPr>
      <w:bookmarkStart w:id="16" w:name="_Toc1769"/>
      <w:r>
        <w:rPr>
          <w:rFonts w:hint="eastAsia" w:ascii="黑体" w:eastAsia="黑体"/>
          <w:b w:val="0"/>
        </w:rPr>
        <w:t>二、</w:t>
      </w:r>
      <w:r>
        <w:rPr>
          <w:rFonts w:hint="eastAsia" w:ascii="黑体" w:hAnsi="黑体" w:eastAsia="黑体"/>
          <w:b w:val="0"/>
        </w:rPr>
        <w:t>机</w:t>
      </w:r>
      <w:r>
        <w:rPr>
          <w:rStyle w:val="20"/>
          <w:rFonts w:hint="eastAsia" w:ascii="黑体" w:hAnsi="黑体" w:eastAsia="黑体"/>
          <w:b w:val="0"/>
          <w:bCs w:val="0"/>
        </w:rPr>
        <w:t>构设置</w:t>
      </w:r>
      <w:bookmarkEnd w:id="16"/>
    </w:p>
    <w:p>
      <w:pPr>
        <w:ind w:firstLine="800" w:firstLineChars="250"/>
        <w:rPr>
          <w:rFonts w:hint="eastAsia" w:ascii="仿宋" w:hAnsi="仿宋" w:eastAsia="仿宋"/>
          <w:sz w:val="32"/>
          <w:szCs w:val="32"/>
        </w:rPr>
      </w:pPr>
      <w:r>
        <w:rPr>
          <w:rFonts w:hint="eastAsia" w:ascii="仿宋" w:hAnsi="仿宋" w:eastAsia="仿宋"/>
          <w:sz w:val="32"/>
          <w:szCs w:val="32"/>
          <w:lang w:eastAsia="zh-CN"/>
        </w:rPr>
        <w:t>乐至县人民检察院</w:t>
      </w:r>
      <w:r>
        <w:rPr>
          <w:rFonts w:hint="eastAsia" w:ascii="仿宋" w:hAnsi="仿宋" w:eastAsia="仿宋"/>
          <w:sz w:val="32"/>
          <w:szCs w:val="32"/>
        </w:rPr>
        <w:t>下属二级预算单位</w:t>
      </w:r>
      <w:r>
        <w:rPr>
          <w:rFonts w:hint="eastAsia" w:ascii="仿宋" w:hAnsi="仿宋" w:eastAsia="仿宋"/>
          <w:sz w:val="32"/>
          <w:szCs w:val="32"/>
          <w:lang w:val="en-US" w:eastAsia="zh-CN"/>
        </w:rPr>
        <w:t>1</w:t>
      </w:r>
      <w:r>
        <w:rPr>
          <w:rFonts w:hint="eastAsia" w:ascii="仿宋" w:hAnsi="仿宋" w:eastAsia="仿宋"/>
          <w:sz w:val="32"/>
          <w:szCs w:val="32"/>
        </w:rPr>
        <w:t>个，其中行政单位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p>
    <w:p>
      <w:pPr>
        <w:ind w:firstLine="800" w:firstLineChars="250"/>
        <w:rPr>
          <w:rFonts w:ascii="仿宋" w:hAnsi="仿宋" w:eastAsia="仿宋"/>
          <w:sz w:val="32"/>
          <w:szCs w:val="32"/>
        </w:rPr>
      </w:pPr>
      <w:r>
        <w:rPr>
          <w:rFonts w:hint="eastAsia" w:ascii="仿宋" w:hAnsi="仿宋" w:eastAsia="仿宋"/>
          <w:sz w:val="32"/>
          <w:szCs w:val="32"/>
        </w:rPr>
        <w:t>纳入</w:t>
      </w:r>
      <w:r>
        <w:rPr>
          <w:rFonts w:hint="eastAsia" w:ascii="仿宋" w:hAnsi="仿宋" w:eastAsia="仿宋"/>
          <w:sz w:val="32"/>
          <w:szCs w:val="32"/>
          <w:lang w:eastAsia="zh-CN"/>
        </w:rPr>
        <w:t>乐至县人民检察院</w:t>
      </w:r>
      <w:r>
        <w:rPr>
          <w:rFonts w:hint="eastAsia" w:ascii="仿宋" w:hAnsi="仿宋" w:eastAsia="仿宋"/>
          <w:sz w:val="32"/>
          <w:szCs w:val="32"/>
        </w:rPr>
        <w:t>2022年度部门决算编制范围的二级预算单位包括：</w:t>
      </w:r>
    </w:p>
    <w:p>
      <w:pPr>
        <w:ind w:firstLine="800" w:firstLineChars="250"/>
      </w:pPr>
      <w:r>
        <w:rPr>
          <w:rFonts w:hint="eastAsia" w:ascii="仿宋" w:hAnsi="仿宋" w:eastAsia="仿宋" w:cs="Times New Roman"/>
          <w:sz w:val="32"/>
          <w:szCs w:val="32"/>
          <w:lang w:eastAsia="zh-CN"/>
        </w:rPr>
        <w:t>乐至县人民检察院</w:t>
      </w:r>
    </w:p>
    <w:p>
      <w:pPr>
        <w:pStyle w:val="3"/>
        <w:ind w:right="440"/>
        <w:jc w:val="center"/>
        <w:rPr>
          <w:rStyle w:val="31"/>
          <w:rFonts w:ascii="黑体" w:hAnsi="黑体" w:eastAsia="黑体"/>
          <w:b w:val="0"/>
          <w:bCs/>
        </w:rPr>
      </w:pPr>
      <w:bookmarkStart w:id="17" w:name="_Toc14950"/>
      <w:r>
        <w:rPr>
          <w:rFonts w:hint="eastAsia" w:ascii="黑体" w:hAnsi="黑体" w:eastAsia="黑体"/>
          <w:b w:val="0"/>
        </w:rPr>
        <w:t>第二部分 2022年度</w:t>
      </w:r>
      <w:r>
        <w:rPr>
          <w:rStyle w:val="31"/>
          <w:rFonts w:hint="eastAsia" w:ascii="黑体" w:hAnsi="黑体" w:eastAsia="黑体"/>
          <w:b w:val="0"/>
          <w:bCs/>
        </w:rPr>
        <w:t>部门决算情况说明</w:t>
      </w:r>
      <w:bookmarkEnd w:id="17"/>
    </w:p>
    <w:p/>
    <w:p>
      <w:pPr>
        <w:pStyle w:val="30"/>
        <w:numPr>
          <w:ilvl w:val="0"/>
          <w:numId w:val="1"/>
        </w:numPr>
        <w:spacing w:line="600" w:lineRule="exact"/>
        <w:ind w:firstLineChars="0"/>
        <w:outlineLvl w:val="1"/>
        <w:rPr>
          <w:rStyle w:val="20"/>
          <w:rFonts w:ascii="黑体" w:hAnsi="黑体" w:eastAsia="黑体"/>
          <w:b w:val="0"/>
        </w:rPr>
      </w:pPr>
      <w:bookmarkStart w:id="18" w:name="_Toc13250"/>
      <w:r>
        <w:rPr>
          <w:rFonts w:hint="eastAsia" w:ascii="黑体" w:hAnsi="黑体" w:eastAsia="黑体"/>
          <w:sz w:val="32"/>
          <w:szCs w:val="32"/>
        </w:rPr>
        <w:t>收</w:t>
      </w:r>
      <w:r>
        <w:rPr>
          <w:rStyle w:val="20"/>
          <w:rFonts w:hint="eastAsia" w:ascii="黑体" w:hAnsi="黑体" w:eastAsia="黑体"/>
          <w:b w:val="0"/>
        </w:rPr>
        <w:t>入支出决算总体情况说明</w:t>
      </w:r>
      <w:bookmarkEnd w:id="18"/>
    </w:p>
    <w:p>
      <w:pPr>
        <w:spacing w:line="600" w:lineRule="exact"/>
        <w:ind w:firstLine="420" w:firstLineChars="200"/>
        <w:rPr>
          <w:rFonts w:ascii="仿宋" w:hAnsi="仿宋" w:eastAsia="仿宋"/>
          <w:sz w:val="32"/>
          <w:szCs w:val="32"/>
        </w:rPr>
      </w:pPr>
      <w:r>
        <w:drawing>
          <wp:anchor distT="0" distB="0" distL="114300" distR="114300" simplePos="0" relativeHeight="251659264" behindDoc="0" locked="0" layoutInCell="1" allowOverlap="1">
            <wp:simplePos x="0" y="0"/>
            <wp:positionH relativeFrom="column">
              <wp:posOffset>351155</wp:posOffset>
            </wp:positionH>
            <wp:positionV relativeFrom="paragraph">
              <wp:posOffset>2499995</wp:posOffset>
            </wp:positionV>
            <wp:extent cx="4572000" cy="2743200"/>
            <wp:effectExtent l="4445" t="4445" r="14605" b="14605"/>
            <wp:wrapTopAndBottom/>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2022年度收、支总计</w:t>
      </w:r>
      <w:r>
        <w:rPr>
          <w:rFonts w:hint="eastAsia" w:ascii="仿宋" w:hAnsi="仿宋" w:eastAsia="仿宋"/>
          <w:sz w:val="32"/>
          <w:szCs w:val="32"/>
          <w:lang w:val="en-US" w:eastAsia="zh-CN"/>
        </w:rPr>
        <w:t>502.3</w:t>
      </w:r>
      <w:r>
        <w:rPr>
          <w:rFonts w:hint="eastAsia" w:ascii="仿宋" w:hAnsi="仿宋" w:eastAsia="仿宋"/>
          <w:sz w:val="32"/>
          <w:szCs w:val="32"/>
        </w:rPr>
        <w:t>万元。与2021年相比，收、支总计各减少</w:t>
      </w:r>
      <w:r>
        <w:rPr>
          <w:rFonts w:hint="eastAsia" w:ascii="仿宋" w:hAnsi="仿宋" w:eastAsia="仿宋"/>
          <w:sz w:val="32"/>
          <w:szCs w:val="32"/>
          <w:lang w:val="en-US" w:eastAsia="zh-CN"/>
        </w:rPr>
        <w:t>2080.06</w:t>
      </w:r>
      <w:r>
        <w:rPr>
          <w:rFonts w:hint="eastAsia" w:ascii="仿宋" w:hAnsi="仿宋" w:eastAsia="仿宋"/>
          <w:sz w:val="32"/>
          <w:szCs w:val="32"/>
        </w:rPr>
        <w:t>万元，下降</w:t>
      </w:r>
      <w:r>
        <w:rPr>
          <w:rFonts w:hint="eastAsia" w:ascii="仿宋" w:hAnsi="仿宋" w:eastAsia="仿宋"/>
          <w:sz w:val="32"/>
          <w:szCs w:val="32"/>
          <w:lang w:val="en-US" w:eastAsia="zh-CN"/>
        </w:rPr>
        <w:t>80.5</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宋体" w:eastAsia="仿宋_GB2312" w:cs="宋体"/>
          <w:color w:val="000000"/>
          <w:kern w:val="0"/>
          <w:sz w:val="32"/>
          <w:szCs w:val="32"/>
          <w:shd w:val="clear" w:color="auto" w:fill="FFFFFF"/>
          <w:lang w:val="zh-CN" w:eastAsia="zh-CN"/>
        </w:rPr>
        <w:t>按照</w:t>
      </w:r>
      <w:r>
        <w:rPr>
          <w:rFonts w:hint="eastAsia" w:ascii="仿宋_GB2312" w:hAnsi="宋体" w:eastAsia="仿宋_GB2312" w:cs="宋体"/>
          <w:color w:val="000000"/>
          <w:kern w:val="0"/>
          <w:sz w:val="32"/>
          <w:szCs w:val="32"/>
          <w:shd w:val="clear" w:color="auto" w:fill="FFFFFF"/>
          <w:lang w:val="en-US" w:eastAsia="zh-CN"/>
        </w:rPr>
        <w:t>2022年省以下地方法院检察院</w:t>
      </w:r>
      <w:r>
        <w:rPr>
          <w:rFonts w:hint="eastAsia" w:ascii="仿宋_GB2312" w:hAnsi="宋体" w:eastAsia="仿宋_GB2312" w:cs="宋体"/>
          <w:color w:val="000000"/>
          <w:kern w:val="0"/>
          <w:sz w:val="32"/>
          <w:szCs w:val="32"/>
          <w:shd w:val="clear" w:color="auto" w:fill="FFFFFF"/>
          <w:lang w:val="zh-CN" w:eastAsia="zh-CN"/>
        </w:rPr>
        <w:t>财物统一管理改革要求，</w:t>
      </w:r>
      <w:r>
        <w:rPr>
          <w:rFonts w:hint="eastAsia" w:ascii="仿宋_GB2312" w:hAnsi="宋体" w:eastAsia="仿宋_GB2312" w:cs="宋体"/>
          <w:color w:val="000000"/>
          <w:kern w:val="0"/>
          <w:sz w:val="32"/>
          <w:szCs w:val="32"/>
          <w:shd w:val="clear" w:color="auto" w:fill="FFFFFF"/>
          <w:lang w:val="en-US" w:eastAsia="zh-CN"/>
        </w:rPr>
        <w:t>2022年6月改革完成前后经费分别由县级财政和市级财政保障，其中</w:t>
      </w:r>
      <w:r>
        <w:rPr>
          <w:rFonts w:hint="eastAsia" w:ascii="仿宋_GB2312" w:hAnsi="宋体" w:eastAsia="仿宋_GB2312" w:cs="宋体"/>
          <w:color w:val="000000"/>
          <w:kern w:val="0"/>
          <w:sz w:val="32"/>
          <w:szCs w:val="32"/>
          <w:shd w:val="clear" w:color="auto" w:fill="FFFFFF"/>
          <w:lang w:val="zh-CN"/>
        </w:rPr>
        <w:t>1</w:t>
      </w:r>
      <w:r>
        <w:rPr>
          <w:rFonts w:hint="eastAsia" w:ascii="仿宋_GB2312" w:hAnsi="宋体" w:eastAsia="仿宋_GB2312" w:cs="宋体"/>
          <w:color w:val="000000"/>
          <w:kern w:val="0"/>
          <w:sz w:val="32"/>
          <w:szCs w:val="32"/>
          <w:shd w:val="clear" w:color="auto" w:fill="FFFFFF"/>
          <w:lang w:val="en-US" w:eastAsia="zh-CN"/>
        </w:rPr>
        <w:t>-</w:t>
      </w:r>
      <w:r>
        <w:rPr>
          <w:rFonts w:hint="eastAsia" w:ascii="仿宋_GB2312" w:hAnsi="宋体" w:eastAsia="仿宋_GB2312" w:cs="宋体"/>
          <w:color w:val="000000"/>
          <w:kern w:val="0"/>
          <w:sz w:val="32"/>
          <w:szCs w:val="32"/>
          <w:shd w:val="clear" w:color="auto" w:fill="FFFFFF"/>
          <w:lang w:val="zh-CN"/>
        </w:rPr>
        <w:t>5月</w:t>
      </w:r>
      <w:r>
        <w:rPr>
          <w:rFonts w:hint="eastAsia" w:ascii="仿宋_GB2312" w:hAnsi="宋体" w:eastAsia="仿宋_GB2312" w:cs="宋体"/>
          <w:color w:val="000000"/>
          <w:kern w:val="0"/>
          <w:sz w:val="32"/>
          <w:szCs w:val="32"/>
          <w:shd w:val="clear" w:color="auto" w:fill="FFFFFF"/>
          <w:lang w:val="zh-CN" w:eastAsia="zh-CN"/>
        </w:rPr>
        <w:t>由</w:t>
      </w:r>
      <w:r>
        <w:rPr>
          <w:rFonts w:hint="eastAsia" w:ascii="仿宋_GB2312" w:hAnsi="宋体" w:eastAsia="仿宋_GB2312" w:cs="宋体"/>
          <w:color w:val="000000"/>
          <w:kern w:val="0"/>
          <w:sz w:val="32"/>
          <w:szCs w:val="32"/>
          <w:shd w:val="clear" w:color="auto" w:fill="FFFFFF"/>
          <w:lang w:val="zh-CN"/>
        </w:rPr>
        <w:t>县级财政</w:t>
      </w:r>
      <w:r>
        <w:rPr>
          <w:rFonts w:hint="eastAsia" w:ascii="仿宋_GB2312" w:hAnsi="宋体" w:eastAsia="仿宋_GB2312" w:cs="宋体"/>
          <w:color w:val="000000"/>
          <w:kern w:val="0"/>
          <w:sz w:val="32"/>
          <w:szCs w:val="32"/>
          <w:shd w:val="clear" w:color="auto" w:fill="FFFFFF"/>
          <w:lang w:val="zh-CN" w:eastAsia="zh-CN"/>
        </w:rPr>
        <w:t>保障，</w:t>
      </w:r>
      <w:r>
        <w:rPr>
          <w:rFonts w:hint="eastAsia" w:ascii="仿宋_GB2312" w:hAnsi="宋体" w:eastAsia="仿宋_GB2312" w:cs="宋体"/>
          <w:color w:val="000000"/>
          <w:kern w:val="0"/>
          <w:sz w:val="32"/>
          <w:szCs w:val="32"/>
          <w:shd w:val="clear" w:color="auto" w:fill="FFFFFF"/>
          <w:lang w:val="en-US" w:eastAsia="zh-CN"/>
        </w:rPr>
        <w:t>6-12月经费由市财政拨付，</w:t>
      </w:r>
      <w:r>
        <w:rPr>
          <w:rFonts w:hint="eastAsia" w:ascii="仿宋_GB2312" w:hAnsi="宋体" w:eastAsia="仿宋_GB2312" w:cs="宋体"/>
          <w:color w:val="000000"/>
          <w:kern w:val="0"/>
          <w:sz w:val="32"/>
          <w:szCs w:val="32"/>
          <w:shd w:val="clear" w:color="auto" w:fill="FFFFFF"/>
          <w:lang w:val="zh-CN" w:eastAsia="zh-CN"/>
        </w:rPr>
        <w:t>此期间由市财政保障</w:t>
      </w:r>
      <w:r>
        <w:rPr>
          <w:rFonts w:hint="eastAsia" w:ascii="仿宋_GB2312" w:hAnsi="宋体" w:eastAsia="仿宋_GB2312" w:cs="宋体"/>
          <w:color w:val="000000"/>
          <w:kern w:val="0"/>
          <w:sz w:val="32"/>
          <w:szCs w:val="32"/>
          <w:shd w:val="clear" w:color="auto" w:fill="FFFFFF"/>
          <w:lang w:val="zh-CN"/>
        </w:rPr>
        <w:t>的</w:t>
      </w:r>
      <w:r>
        <w:rPr>
          <w:rFonts w:hint="eastAsia" w:ascii="仿宋_GB2312" w:hAnsi="宋体" w:eastAsia="仿宋_GB2312" w:cs="宋体"/>
          <w:color w:val="000000"/>
          <w:kern w:val="0"/>
          <w:sz w:val="32"/>
          <w:szCs w:val="32"/>
          <w:shd w:val="clear" w:color="auto" w:fill="FFFFFF"/>
          <w:lang w:val="zh-CN" w:eastAsia="zh-CN"/>
        </w:rPr>
        <w:t>经费</w:t>
      </w:r>
      <w:r>
        <w:rPr>
          <w:rFonts w:hint="eastAsia" w:ascii="仿宋_GB2312" w:hAnsi="宋体" w:eastAsia="仿宋_GB2312" w:cs="宋体"/>
          <w:color w:val="000000"/>
          <w:kern w:val="0"/>
          <w:sz w:val="32"/>
          <w:szCs w:val="32"/>
          <w:shd w:val="clear" w:color="auto" w:fill="FFFFFF"/>
          <w:lang w:val="en-US" w:eastAsia="zh-CN"/>
        </w:rPr>
        <w:t>未纳入县级财政拨款收入支出</w:t>
      </w:r>
      <w:r>
        <w:rPr>
          <w:rFonts w:hint="eastAsia" w:ascii="仿宋" w:hAnsi="仿宋" w:eastAsia="仿宋"/>
          <w:sz w:val="32"/>
          <w:szCs w:val="32"/>
        </w:rPr>
        <w:t>。</w:t>
      </w:r>
    </w:p>
    <w:p>
      <w:pPr>
        <w:spacing w:line="600" w:lineRule="exact"/>
        <w:ind w:firstLine="640" w:firstLineChars="200"/>
        <w:jc w:val="center"/>
        <w:rPr>
          <w:rFonts w:ascii="仿宋_GB2312" w:eastAsia="仿宋_GB2312"/>
          <w:sz w:val="32"/>
          <w:szCs w:val="32"/>
        </w:rPr>
      </w:pPr>
      <w:r>
        <w:rPr>
          <w:rFonts w:eastAsia="仿宋"/>
          <w:i/>
          <w:color w:val="000000"/>
          <w:sz w:val="32"/>
          <w:szCs w:val="32"/>
          <w:highlight w:val="none"/>
        </w:rPr>
        <w:t>（图1：收、支决算总计变动情况图）</w:t>
      </w:r>
    </w:p>
    <w:p>
      <w:pPr>
        <w:pStyle w:val="30"/>
        <w:numPr>
          <w:ilvl w:val="0"/>
          <w:numId w:val="1"/>
        </w:numPr>
        <w:spacing w:line="600" w:lineRule="exact"/>
        <w:ind w:firstLineChars="0"/>
        <w:outlineLvl w:val="1"/>
        <w:rPr>
          <w:rStyle w:val="20"/>
          <w:rFonts w:ascii="黑体" w:hAnsi="黑体" w:eastAsia="黑体"/>
          <w:b w:val="0"/>
        </w:rPr>
      </w:pPr>
      <w:bookmarkStart w:id="19" w:name="_Toc28961"/>
      <w:r>
        <w:rPr>
          <w:rFonts w:hint="eastAsia" w:ascii="黑体" w:hAnsi="黑体" w:eastAsia="黑体"/>
          <w:sz w:val="32"/>
          <w:szCs w:val="32"/>
        </w:rPr>
        <w:t>收</w:t>
      </w:r>
      <w:r>
        <w:rPr>
          <w:rStyle w:val="20"/>
          <w:rFonts w:hint="eastAsia" w:ascii="黑体" w:hAnsi="黑体" w:eastAsia="黑体"/>
          <w:b w:val="0"/>
        </w:rPr>
        <w:t>入决算情况说明</w:t>
      </w:r>
      <w:bookmarkEnd w:id="19"/>
    </w:p>
    <w:p>
      <w:pPr>
        <w:spacing w:line="600" w:lineRule="exact"/>
        <w:ind w:firstLine="640" w:firstLineChars="200"/>
        <w:outlineLvl w:val="1"/>
        <w:rPr>
          <w:rFonts w:hint="eastAsia" w:ascii="仿宋" w:hAnsi="仿宋" w:eastAsia="仿宋"/>
          <w:sz w:val="32"/>
          <w:szCs w:val="32"/>
        </w:rPr>
      </w:pPr>
      <w:bookmarkStart w:id="20" w:name="_Toc19932"/>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500.21</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500.21</w:t>
      </w:r>
      <w:r>
        <w:rPr>
          <w:rFonts w:hint="eastAsia" w:ascii="仿宋" w:hAnsi="仿宋" w:eastAsia="仿宋"/>
          <w:sz w:val="32"/>
          <w:szCs w:val="32"/>
        </w:rPr>
        <w:t>万元，占</w:t>
      </w:r>
      <w:r>
        <w:rPr>
          <w:rFonts w:hint="eastAsia" w:ascii="仿宋" w:hAnsi="仿宋" w:eastAsia="仿宋"/>
          <w:sz w:val="32"/>
          <w:szCs w:val="32"/>
          <w:lang w:val="en-US" w:eastAsia="zh-CN"/>
        </w:rPr>
        <w:t>100.0</w:t>
      </w:r>
      <w:r>
        <w:rPr>
          <w:rFonts w:ascii="仿宋" w:hAnsi="仿宋" w:eastAsia="仿宋"/>
          <w:sz w:val="32"/>
          <w:szCs w:val="32"/>
        </w:rPr>
        <w:t>%</w:t>
      </w:r>
      <w:r>
        <w:rPr>
          <w:rFonts w:hint="eastAsia" w:ascii="仿宋" w:hAnsi="仿宋" w:eastAsia="仿宋"/>
          <w:sz w:val="32"/>
          <w:szCs w:val="32"/>
        </w:rPr>
        <w:t>。</w:t>
      </w:r>
      <w:bookmarkEnd w:id="20"/>
    </w:p>
    <w:p>
      <w:pPr>
        <w:pStyle w:val="7"/>
        <w:jc w:val="center"/>
      </w:pPr>
      <w:r>
        <w:drawing>
          <wp:inline distT="0" distB="0" distL="114300" distR="114300">
            <wp:extent cx="4572000" cy="2743200"/>
            <wp:effectExtent l="4445" t="4445" r="14605" b="14605"/>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_GB2312" w:eastAsia="仿宋_GB2312"/>
          <w:sz w:val="32"/>
          <w:szCs w:val="32"/>
        </w:rPr>
      </w:pPr>
      <w:r>
        <w:rPr>
          <w:rFonts w:eastAsia="仿宋"/>
          <w:i/>
          <w:color w:val="000000"/>
          <w:sz w:val="32"/>
          <w:szCs w:val="32"/>
          <w:highlight w:val="none"/>
        </w:rPr>
        <w:t>（图2：收入决算结构图）</w:t>
      </w:r>
    </w:p>
    <w:p>
      <w:pPr>
        <w:pStyle w:val="30"/>
        <w:numPr>
          <w:ilvl w:val="0"/>
          <w:numId w:val="1"/>
        </w:numPr>
        <w:spacing w:line="600" w:lineRule="exact"/>
        <w:ind w:firstLineChars="0"/>
        <w:outlineLvl w:val="1"/>
        <w:rPr>
          <w:rStyle w:val="20"/>
          <w:rFonts w:ascii="黑体" w:hAnsi="黑体" w:eastAsia="黑体"/>
          <w:b w:val="0"/>
        </w:rPr>
      </w:pPr>
      <w:bookmarkStart w:id="21" w:name="_Toc1427"/>
      <w:r>
        <w:rPr>
          <w:rFonts w:hint="eastAsia" w:ascii="黑体" w:hAnsi="黑体" w:eastAsia="黑体"/>
          <w:sz w:val="32"/>
          <w:szCs w:val="32"/>
        </w:rPr>
        <w:t>支</w:t>
      </w:r>
      <w:r>
        <w:rPr>
          <w:rStyle w:val="20"/>
          <w:rFonts w:hint="eastAsia" w:ascii="黑体" w:hAnsi="黑体" w:eastAsia="黑体"/>
          <w:b w:val="0"/>
        </w:rPr>
        <w:t>出决算情况说明</w:t>
      </w:r>
      <w:bookmarkEnd w:id="21"/>
    </w:p>
    <w:p>
      <w:pPr>
        <w:spacing w:line="600" w:lineRule="exact"/>
        <w:ind w:firstLine="640" w:firstLineChars="200"/>
        <w:outlineLvl w:val="1"/>
        <w:rPr>
          <w:rFonts w:hint="eastAsia" w:ascii="仿宋" w:hAnsi="仿宋" w:eastAsia="仿宋"/>
          <w:sz w:val="32"/>
          <w:szCs w:val="32"/>
        </w:rPr>
      </w:pPr>
      <w:bookmarkStart w:id="22" w:name="_Toc3945"/>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500.21</w:t>
      </w:r>
      <w:r>
        <w:rPr>
          <w:rFonts w:hint="eastAsia" w:ascii="仿宋" w:hAnsi="仿宋" w:eastAsia="仿宋"/>
          <w:sz w:val="32"/>
          <w:szCs w:val="32"/>
        </w:rPr>
        <w:t>万元，其中：基本支出</w:t>
      </w:r>
      <w:r>
        <w:rPr>
          <w:rFonts w:hint="eastAsia" w:ascii="仿宋" w:hAnsi="仿宋" w:eastAsia="仿宋"/>
          <w:sz w:val="32"/>
          <w:szCs w:val="32"/>
          <w:lang w:val="en-US" w:eastAsia="zh-CN"/>
        </w:rPr>
        <w:t>435.05</w:t>
      </w:r>
      <w:r>
        <w:rPr>
          <w:rFonts w:hint="eastAsia" w:ascii="仿宋" w:hAnsi="仿宋" w:eastAsia="仿宋"/>
          <w:sz w:val="32"/>
          <w:szCs w:val="32"/>
        </w:rPr>
        <w:t>万元，占</w:t>
      </w:r>
      <w:r>
        <w:rPr>
          <w:rFonts w:hint="eastAsia" w:ascii="仿宋" w:hAnsi="仿宋" w:eastAsia="仿宋"/>
          <w:sz w:val="32"/>
          <w:szCs w:val="32"/>
          <w:lang w:val="en-US" w:eastAsia="zh-CN"/>
        </w:rPr>
        <w:t>87.0</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65.16</w:t>
      </w:r>
      <w:r>
        <w:rPr>
          <w:rFonts w:hint="eastAsia" w:ascii="仿宋" w:hAnsi="仿宋" w:eastAsia="仿宋"/>
          <w:sz w:val="32"/>
          <w:szCs w:val="32"/>
        </w:rPr>
        <w:t>万元，占</w:t>
      </w:r>
      <w:r>
        <w:rPr>
          <w:rFonts w:hint="eastAsia" w:ascii="仿宋" w:hAnsi="仿宋" w:eastAsia="仿宋"/>
          <w:sz w:val="32"/>
          <w:szCs w:val="32"/>
          <w:lang w:val="en-US" w:eastAsia="zh-CN"/>
        </w:rPr>
        <w:t>13.0</w:t>
      </w:r>
      <w:r>
        <w:rPr>
          <w:rFonts w:ascii="仿宋" w:hAnsi="仿宋" w:eastAsia="仿宋"/>
          <w:sz w:val="32"/>
          <w:szCs w:val="32"/>
        </w:rPr>
        <w:t>%</w:t>
      </w:r>
      <w:r>
        <w:rPr>
          <w:rFonts w:hint="eastAsia" w:ascii="仿宋" w:hAnsi="仿宋" w:eastAsia="仿宋"/>
          <w:sz w:val="32"/>
          <w:szCs w:val="32"/>
        </w:rPr>
        <w:t>。</w:t>
      </w:r>
      <w:bookmarkEnd w:id="22"/>
    </w:p>
    <w:p>
      <w:pPr>
        <w:pStyle w:val="7"/>
        <w:jc w:val="center"/>
      </w:pPr>
      <w:r>
        <w:drawing>
          <wp:inline distT="0" distB="0" distL="114300" distR="114300">
            <wp:extent cx="4572000" cy="2743200"/>
            <wp:effectExtent l="4445" t="4445" r="14605" b="14605"/>
            <wp:docPr id="1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ascii="仿宋_GB2312" w:eastAsia="仿宋_GB2312"/>
          <w:sz w:val="32"/>
          <w:szCs w:val="32"/>
          <w:highlight w:val="none"/>
        </w:rPr>
      </w:pPr>
      <w:r>
        <w:rPr>
          <w:rFonts w:eastAsia="仿宋"/>
          <w:i/>
          <w:color w:val="000000"/>
          <w:sz w:val="32"/>
          <w:szCs w:val="32"/>
          <w:highlight w:val="none"/>
        </w:rPr>
        <w:t>（图3：支出决算结构图）</w:t>
      </w:r>
    </w:p>
    <w:p>
      <w:pPr>
        <w:spacing w:line="600" w:lineRule="exact"/>
        <w:ind w:firstLine="640" w:firstLineChars="200"/>
        <w:outlineLvl w:val="1"/>
        <w:rPr>
          <w:rStyle w:val="20"/>
          <w:rFonts w:ascii="黑体" w:hAnsi="黑体" w:eastAsia="黑体"/>
          <w:b w:val="0"/>
        </w:rPr>
      </w:pPr>
      <w:bookmarkStart w:id="23" w:name="_Toc20198"/>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23"/>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502.3</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21年相比，财政拨款收、支总计各减少</w:t>
      </w:r>
      <w:r>
        <w:rPr>
          <w:rFonts w:hint="eastAsia" w:ascii="仿宋" w:hAnsi="仿宋" w:eastAsia="仿宋"/>
          <w:sz w:val="32"/>
          <w:szCs w:val="32"/>
          <w:lang w:val="en-US" w:eastAsia="zh-CN"/>
        </w:rPr>
        <w:t>2080.06</w:t>
      </w:r>
      <w:r>
        <w:rPr>
          <w:rFonts w:hint="eastAsia" w:ascii="仿宋" w:hAnsi="仿宋" w:eastAsia="仿宋"/>
          <w:sz w:val="32"/>
          <w:szCs w:val="32"/>
        </w:rPr>
        <w:t>万元，下降</w:t>
      </w:r>
      <w:r>
        <w:rPr>
          <w:rFonts w:hint="eastAsia" w:ascii="仿宋" w:hAnsi="仿宋" w:eastAsia="仿宋"/>
          <w:sz w:val="32"/>
          <w:szCs w:val="32"/>
          <w:lang w:val="en-US" w:eastAsia="zh-CN"/>
        </w:rPr>
        <w:t>80.5</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宋体" w:eastAsia="仿宋_GB2312" w:cs="宋体"/>
          <w:color w:val="000000"/>
          <w:kern w:val="0"/>
          <w:sz w:val="32"/>
          <w:szCs w:val="32"/>
          <w:shd w:val="clear" w:color="auto" w:fill="FFFFFF"/>
          <w:lang w:val="zh-CN" w:eastAsia="zh-CN"/>
        </w:rPr>
        <w:t>按照</w:t>
      </w:r>
      <w:r>
        <w:rPr>
          <w:rFonts w:hint="eastAsia" w:ascii="仿宋_GB2312" w:hAnsi="宋体" w:eastAsia="仿宋_GB2312" w:cs="宋体"/>
          <w:color w:val="000000"/>
          <w:kern w:val="0"/>
          <w:sz w:val="32"/>
          <w:szCs w:val="32"/>
          <w:shd w:val="clear" w:color="auto" w:fill="FFFFFF"/>
          <w:lang w:val="en-US" w:eastAsia="zh-CN"/>
        </w:rPr>
        <w:t>2022年省以下地方法院检察院</w:t>
      </w:r>
      <w:r>
        <w:rPr>
          <w:rFonts w:hint="eastAsia" w:ascii="仿宋_GB2312" w:hAnsi="宋体" w:eastAsia="仿宋_GB2312" w:cs="宋体"/>
          <w:color w:val="000000"/>
          <w:kern w:val="0"/>
          <w:sz w:val="32"/>
          <w:szCs w:val="32"/>
          <w:shd w:val="clear" w:color="auto" w:fill="FFFFFF"/>
          <w:lang w:val="zh-CN" w:eastAsia="zh-CN"/>
        </w:rPr>
        <w:t>财物统一管理改革要求，</w:t>
      </w:r>
      <w:r>
        <w:rPr>
          <w:rFonts w:hint="eastAsia" w:ascii="仿宋_GB2312" w:hAnsi="宋体" w:eastAsia="仿宋_GB2312" w:cs="宋体"/>
          <w:color w:val="000000"/>
          <w:kern w:val="0"/>
          <w:sz w:val="32"/>
          <w:szCs w:val="32"/>
          <w:shd w:val="clear" w:color="auto" w:fill="FFFFFF"/>
          <w:lang w:val="en-US" w:eastAsia="zh-CN"/>
        </w:rPr>
        <w:t>2022年6月改革完成前后经费分别由县级财政和市级财政保障，其中</w:t>
      </w:r>
      <w:r>
        <w:rPr>
          <w:rFonts w:hint="eastAsia" w:ascii="仿宋_GB2312" w:hAnsi="宋体" w:eastAsia="仿宋_GB2312" w:cs="宋体"/>
          <w:color w:val="000000"/>
          <w:kern w:val="0"/>
          <w:sz w:val="32"/>
          <w:szCs w:val="32"/>
          <w:shd w:val="clear" w:color="auto" w:fill="FFFFFF"/>
          <w:lang w:val="zh-CN"/>
        </w:rPr>
        <w:t>1</w:t>
      </w:r>
      <w:r>
        <w:rPr>
          <w:rFonts w:hint="eastAsia" w:ascii="仿宋_GB2312" w:hAnsi="宋体" w:eastAsia="仿宋_GB2312" w:cs="宋体"/>
          <w:color w:val="000000"/>
          <w:kern w:val="0"/>
          <w:sz w:val="32"/>
          <w:szCs w:val="32"/>
          <w:shd w:val="clear" w:color="auto" w:fill="FFFFFF"/>
          <w:lang w:val="en-US" w:eastAsia="zh-CN"/>
        </w:rPr>
        <w:t>-</w:t>
      </w:r>
      <w:r>
        <w:rPr>
          <w:rFonts w:hint="eastAsia" w:ascii="仿宋_GB2312" w:hAnsi="宋体" w:eastAsia="仿宋_GB2312" w:cs="宋体"/>
          <w:color w:val="000000"/>
          <w:kern w:val="0"/>
          <w:sz w:val="32"/>
          <w:szCs w:val="32"/>
          <w:shd w:val="clear" w:color="auto" w:fill="FFFFFF"/>
          <w:lang w:val="zh-CN"/>
        </w:rPr>
        <w:t>5月</w:t>
      </w:r>
      <w:r>
        <w:rPr>
          <w:rFonts w:hint="eastAsia" w:ascii="仿宋_GB2312" w:hAnsi="宋体" w:eastAsia="仿宋_GB2312" w:cs="宋体"/>
          <w:color w:val="000000"/>
          <w:kern w:val="0"/>
          <w:sz w:val="32"/>
          <w:szCs w:val="32"/>
          <w:shd w:val="clear" w:color="auto" w:fill="FFFFFF"/>
          <w:lang w:val="zh-CN" w:eastAsia="zh-CN"/>
        </w:rPr>
        <w:t>由</w:t>
      </w:r>
      <w:r>
        <w:rPr>
          <w:rFonts w:hint="eastAsia" w:ascii="仿宋_GB2312" w:hAnsi="宋体" w:eastAsia="仿宋_GB2312" w:cs="宋体"/>
          <w:color w:val="000000"/>
          <w:kern w:val="0"/>
          <w:sz w:val="32"/>
          <w:szCs w:val="32"/>
          <w:shd w:val="clear" w:color="auto" w:fill="FFFFFF"/>
          <w:lang w:val="zh-CN"/>
        </w:rPr>
        <w:t>县级财政</w:t>
      </w:r>
      <w:r>
        <w:rPr>
          <w:rFonts w:hint="eastAsia" w:ascii="仿宋_GB2312" w:hAnsi="宋体" w:eastAsia="仿宋_GB2312" w:cs="宋体"/>
          <w:color w:val="000000"/>
          <w:kern w:val="0"/>
          <w:sz w:val="32"/>
          <w:szCs w:val="32"/>
          <w:shd w:val="clear" w:color="auto" w:fill="FFFFFF"/>
          <w:lang w:val="zh-CN" w:eastAsia="zh-CN"/>
        </w:rPr>
        <w:t>保障，</w:t>
      </w:r>
      <w:r>
        <w:rPr>
          <w:rFonts w:hint="eastAsia" w:ascii="仿宋_GB2312" w:hAnsi="宋体" w:eastAsia="仿宋_GB2312" w:cs="宋体"/>
          <w:color w:val="000000"/>
          <w:kern w:val="0"/>
          <w:sz w:val="32"/>
          <w:szCs w:val="32"/>
          <w:shd w:val="clear" w:color="auto" w:fill="FFFFFF"/>
          <w:lang w:val="en-US" w:eastAsia="zh-CN"/>
        </w:rPr>
        <w:t>6-12月经费由市财政拨付，</w:t>
      </w:r>
      <w:r>
        <w:rPr>
          <w:rFonts w:hint="eastAsia" w:ascii="仿宋_GB2312" w:hAnsi="宋体" w:eastAsia="仿宋_GB2312" w:cs="宋体"/>
          <w:color w:val="000000"/>
          <w:kern w:val="0"/>
          <w:sz w:val="32"/>
          <w:szCs w:val="32"/>
          <w:shd w:val="clear" w:color="auto" w:fill="FFFFFF"/>
          <w:lang w:val="zh-CN" w:eastAsia="zh-CN"/>
        </w:rPr>
        <w:t>此期间由市财政保障</w:t>
      </w:r>
      <w:r>
        <w:rPr>
          <w:rFonts w:hint="eastAsia" w:ascii="仿宋_GB2312" w:hAnsi="宋体" w:eastAsia="仿宋_GB2312" w:cs="宋体"/>
          <w:color w:val="000000"/>
          <w:kern w:val="0"/>
          <w:sz w:val="32"/>
          <w:szCs w:val="32"/>
          <w:shd w:val="clear" w:color="auto" w:fill="FFFFFF"/>
          <w:lang w:val="zh-CN"/>
        </w:rPr>
        <w:t>的</w:t>
      </w:r>
      <w:r>
        <w:rPr>
          <w:rFonts w:hint="eastAsia" w:ascii="仿宋_GB2312" w:hAnsi="宋体" w:eastAsia="仿宋_GB2312" w:cs="宋体"/>
          <w:color w:val="000000"/>
          <w:kern w:val="0"/>
          <w:sz w:val="32"/>
          <w:szCs w:val="32"/>
          <w:shd w:val="clear" w:color="auto" w:fill="FFFFFF"/>
          <w:lang w:val="zh-CN" w:eastAsia="zh-CN"/>
        </w:rPr>
        <w:t>经费</w:t>
      </w:r>
      <w:r>
        <w:rPr>
          <w:rFonts w:hint="eastAsia" w:ascii="仿宋_GB2312" w:hAnsi="宋体" w:eastAsia="仿宋_GB2312" w:cs="宋体"/>
          <w:color w:val="000000"/>
          <w:kern w:val="0"/>
          <w:sz w:val="32"/>
          <w:szCs w:val="32"/>
          <w:shd w:val="clear" w:color="auto" w:fill="FFFFFF"/>
          <w:lang w:val="en-US" w:eastAsia="zh-CN"/>
        </w:rPr>
        <w:t>未纳入县级财政拨款收入支出</w:t>
      </w:r>
      <w:r>
        <w:rPr>
          <w:rFonts w:hint="eastAsia" w:ascii="仿宋" w:hAnsi="仿宋" w:eastAsia="仿宋"/>
          <w:sz w:val="32"/>
          <w:szCs w:val="32"/>
        </w:rPr>
        <w:t>。</w:t>
      </w:r>
    </w:p>
    <w:p>
      <w:pPr>
        <w:spacing w:line="600" w:lineRule="exact"/>
        <w:ind w:firstLine="420" w:firstLineChars="200"/>
        <w:jc w:val="center"/>
        <w:rPr>
          <w:rFonts w:ascii="仿宋" w:hAnsi="仿宋" w:eastAsia="仿宋"/>
          <w:b/>
          <w:sz w:val="32"/>
          <w:szCs w:val="32"/>
          <w:highlight w:val="none"/>
        </w:rPr>
      </w:pPr>
      <w:r>
        <w:rPr>
          <w:highlight w:val="none"/>
        </w:rPr>
        <w:drawing>
          <wp:anchor distT="0" distB="0" distL="114300" distR="114300" simplePos="0" relativeHeight="251660288" behindDoc="0" locked="0" layoutInCell="1" allowOverlap="1">
            <wp:simplePos x="0" y="0"/>
            <wp:positionH relativeFrom="column">
              <wp:posOffset>351155</wp:posOffset>
            </wp:positionH>
            <wp:positionV relativeFrom="paragraph">
              <wp:posOffset>23495</wp:posOffset>
            </wp:positionV>
            <wp:extent cx="4572000" cy="2743200"/>
            <wp:effectExtent l="4445" t="4445" r="14605" b="14605"/>
            <wp:wrapTopAndBottom/>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eastAsia="仿宋"/>
          <w:i/>
          <w:color w:val="000000"/>
          <w:sz w:val="32"/>
          <w:szCs w:val="32"/>
          <w:highlight w:val="none"/>
        </w:rPr>
        <w:t>（图4：财政拨款收、支决算总计变动情况）</w:t>
      </w:r>
    </w:p>
    <w:p>
      <w:pPr>
        <w:spacing w:line="600" w:lineRule="exact"/>
        <w:ind w:firstLine="640" w:firstLineChars="200"/>
        <w:outlineLvl w:val="1"/>
        <w:rPr>
          <w:rStyle w:val="20"/>
          <w:rFonts w:ascii="黑体" w:hAnsi="黑体" w:eastAsia="黑体"/>
          <w:b w:val="0"/>
        </w:rPr>
      </w:pPr>
      <w:bookmarkStart w:id="24" w:name="_Toc27044"/>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24"/>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（一）一般公共预算财政拨款支出决算总体情况</w:t>
      </w:r>
    </w:p>
    <w:p>
      <w:pPr>
        <w:spacing w:line="600" w:lineRule="exact"/>
        <w:ind w:firstLine="420" w:firstLineChars="200"/>
        <w:rPr>
          <w:rFonts w:hint="eastAsia" w:ascii="仿宋" w:hAnsi="仿宋" w:eastAsia="仿宋"/>
          <w:sz w:val="32"/>
          <w:szCs w:val="32"/>
        </w:rPr>
      </w:pPr>
      <w:r>
        <w:drawing>
          <wp:anchor distT="0" distB="0" distL="114300" distR="114300" simplePos="0" relativeHeight="251661312" behindDoc="0" locked="0" layoutInCell="1" allowOverlap="1">
            <wp:simplePos x="0" y="0"/>
            <wp:positionH relativeFrom="column">
              <wp:posOffset>389255</wp:posOffset>
            </wp:positionH>
            <wp:positionV relativeFrom="paragraph">
              <wp:posOffset>3023870</wp:posOffset>
            </wp:positionV>
            <wp:extent cx="4572000" cy="2743200"/>
            <wp:effectExtent l="4445" t="4445" r="14605" b="14605"/>
            <wp:wrapTopAndBottom/>
            <wp:docPr id="1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500.21</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21年相比，一般公共预算财政拨款支出减少</w:t>
      </w:r>
      <w:r>
        <w:rPr>
          <w:rFonts w:hint="eastAsia" w:ascii="仿宋" w:hAnsi="仿宋" w:eastAsia="仿宋"/>
          <w:sz w:val="32"/>
          <w:szCs w:val="32"/>
          <w:lang w:val="en-US" w:eastAsia="zh-CN"/>
        </w:rPr>
        <w:t>2082.15</w:t>
      </w:r>
      <w:r>
        <w:rPr>
          <w:rFonts w:hint="eastAsia" w:ascii="仿宋" w:hAnsi="仿宋" w:eastAsia="仿宋"/>
          <w:sz w:val="32"/>
          <w:szCs w:val="32"/>
        </w:rPr>
        <w:t>万元，下降</w:t>
      </w:r>
      <w:r>
        <w:rPr>
          <w:rFonts w:hint="eastAsia" w:ascii="仿宋" w:hAnsi="仿宋" w:eastAsia="仿宋"/>
          <w:sz w:val="32"/>
          <w:szCs w:val="32"/>
          <w:lang w:val="en-US" w:eastAsia="zh-CN"/>
        </w:rPr>
        <w:t>80.6</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宋体" w:eastAsia="仿宋_GB2312" w:cs="宋体"/>
          <w:color w:val="000000"/>
          <w:kern w:val="0"/>
          <w:sz w:val="32"/>
          <w:szCs w:val="32"/>
          <w:shd w:val="clear" w:color="auto" w:fill="FFFFFF"/>
          <w:lang w:val="zh-CN" w:eastAsia="zh-CN"/>
        </w:rPr>
        <w:t>按照</w:t>
      </w:r>
      <w:r>
        <w:rPr>
          <w:rFonts w:hint="eastAsia" w:ascii="仿宋_GB2312" w:hAnsi="宋体" w:eastAsia="仿宋_GB2312" w:cs="宋体"/>
          <w:color w:val="000000"/>
          <w:kern w:val="0"/>
          <w:sz w:val="32"/>
          <w:szCs w:val="32"/>
          <w:shd w:val="clear" w:color="auto" w:fill="FFFFFF"/>
          <w:lang w:val="en-US" w:eastAsia="zh-CN"/>
        </w:rPr>
        <w:t>2022年省以下地方法院检察院</w:t>
      </w:r>
      <w:r>
        <w:rPr>
          <w:rFonts w:hint="eastAsia" w:ascii="仿宋_GB2312" w:hAnsi="宋体" w:eastAsia="仿宋_GB2312" w:cs="宋体"/>
          <w:color w:val="000000"/>
          <w:kern w:val="0"/>
          <w:sz w:val="32"/>
          <w:szCs w:val="32"/>
          <w:shd w:val="clear" w:color="auto" w:fill="FFFFFF"/>
          <w:lang w:val="zh-CN" w:eastAsia="zh-CN"/>
        </w:rPr>
        <w:t>财物统一管理改革要求，</w:t>
      </w:r>
      <w:r>
        <w:rPr>
          <w:rFonts w:hint="eastAsia" w:ascii="仿宋_GB2312" w:hAnsi="宋体" w:eastAsia="仿宋_GB2312" w:cs="宋体"/>
          <w:color w:val="000000"/>
          <w:kern w:val="0"/>
          <w:sz w:val="32"/>
          <w:szCs w:val="32"/>
          <w:shd w:val="clear" w:color="auto" w:fill="FFFFFF"/>
          <w:lang w:val="en-US" w:eastAsia="zh-CN"/>
        </w:rPr>
        <w:t>2022年6月改革完成前后经费分别由县级财政和市级财政保障，其中</w:t>
      </w:r>
      <w:r>
        <w:rPr>
          <w:rFonts w:hint="eastAsia" w:ascii="仿宋_GB2312" w:hAnsi="宋体" w:eastAsia="仿宋_GB2312" w:cs="宋体"/>
          <w:color w:val="000000"/>
          <w:kern w:val="0"/>
          <w:sz w:val="32"/>
          <w:szCs w:val="32"/>
          <w:shd w:val="clear" w:color="auto" w:fill="FFFFFF"/>
          <w:lang w:val="zh-CN"/>
        </w:rPr>
        <w:t>1</w:t>
      </w:r>
      <w:r>
        <w:rPr>
          <w:rFonts w:hint="eastAsia" w:ascii="仿宋_GB2312" w:hAnsi="宋体" w:eastAsia="仿宋_GB2312" w:cs="宋体"/>
          <w:color w:val="000000"/>
          <w:kern w:val="0"/>
          <w:sz w:val="32"/>
          <w:szCs w:val="32"/>
          <w:shd w:val="clear" w:color="auto" w:fill="FFFFFF"/>
          <w:lang w:val="en-US" w:eastAsia="zh-CN"/>
        </w:rPr>
        <w:t>-</w:t>
      </w:r>
      <w:r>
        <w:rPr>
          <w:rFonts w:hint="eastAsia" w:ascii="仿宋_GB2312" w:hAnsi="宋体" w:eastAsia="仿宋_GB2312" w:cs="宋体"/>
          <w:color w:val="000000"/>
          <w:kern w:val="0"/>
          <w:sz w:val="32"/>
          <w:szCs w:val="32"/>
          <w:shd w:val="clear" w:color="auto" w:fill="FFFFFF"/>
          <w:lang w:val="zh-CN"/>
        </w:rPr>
        <w:t>5月</w:t>
      </w:r>
      <w:r>
        <w:rPr>
          <w:rFonts w:hint="eastAsia" w:ascii="仿宋_GB2312" w:hAnsi="宋体" w:eastAsia="仿宋_GB2312" w:cs="宋体"/>
          <w:color w:val="000000"/>
          <w:kern w:val="0"/>
          <w:sz w:val="32"/>
          <w:szCs w:val="32"/>
          <w:shd w:val="clear" w:color="auto" w:fill="FFFFFF"/>
          <w:lang w:val="zh-CN" w:eastAsia="zh-CN"/>
        </w:rPr>
        <w:t>由</w:t>
      </w:r>
      <w:r>
        <w:rPr>
          <w:rFonts w:hint="eastAsia" w:ascii="仿宋_GB2312" w:hAnsi="宋体" w:eastAsia="仿宋_GB2312" w:cs="宋体"/>
          <w:color w:val="000000"/>
          <w:kern w:val="0"/>
          <w:sz w:val="32"/>
          <w:szCs w:val="32"/>
          <w:shd w:val="clear" w:color="auto" w:fill="FFFFFF"/>
          <w:lang w:val="zh-CN"/>
        </w:rPr>
        <w:t>县级财政</w:t>
      </w:r>
      <w:r>
        <w:rPr>
          <w:rFonts w:hint="eastAsia" w:ascii="仿宋_GB2312" w:hAnsi="宋体" w:eastAsia="仿宋_GB2312" w:cs="宋体"/>
          <w:color w:val="000000"/>
          <w:kern w:val="0"/>
          <w:sz w:val="32"/>
          <w:szCs w:val="32"/>
          <w:shd w:val="clear" w:color="auto" w:fill="FFFFFF"/>
          <w:lang w:val="zh-CN" w:eastAsia="zh-CN"/>
        </w:rPr>
        <w:t>保障，</w:t>
      </w:r>
      <w:r>
        <w:rPr>
          <w:rFonts w:hint="eastAsia" w:ascii="仿宋_GB2312" w:hAnsi="宋体" w:eastAsia="仿宋_GB2312" w:cs="宋体"/>
          <w:color w:val="000000"/>
          <w:kern w:val="0"/>
          <w:sz w:val="32"/>
          <w:szCs w:val="32"/>
          <w:shd w:val="clear" w:color="auto" w:fill="FFFFFF"/>
          <w:lang w:val="en-US" w:eastAsia="zh-CN"/>
        </w:rPr>
        <w:t>6-12月经费由市财政拨付，</w:t>
      </w:r>
      <w:r>
        <w:rPr>
          <w:rFonts w:hint="eastAsia" w:ascii="仿宋_GB2312" w:hAnsi="宋体" w:eastAsia="仿宋_GB2312" w:cs="宋体"/>
          <w:color w:val="000000"/>
          <w:kern w:val="0"/>
          <w:sz w:val="32"/>
          <w:szCs w:val="32"/>
          <w:shd w:val="clear" w:color="auto" w:fill="FFFFFF"/>
          <w:lang w:val="zh-CN" w:eastAsia="zh-CN"/>
        </w:rPr>
        <w:t>此期间由市财政保障</w:t>
      </w:r>
      <w:r>
        <w:rPr>
          <w:rFonts w:hint="eastAsia" w:ascii="仿宋_GB2312" w:hAnsi="宋体" w:eastAsia="仿宋_GB2312" w:cs="宋体"/>
          <w:color w:val="000000"/>
          <w:kern w:val="0"/>
          <w:sz w:val="32"/>
          <w:szCs w:val="32"/>
          <w:shd w:val="clear" w:color="auto" w:fill="FFFFFF"/>
          <w:lang w:val="zh-CN"/>
        </w:rPr>
        <w:t>的</w:t>
      </w:r>
      <w:r>
        <w:rPr>
          <w:rFonts w:hint="eastAsia" w:ascii="仿宋_GB2312" w:hAnsi="宋体" w:eastAsia="仿宋_GB2312" w:cs="宋体"/>
          <w:color w:val="000000"/>
          <w:kern w:val="0"/>
          <w:sz w:val="32"/>
          <w:szCs w:val="32"/>
          <w:shd w:val="clear" w:color="auto" w:fill="FFFFFF"/>
          <w:lang w:val="zh-CN" w:eastAsia="zh-CN"/>
        </w:rPr>
        <w:t>经费</w:t>
      </w:r>
      <w:r>
        <w:rPr>
          <w:rFonts w:hint="eastAsia" w:ascii="仿宋_GB2312" w:hAnsi="宋体" w:eastAsia="仿宋_GB2312" w:cs="宋体"/>
          <w:color w:val="000000"/>
          <w:kern w:val="0"/>
          <w:sz w:val="32"/>
          <w:szCs w:val="32"/>
          <w:shd w:val="clear" w:color="auto" w:fill="FFFFFF"/>
          <w:lang w:val="en-US" w:eastAsia="zh-CN"/>
        </w:rPr>
        <w:t>未纳入县级财政拨款收入支出</w:t>
      </w:r>
      <w:r>
        <w:rPr>
          <w:rFonts w:hint="eastAsia" w:ascii="仿宋" w:hAnsi="仿宋" w:eastAsia="仿宋"/>
          <w:sz w:val="32"/>
          <w:szCs w:val="32"/>
        </w:rPr>
        <w:t>。</w:t>
      </w:r>
    </w:p>
    <w:p>
      <w:pPr>
        <w:spacing w:line="600" w:lineRule="exact"/>
        <w:ind w:firstLine="640" w:firstLineChars="200"/>
        <w:jc w:val="center"/>
        <w:rPr>
          <w:rFonts w:ascii="仿宋" w:hAnsi="仿宋" w:eastAsia="仿宋"/>
          <w:sz w:val="32"/>
          <w:szCs w:val="32"/>
        </w:rPr>
      </w:pPr>
      <w:r>
        <w:rPr>
          <w:rFonts w:eastAsia="仿宋"/>
          <w:i/>
          <w:color w:val="000000"/>
          <w:sz w:val="32"/>
          <w:szCs w:val="32"/>
          <w:highlight w:val="none"/>
        </w:rPr>
        <w:t>（图5：一般公共预算财政拨款支出决算变动情况）</w:t>
      </w:r>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500.21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公共</w:t>
      </w:r>
      <w:r>
        <w:rPr>
          <w:rFonts w:hint="eastAsia" w:ascii="仿宋" w:hAnsi="仿宋" w:eastAsia="仿宋"/>
          <w:b/>
          <w:sz w:val="32"/>
          <w:szCs w:val="32"/>
          <w:lang w:eastAsia="zh-CN"/>
        </w:rPr>
        <w:t>安全</w:t>
      </w:r>
      <w:r>
        <w:rPr>
          <w:rFonts w:hint="eastAsia" w:ascii="仿宋" w:hAnsi="仿宋" w:eastAsia="仿宋"/>
          <w:b/>
          <w:bCs/>
          <w:sz w:val="32"/>
          <w:szCs w:val="32"/>
        </w:rPr>
        <w:t>支出</w:t>
      </w:r>
      <w:r>
        <w:rPr>
          <w:rFonts w:hint="eastAsia" w:ascii="仿宋" w:hAnsi="仿宋" w:eastAsia="仿宋"/>
          <w:b/>
          <w:bCs/>
          <w:sz w:val="32"/>
          <w:szCs w:val="32"/>
          <w:lang w:val="en-US" w:eastAsia="zh-CN"/>
        </w:rPr>
        <w:t>489.71</w:t>
      </w:r>
      <w:r>
        <w:rPr>
          <w:rFonts w:hint="eastAsia" w:ascii="仿宋" w:hAnsi="仿宋" w:eastAsia="仿宋"/>
          <w:sz w:val="32"/>
          <w:szCs w:val="32"/>
        </w:rPr>
        <w:t>万元，占</w:t>
      </w:r>
      <w:r>
        <w:rPr>
          <w:rFonts w:hint="eastAsia" w:ascii="仿宋" w:hAnsi="仿宋" w:eastAsia="仿宋"/>
          <w:sz w:val="32"/>
          <w:szCs w:val="32"/>
          <w:lang w:val="en-US" w:eastAsia="zh-CN"/>
        </w:rPr>
        <w:t>97.9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10.5</w:t>
      </w:r>
      <w:r>
        <w:rPr>
          <w:rFonts w:hint="eastAsia" w:ascii="仿宋" w:hAnsi="仿宋" w:eastAsia="仿宋"/>
          <w:sz w:val="32"/>
          <w:szCs w:val="32"/>
        </w:rPr>
        <w:t>万元，占</w:t>
      </w:r>
      <w:r>
        <w:rPr>
          <w:rFonts w:hint="eastAsia" w:ascii="仿宋" w:hAnsi="仿宋" w:eastAsia="仿宋"/>
          <w:sz w:val="32"/>
          <w:szCs w:val="32"/>
          <w:lang w:val="en-US" w:eastAsia="zh-CN"/>
        </w:rPr>
        <w:t>2.1</w:t>
      </w:r>
      <w:r>
        <w:rPr>
          <w:rFonts w:ascii="仿宋" w:hAnsi="仿宋" w:eastAsia="仿宋"/>
          <w:sz w:val="32"/>
          <w:szCs w:val="32"/>
        </w:rPr>
        <w:t>%</w:t>
      </w:r>
      <w:r>
        <w:rPr>
          <w:rFonts w:hint="eastAsia" w:ascii="仿宋" w:hAnsi="仿宋" w:eastAsia="仿宋"/>
          <w:sz w:val="32"/>
          <w:szCs w:val="32"/>
        </w:rPr>
        <w:t>。</w:t>
      </w:r>
    </w:p>
    <w:p>
      <w:pPr>
        <w:spacing w:line="600" w:lineRule="exact"/>
        <w:ind w:firstLine="420" w:firstLineChars="200"/>
        <w:jc w:val="center"/>
        <w:rPr>
          <w:rFonts w:eastAsia="仿宋"/>
          <w:i/>
          <w:color w:val="000000"/>
          <w:sz w:val="32"/>
          <w:szCs w:val="32"/>
          <w:highlight w:val="none"/>
        </w:rPr>
      </w:pPr>
      <w:r>
        <w:rPr>
          <w:highlight w:val="none"/>
        </w:rPr>
        <w:drawing>
          <wp:anchor distT="0" distB="0" distL="114300" distR="114300" simplePos="0" relativeHeight="251662336" behindDoc="0" locked="0" layoutInCell="1" allowOverlap="1">
            <wp:simplePos x="0" y="0"/>
            <wp:positionH relativeFrom="column">
              <wp:posOffset>242570</wp:posOffset>
            </wp:positionH>
            <wp:positionV relativeFrom="paragraph">
              <wp:posOffset>285115</wp:posOffset>
            </wp:positionV>
            <wp:extent cx="4572000" cy="2743200"/>
            <wp:effectExtent l="4445" t="4445" r="14605" b="14605"/>
            <wp:wrapTopAndBottom/>
            <wp:docPr id="14"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eastAsia="仿宋"/>
          <w:i/>
          <w:color w:val="000000"/>
          <w:sz w:val="32"/>
          <w:szCs w:val="32"/>
          <w:highlight w:val="none"/>
        </w:rPr>
        <w:t>（图6：一般公共预算财政拨款支出决算结构）</w:t>
      </w:r>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p>
    <w:p>
      <w:pPr>
        <w:spacing w:line="600" w:lineRule="exact"/>
        <w:ind w:firstLine="643" w:firstLineChars="200"/>
        <w:outlineLvl w:val="2"/>
        <w:rPr>
          <w:rFonts w:ascii="仿宋" w:hAnsi="仿宋" w:eastAsia="仿宋"/>
          <w:sz w:val="32"/>
          <w:szCs w:val="32"/>
        </w:rPr>
      </w:pPr>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500.21</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100.0</w:t>
      </w:r>
      <w:r>
        <w:rPr>
          <w:rStyle w:val="18"/>
          <w:rFonts w:ascii="仿宋" w:hAnsi="仿宋" w:eastAsia="仿宋"/>
          <w:bCs/>
          <w:sz w:val="32"/>
          <w:szCs w:val="32"/>
        </w:rPr>
        <w:t>%</w:t>
      </w:r>
      <w:r>
        <w:rPr>
          <w:rStyle w:val="18"/>
          <w:rFonts w:hint="eastAsia" w:ascii="仿宋" w:hAnsi="仿宋" w:eastAsia="仿宋"/>
          <w:bCs/>
          <w:sz w:val="32"/>
          <w:szCs w:val="32"/>
        </w:rPr>
        <w:t>。其中：</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1.</w:t>
      </w:r>
      <w:r>
        <w:rPr>
          <w:rStyle w:val="18"/>
          <w:rFonts w:hint="eastAsia" w:ascii="仿宋" w:hAnsi="仿宋" w:eastAsia="仿宋"/>
          <w:bCs/>
          <w:sz w:val="32"/>
          <w:szCs w:val="32"/>
        </w:rPr>
        <w:t>公共</w:t>
      </w:r>
      <w:r>
        <w:rPr>
          <w:rStyle w:val="18"/>
          <w:rFonts w:hint="eastAsia" w:ascii="仿宋" w:hAnsi="仿宋" w:eastAsia="仿宋"/>
          <w:bCs/>
          <w:sz w:val="32"/>
          <w:szCs w:val="32"/>
          <w:lang w:eastAsia="zh-CN"/>
        </w:rPr>
        <w:t>安全</w:t>
      </w:r>
      <w:r>
        <w:rPr>
          <w:rStyle w:val="18"/>
          <w:rFonts w:hint="eastAsia" w:ascii="仿宋" w:hAnsi="仿宋" w:eastAsia="仿宋"/>
          <w:bCs/>
          <w:sz w:val="32"/>
          <w:szCs w:val="32"/>
        </w:rPr>
        <w:t>（类）</w:t>
      </w:r>
      <w:r>
        <w:rPr>
          <w:rStyle w:val="18"/>
          <w:rFonts w:hint="eastAsia" w:ascii="仿宋" w:hAnsi="仿宋" w:eastAsia="仿宋"/>
          <w:bCs/>
          <w:sz w:val="32"/>
          <w:szCs w:val="32"/>
          <w:lang w:eastAsia="zh-CN"/>
        </w:rPr>
        <w:t>检察</w:t>
      </w:r>
      <w:r>
        <w:rPr>
          <w:rStyle w:val="18"/>
          <w:rFonts w:hint="eastAsia" w:ascii="仿宋" w:hAnsi="仿宋" w:eastAsia="仿宋"/>
          <w:bCs/>
          <w:sz w:val="32"/>
          <w:szCs w:val="32"/>
        </w:rPr>
        <w:t>（款）</w:t>
      </w:r>
      <w:r>
        <w:rPr>
          <w:rStyle w:val="18"/>
          <w:rFonts w:hint="eastAsia" w:ascii="仿宋" w:hAnsi="仿宋" w:eastAsia="仿宋"/>
          <w:bCs/>
          <w:sz w:val="32"/>
          <w:szCs w:val="32"/>
          <w:lang w:eastAsia="zh-CN"/>
        </w:rPr>
        <w:t>行政运行</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345.91</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2.</w:t>
      </w:r>
      <w:r>
        <w:rPr>
          <w:rStyle w:val="18"/>
          <w:rFonts w:hint="eastAsia" w:ascii="仿宋" w:hAnsi="仿宋" w:eastAsia="仿宋"/>
          <w:bCs/>
          <w:sz w:val="32"/>
          <w:szCs w:val="32"/>
        </w:rPr>
        <w:t>公共</w:t>
      </w:r>
      <w:r>
        <w:rPr>
          <w:rStyle w:val="18"/>
          <w:rFonts w:hint="eastAsia" w:ascii="仿宋" w:hAnsi="仿宋" w:eastAsia="仿宋"/>
          <w:bCs/>
          <w:sz w:val="32"/>
          <w:szCs w:val="32"/>
          <w:lang w:eastAsia="zh-CN"/>
        </w:rPr>
        <w:t>安全</w:t>
      </w:r>
      <w:r>
        <w:rPr>
          <w:rStyle w:val="18"/>
          <w:rFonts w:hint="eastAsia" w:ascii="仿宋" w:hAnsi="仿宋" w:eastAsia="仿宋"/>
          <w:bCs/>
          <w:sz w:val="32"/>
          <w:szCs w:val="32"/>
        </w:rPr>
        <w:t>（类）</w:t>
      </w:r>
      <w:r>
        <w:rPr>
          <w:rStyle w:val="18"/>
          <w:rFonts w:hint="eastAsia" w:ascii="仿宋" w:hAnsi="仿宋" w:eastAsia="仿宋"/>
          <w:bCs/>
          <w:sz w:val="32"/>
          <w:szCs w:val="32"/>
          <w:lang w:eastAsia="zh-CN"/>
        </w:rPr>
        <w:t>检察</w:t>
      </w:r>
      <w:r>
        <w:rPr>
          <w:rStyle w:val="18"/>
          <w:rFonts w:hint="eastAsia" w:ascii="仿宋" w:hAnsi="仿宋" w:eastAsia="仿宋"/>
          <w:bCs/>
          <w:sz w:val="32"/>
          <w:szCs w:val="32"/>
        </w:rPr>
        <w:t>（款）</w:t>
      </w:r>
      <w:r>
        <w:rPr>
          <w:rStyle w:val="18"/>
          <w:rFonts w:hint="eastAsia" w:ascii="仿宋" w:hAnsi="仿宋" w:eastAsia="仿宋"/>
          <w:bCs/>
          <w:sz w:val="32"/>
          <w:szCs w:val="32"/>
          <w:lang w:eastAsia="zh-CN"/>
        </w:rPr>
        <w:t>检察监督</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137.57</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3.</w:t>
      </w:r>
      <w:r>
        <w:rPr>
          <w:rStyle w:val="18"/>
          <w:rFonts w:hint="eastAsia" w:ascii="仿宋" w:hAnsi="仿宋" w:eastAsia="仿宋"/>
          <w:bCs/>
          <w:sz w:val="32"/>
          <w:szCs w:val="32"/>
        </w:rPr>
        <w:t>公共</w:t>
      </w:r>
      <w:r>
        <w:rPr>
          <w:rStyle w:val="18"/>
          <w:rFonts w:hint="eastAsia" w:ascii="仿宋" w:hAnsi="仿宋" w:eastAsia="仿宋"/>
          <w:bCs/>
          <w:sz w:val="32"/>
          <w:szCs w:val="32"/>
          <w:lang w:eastAsia="zh-CN"/>
        </w:rPr>
        <w:t>安全</w:t>
      </w:r>
      <w:r>
        <w:rPr>
          <w:rStyle w:val="18"/>
          <w:rFonts w:hint="eastAsia" w:ascii="仿宋" w:hAnsi="仿宋" w:eastAsia="仿宋"/>
          <w:bCs/>
          <w:sz w:val="32"/>
          <w:szCs w:val="32"/>
        </w:rPr>
        <w:t>（类）</w:t>
      </w:r>
      <w:r>
        <w:rPr>
          <w:rStyle w:val="18"/>
          <w:rFonts w:hint="eastAsia" w:ascii="仿宋" w:hAnsi="仿宋" w:eastAsia="仿宋"/>
          <w:bCs/>
          <w:sz w:val="32"/>
          <w:szCs w:val="32"/>
          <w:lang w:eastAsia="zh-CN"/>
        </w:rPr>
        <w:t>检察</w:t>
      </w:r>
      <w:r>
        <w:rPr>
          <w:rStyle w:val="18"/>
          <w:rFonts w:hint="eastAsia" w:ascii="仿宋" w:hAnsi="仿宋" w:eastAsia="仿宋"/>
          <w:bCs/>
          <w:sz w:val="32"/>
          <w:szCs w:val="32"/>
        </w:rPr>
        <w:t>（款）</w:t>
      </w:r>
      <w:r>
        <w:rPr>
          <w:rStyle w:val="18"/>
          <w:rFonts w:hint="eastAsia" w:ascii="仿宋" w:hAnsi="仿宋" w:eastAsia="仿宋"/>
          <w:bCs/>
          <w:sz w:val="32"/>
          <w:szCs w:val="32"/>
          <w:lang w:eastAsia="zh-CN"/>
        </w:rPr>
        <w:t>事业运行</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6.23</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hint="eastAsia" w:ascii="仿宋" w:hAnsi="仿宋" w:eastAsia="仿宋"/>
          <w:bCs/>
          <w:sz w:val="32"/>
          <w:szCs w:val="32"/>
          <w:lang w:val="en-US" w:eastAsia="zh-CN"/>
        </w:rPr>
        <w:t>4</w:t>
      </w:r>
      <w:r>
        <w:rPr>
          <w:rStyle w:val="18"/>
          <w:rFonts w:ascii="仿宋" w:hAnsi="仿宋" w:eastAsia="仿宋"/>
          <w:bCs/>
          <w:sz w:val="32"/>
          <w:szCs w:val="32"/>
        </w:rPr>
        <w:t>.</w:t>
      </w:r>
      <w:r>
        <w:rPr>
          <w:rStyle w:val="18"/>
          <w:rFonts w:hint="eastAsia" w:ascii="仿宋" w:hAnsi="仿宋" w:eastAsia="仿宋"/>
          <w:bCs/>
          <w:sz w:val="32"/>
          <w:szCs w:val="32"/>
        </w:rPr>
        <w:t>社会保障和就业（类）</w:t>
      </w:r>
      <w:r>
        <w:rPr>
          <w:rStyle w:val="18"/>
          <w:rFonts w:hint="eastAsia" w:ascii="仿宋" w:hAnsi="仿宋" w:eastAsia="仿宋"/>
          <w:bCs/>
          <w:sz w:val="32"/>
          <w:szCs w:val="32"/>
          <w:lang w:eastAsia="zh-CN"/>
        </w:rPr>
        <w:t>行政事业单位养老支出</w:t>
      </w:r>
      <w:r>
        <w:rPr>
          <w:rStyle w:val="18"/>
          <w:rFonts w:hint="eastAsia" w:ascii="仿宋" w:hAnsi="仿宋" w:eastAsia="仿宋"/>
          <w:bCs/>
          <w:sz w:val="32"/>
          <w:szCs w:val="32"/>
        </w:rPr>
        <w:t>（款）</w:t>
      </w:r>
      <w:r>
        <w:rPr>
          <w:rStyle w:val="18"/>
          <w:rFonts w:hint="eastAsia" w:ascii="仿宋" w:hAnsi="仿宋" w:eastAsia="仿宋"/>
          <w:bCs/>
          <w:sz w:val="32"/>
          <w:szCs w:val="32"/>
          <w:lang w:eastAsia="zh-CN"/>
        </w:rPr>
        <w:t>机关事业单位职业年金缴费支出</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10.5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tabs>
          <w:tab w:val="right" w:pos="8306"/>
        </w:tabs>
        <w:spacing w:line="600" w:lineRule="exact"/>
        <w:ind w:firstLine="640"/>
        <w:outlineLvl w:val="1"/>
        <w:rPr>
          <w:rStyle w:val="20"/>
        </w:rPr>
      </w:pPr>
      <w:bookmarkStart w:id="25" w:name="_Toc32060"/>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25"/>
      <w:r>
        <w:rPr>
          <w:rStyle w:val="20"/>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500.21</w:t>
      </w:r>
      <w:r>
        <w:rPr>
          <w:rFonts w:hint="eastAsia" w:ascii="仿宋" w:hAnsi="仿宋" w:eastAsia="仿宋"/>
          <w:sz w:val="32"/>
          <w:szCs w:val="32"/>
        </w:rPr>
        <w:t>万元，其中：</w:t>
      </w:r>
    </w:p>
    <w:p>
      <w:pPr>
        <w:spacing w:line="600" w:lineRule="exact"/>
        <w:ind w:firstLine="645"/>
        <w:rPr>
          <w:rFonts w:hint="eastAsia" w:ascii="仿宋" w:hAnsi="仿宋" w:eastAsia="仿宋"/>
          <w:b/>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370.51</w:t>
      </w:r>
      <w:r>
        <w:rPr>
          <w:rFonts w:hint="eastAsia" w:ascii="仿宋" w:hAnsi="仿宋" w:eastAsia="仿宋"/>
          <w:sz w:val="32"/>
          <w:szCs w:val="32"/>
        </w:rPr>
        <w:t>万元，主要包括：基本工资、津贴补贴、绩效工资、职业年金缴费、其他社会保障缴费</w:t>
      </w:r>
      <w:r>
        <w:rPr>
          <w:rFonts w:hint="eastAsia" w:ascii="仿宋" w:hAnsi="仿宋" w:eastAsia="仿宋"/>
          <w:sz w:val="32"/>
          <w:szCs w:val="32"/>
          <w:lang w:eastAsia="zh-CN"/>
        </w:rPr>
        <w:t>、</w:t>
      </w:r>
      <w:r>
        <w:rPr>
          <w:rFonts w:hint="eastAsia" w:ascii="仿宋" w:hAnsi="仿宋" w:eastAsia="仿宋"/>
          <w:sz w:val="32"/>
          <w:szCs w:val="32"/>
        </w:rPr>
        <w:t>抚恤金、生活补助、奖励金、其他对个人和家庭的补助支出等。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64.54</w:t>
      </w:r>
      <w:r>
        <w:rPr>
          <w:rFonts w:hint="eastAsia" w:ascii="仿宋" w:hAnsi="仿宋" w:eastAsia="仿宋"/>
          <w:sz w:val="32"/>
          <w:szCs w:val="32"/>
        </w:rPr>
        <w:t>万元，主要包括：办公费、水费、电费、邮电费、差旅费、维修（护）费、培训费、劳务费</w:t>
      </w:r>
      <w:r>
        <w:rPr>
          <w:rFonts w:hint="eastAsia" w:ascii="仿宋" w:hAnsi="仿宋" w:eastAsia="仿宋"/>
          <w:sz w:val="32"/>
          <w:szCs w:val="32"/>
          <w:lang w:eastAsia="zh-CN"/>
        </w:rPr>
        <w:t>、</w:t>
      </w:r>
      <w:r>
        <w:rPr>
          <w:rFonts w:hint="eastAsia" w:ascii="仿宋" w:hAnsi="仿宋" w:eastAsia="仿宋"/>
          <w:sz w:val="32"/>
          <w:szCs w:val="32"/>
        </w:rPr>
        <w:t>工会经费、福利费、其他交通费</w:t>
      </w:r>
      <w:r>
        <w:rPr>
          <w:rFonts w:hint="eastAsia" w:ascii="仿宋" w:hAnsi="仿宋" w:eastAsia="仿宋"/>
          <w:sz w:val="32"/>
          <w:szCs w:val="32"/>
          <w:lang w:eastAsia="zh-CN"/>
        </w:rPr>
        <w:t>、</w:t>
      </w:r>
      <w:r>
        <w:rPr>
          <w:rFonts w:hint="eastAsia" w:ascii="仿宋" w:hAnsi="仿宋" w:eastAsia="仿宋"/>
          <w:sz w:val="32"/>
          <w:szCs w:val="32"/>
        </w:rPr>
        <w:t>其他商品和服务支出、办公设备购置等。</w:t>
      </w:r>
    </w:p>
    <w:p>
      <w:pPr>
        <w:spacing w:line="600" w:lineRule="exact"/>
        <w:ind w:firstLine="640"/>
        <w:outlineLvl w:val="1"/>
        <w:rPr>
          <w:rStyle w:val="20"/>
          <w:rFonts w:ascii="黑体" w:hAnsi="黑体" w:eastAsia="黑体"/>
          <w:b w:val="0"/>
        </w:rPr>
      </w:pPr>
      <w:bookmarkStart w:id="26" w:name="_Toc2225"/>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26"/>
    </w:p>
    <w:p>
      <w:pPr>
        <w:spacing w:line="600" w:lineRule="exact"/>
        <w:ind w:firstLine="640"/>
        <w:outlineLvl w:val="2"/>
        <w:rPr>
          <w:rFonts w:ascii="仿宋" w:hAnsi="仿宋" w:eastAsia="仿宋"/>
          <w:b/>
          <w:sz w:val="32"/>
          <w:szCs w:val="32"/>
        </w:rPr>
      </w:pPr>
      <w:r>
        <w:rPr>
          <w:rFonts w:hint="eastAsia" w:ascii="仿宋" w:hAnsi="仿宋" w:eastAsia="仿宋"/>
          <w:b/>
          <w:sz w:val="32"/>
          <w:szCs w:val="32"/>
        </w:rPr>
        <w:t>（一）“三公”经费财政拨款支出决算总体情况说明</w:t>
      </w:r>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0</w:t>
      </w:r>
      <w:r>
        <w:rPr>
          <w:rFonts w:hint="eastAsia" w:ascii="仿宋" w:hAnsi="仿宋" w:eastAsia="仿宋"/>
          <w:sz w:val="32"/>
          <w:szCs w:val="32"/>
        </w:rPr>
        <w:t>万元，完成预算</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21.01</w:t>
      </w:r>
      <w:r>
        <w:rPr>
          <w:rFonts w:hint="eastAsia" w:ascii="仿宋" w:hAnsi="仿宋" w:eastAsia="仿宋"/>
          <w:sz w:val="32"/>
          <w:szCs w:val="32"/>
        </w:rPr>
        <w:t>万元，下降</w:t>
      </w:r>
      <w:r>
        <w:rPr>
          <w:rFonts w:hint="eastAsia" w:ascii="仿宋" w:hAnsi="仿宋" w:eastAsia="仿宋"/>
          <w:sz w:val="32"/>
          <w:szCs w:val="32"/>
          <w:lang w:val="en-US" w:eastAsia="zh-CN"/>
        </w:rPr>
        <w:t>100.0</w:t>
      </w:r>
      <w:r>
        <w:rPr>
          <w:rFonts w:hint="eastAsia" w:ascii="仿宋" w:hAnsi="仿宋" w:eastAsia="仿宋"/>
          <w:sz w:val="32"/>
          <w:szCs w:val="32"/>
        </w:rPr>
        <w:t>%。决算数小于预算数的主要原因</w:t>
      </w:r>
      <w:r>
        <w:rPr>
          <w:rFonts w:hint="eastAsia" w:ascii="仿宋_GB2312" w:hAnsi="宋体" w:eastAsia="仿宋_GB2312" w:cs="宋体"/>
          <w:color w:val="000000"/>
          <w:kern w:val="0"/>
          <w:sz w:val="32"/>
          <w:szCs w:val="32"/>
          <w:shd w:val="clear" w:color="auto" w:fill="FFFFFF"/>
          <w:lang w:val="zh-CN"/>
        </w:rPr>
        <w:t>是</w:t>
      </w:r>
      <w:r>
        <w:rPr>
          <w:rFonts w:hint="eastAsia" w:ascii="仿宋_GB2312" w:hAnsi="宋体" w:eastAsia="仿宋_GB2312" w:cs="宋体"/>
          <w:color w:val="000000"/>
          <w:kern w:val="0"/>
          <w:sz w:val="32"/>
          <w:szCs w:val="32"/>
          <w:shd w:val="clear" w:color="auto" w:fill="FFFFFF"/>
          <w:lang w:val="en-US" w:eastAsia="zh-CN"/>
        </w:rPr>
        <w:t>2022年省以下地方法院检察院财物统一管理改革，我院上划至市财政管理，经费由市财政代拨，决算时未纳入财政拨款支出</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r>
        <w:rPr>
          <w:rFonts w:hint="eastAsia" w:ascii="仿宋" w:hAnsi="仿宋" w:eastAsia="仿宋"/>
          <w:b/>
          <w:sz w:val="32"/>
          <w:szCs w:val="32"/>
        </w:rPr>
        <w:t>（二）“三公”经费财政拨款支出决算具体情况说明</w:t>
      </w:r>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eastAsia="仿宋"/>
          <w:i/>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w:t>
      </w:r>
    </w:p>
    <w:p>
      <w:pPr>
        <w:spacing w:line="600" w:lineRule="exact"/>
        <w:ind w:firstLine="640"/>
        <w:rPr>
          <w:rFonts w:eastAsia="仿宋"/>
          <w:color w:val="000000"/>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8</w:t>
      </w:r>
      <w:r>
        <w:rPr>
          <w:rFonts w:hint="eastAsia" w:ascii="仿宋_GB2312" w:eastAsia="仿宋_GB2312"/>
          <w:sz w:val="32"/>
          <w:szCs w:val="32"/>
        </w:rPr>
        <w:t>辆，其中：轿车</w:t>
      </w:r>
      <w:r>
        <w:rPr>
          <w:rFonts w:hint="eastAsia" w:ascii="仿宋_GB2312" w:eastAsia="仿宋_GB2312"/>
          <w:sz w:val="32"/>
          <w:szCs w:val="32"/>
          <w:lang w:val="en-US" w:eastAsia="zh-CN"/>
        </w:rPr>
        <w:t>6</w:t>
      </w:r>
      <w:r>
        <w:rPr>
          <w:rFonts w:hint="eastAsia" w:ascii="仿宋_GB2312" w:eastAsia="仿宋_GB2312"/>
          <w:sz w:val="32"/>
          <w:szCs w:val="32"/>
        </w:rPr>
        <w:t>辆、越野车</w:t>
      </w:r>
      <w:r>
        <w:rPr>
          <w:rFonts w:hint="eastAsia" w:ascii="仿宋_GB2312" w:eastAsia="仿宋_GB2312"/>
          <w:sz w:val="32"/>
          <w:szCs w:val="32"/>
          <w:lang w:val="en-US" w:eastAsia="zh-CN"/>
        </w:rPr>
        <w:t>2</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hint="eastAsia" w:ascii="仿宋_GB2312" w:eastAsia="仿宋_GB2312"/>
          <w:sz w:val="32"/>
          <w:szCs w:val="32"/>
          <w:lang w:val="en-US" w:eastAsia="zh-CN"/>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w:t>
      </w:r>
      <w:r>
        <w:rPr>
          <w:rFonts w:hint="eastAsia" w:ascii="仿宋_GB2312" w:eastAsia="仿宋_GB2312"/>
          <w:sz w:val="32"/>
          <w:szCs w:val="32"/>
        </w:rPr>
        <w:t>万元。国内公务接待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p>
    <w:p>
      <w:pPr>
        <w:spacing w:line="600" w:lineRule="exact"/>
        <w:ind w:firstLine="640"/>
        <w:outlineLvl w:val="1"/>
        <w:rPr>
          <w:rStyle w:val="20"/>
          <w:rFonts w:ascii="黑体" w:hAnsi="黑体" w:eastAsia="黑体"/>
        </w:rPr>
      </w:pPr>
      <w:bookmarkStart w:id="27" w:name="_Toc32390"/>
      <w:r>
        <w:rPr>
          <w:rFonts w:hint="eastAsia" w:ascii="黑体" w:eastAsia="黑体"/>
          <w:sz w:val="32"/>
          <w:szCs w:val="32"/>
        </w:rPr>
        <w:t>八、</w:t>
      </w:r>
      <w:r>
        <w:rPr>
          <w:rStyle w:val="20"/>
          <w:rFonts w:hint="eastAsia" w:ascii="黑体" w:hAnsi="黑体" w:eastAsia="黑体"/>
          <w:b w:val="0"/>
        </w:rPr>
        <w:t>政府性基金预算支出决算情况说明</w:t>
      </w:r>
      <w:bookmarkEnd w:id="27"/>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20"/>
          <w:rFonts w:ascii="黑体" w:hAnsi="黑体" w:eastAsia="黑体"/>
          <w:b w:val="0"/>
        </w:rPr>
      </w:pPr>
      <w:bookmarkStart w:id="28" w:name="_Toc21397"/>
      <w:r>
        <w:rPr>
          <w:rStyle w:val="20"/>
          <w:rFonts w:hint="eastAsia" w:ascii="黑体" w:hAnsi="黑体" w:eastAsia="黑体"/>
          <w:b w:val="0"/>
        </w:rPr>
        <w:t>国有资本经营预算支出决算情况说明</w:t>
      </w:r>
      <w:bookmarkEnd w:id="28"/>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20"/>
          <w:rFonts w:ascii="黑体" w:hAnsi="黑体" w:eastAsia="黑体"/>
          <w:b w:val="0"/>
        </w:rPr>
      </w:pPr>
      <w:bookmarkStart w:id="29" w:name="_Toc29488"/>
      <w:r>
        <w:rPr>
          <w:rStyle w:val="20"/>
          <w:rFonts w:hint="eastAsia" w:ascii="黑体" w:hAnsi="黑体" w:eastAsia="黑体"/>
          <w:b w:val="0"/>
        </w:rPr>
        <w:t>其他重要事项的情况说明</w:t>
      </w:r>
      <w:bookmarkEnd w:id="29"/>
    </w:p>
    <w:p>
      <w:pPr>
        <w:spacing w:line="600" w:lineRule="exact"/>
        <w:ind w:firstLine="643" w:firstLineChars="200"/>
        <w:outlineLvl w:val="2"/>
        <w:rPr>
          <w:rFonts w:ascii="仿宋" w:hAnsi="仿宋" w:eastAsia="仿宋"/>
          <w:sz w:val="32"/>
          <w:szCs w:val="32"/>
        </w:rPr>
      </w:pPr>
      <w:r>
        <w:rPr>
          <w:rFonts w:hint="eastAsia" w:ascii="仿宋" w:hAnsi="仿宋" w:eastAsia="仿宋"/>
          <w:b/>
          <w:sz w:val="32"/>
          <w:szCs w:val="32"/>
        </w:rPr>
        <w:t>（一）机关运行经费支出情况</w:t>
      </w:r>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乐至县人民检察院</w:t>
      </w:r>
      <w:r>
        <w:rPr>
          <w:rFonts w:hint="eastAsia" w:ascii="仿宋_GB2312" w:eastAsia="仿宋_GB2312"/>
          <w:sz w:val="32"/>
          <w:szCs w:val="32"/>
        </w:rPr>
        <w:t>机关运行经费支出</w:t>
      </w:r>
      <w:r>
        <w:rPr>
          <w:rFonts w:hint="eastAsia" w:ascii="仿宋_GB2312" w:eastAsia="仿宋_GB2312"/>
          <w:sz w:val="32"/>
          <w:szCs w:val="32"/>
          <w:lang w:val="en-US" w:eastAsia="zh-CN"/>
        </w:rPr>
        <w:t>64.54</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460.76</w:t>
      </w:r>
      <w:r>
        <w:rPr>
          <w:rFonts w:hint="eastAsia" w:ascii="仿宋_GB2312" w:eastAsia="仿宋_GB2312"/>
          <w:sz w:val="32"/>
          <w:szCs w:val="32"/>
        </w:rPr>
        <w:t>万元，下降</w:t>
      </w:r>
      <w:r>
        <w:rPr>
          <w:rFonts w:hint="eastAsia" w:ascii="仿宋_GB2312" w:eastAsia="仿宋_GB2312"/>
          <w:sz w:val="32"/>
          <w:szCs w:val="32"/>
          <w:lang w:val="en-US" w:eastAsia="zh-CN"/>
        </w:rPr>
        <w:t>87.7</w:t>
      </w:r>
      <w:r>
        <w:rPr>
          <w:rFonts w:ascii="仿宋_GB2312" w:eastAsia="仿宋_GB2312"/>
          <w:sz w:val="32"/>
          <w:szCs w:val="32"/>
        </w:rPr>
        <w:t>%</w:t>
      </w:r>
      <w:r>
        <w:rPr>
          <w:rFonts w:hint="eastAsia" w:ascii="仿宋_GB2312" w:eastAsia="仿宋_GB2312"/>
          <w:sz w:val="32"/>
          <w:szCs w:val="32"/>
        </w:rPr>
        <w:t>。主要原因是</w:t>
      </w:r>
      <w:r>
        <w:rPr>
          <w:rFonts w:hint="eastAsia" w:ascii="仿宋_GB2312" w:hAnsi="宋体" w:eastAsia="仿宋_GB2312" w:cs="宋体"/>
          <w:color w:val="000000"/>
          <w:kern w:val="0"/>
          <w:sz w:val="32"/>
          <w:szCs w:val="32"/>
          <w:shd w:val="clear" w:color="auto" w:fill="FFFFFF"/>
          <w:lang w:val="en-US" w:eastAsia="zh-CN"/>
        </w:rPr>
        <w:t>2022年省以下地方法院检察院财物统一管理改革，我院上划至市财政管理，经费由市财政代拨，决算时未纳入财政拨款支出</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乐至县人民检察院</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（三）国有资产占有使用情况</w:t>
      </w:r>
    </w:p>
    <w:p>
      <w:pPr>
        <w:autoSpaceDE w:val="0"/>
        <w:autoSpaceDN w:val="0"/>
        <w:adjustRightInd w:val="0"/>
        <w:spacing w:line="600" w:lineRule="exact"/>
        <w:ind w:firstLine="640" w:firstLineChars="200"/>
        <w:jc w:val="left"/>
        <w:rPr>
          <w:rFonts w:eastAsia="仿宋"/>
          <w:i/>
          <w:color w:val="000000"/>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乐至县人民检察院</w:t>
      </w:r>
      <w:r>
        <w:rPr>
          <w:rFonts w:hint="eastAsia" w:ascii="仿宋_GB2312" w:eastAsia="仿宋_GB2312"/>
          <w:sz w:val="32"/>
          <w:szCs w:val="32"/>
        </w:rPr>
        <w:t>共有车辆</w:t>
      </w:r>
      <w:r>
        <w:rPr>
          <w:rFonts w:hint="eastAsia" w:ascii="仿宋_GB2312" w:eastAsia="仿宋_GB2312"/>
          <w:sz w:val="32"/>
          <w:szCs w:val="32"/>
          <w:lang w:val="en-US" w:eastAsia="zh-CN"/>
        </w:rPr>
        <w:t>8</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执法执勤用车</w:t>
      </w:r>
      <w:r>
        <w:rPr>
          <w:rFonts w:hint="eastAsia" w:ascii="仿宋_GB2312" w:eastAsia="仿宋_GB2312"/>
          <w:sz w:val="32"/>
          <w:szCs w:val="32"/>
          <w:lang w:val="en-US" w:eastAsia="zh-CN"/>
        </w:rPr>
        <w:t>8辆，</w:t>
      </w:r>
      <w:r>
        <w:rPr>
          <w:rFonts w:hint="eastAsia" w:ascii="仿宋_GB2312" w:eastAsia="仿宋_GB2312"/>
          <w:sz w:val="32"/>
          <w:szCs w:val="32"/>
        </w:rPr>
        <w:t>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根据预算绩效管理要求，本部门在2022年度预算编制阶段，组织对</w:t>
      </w:r>
      <w:r>
        <w:rPr>
          <w:rFonts w:hint="eastAsia" w:ascii="仿宋_GB2312" w:hAnsi="仿宋_GB2312" w:eastAsia="仿宋_GB2312" w:cs="仿宋_GB2312"/>
          <w:sz w:val="32"/>
          <w:szCs w:val="32"/>
          <w:lang w:eastAsia="zh-CN"/>
        </w:rPr>
        <w:t>非税收入征收管理工作经费</w:t>
      </w:r>
      <w:r>
        <w:rPr>
          <w:rFonts w:hint="eastAsia" w:ascii="仿宋_GB2312" w:hAnsi="仿宋_GB2312" w:eastAsia="仿宋_GB2312" w:cs="仿宋_GB2312"/>
          <w:sz w:val="32"/>
          <w:szCs w:val="32"/>
        </w:rPr>
        <w:t>项目等</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个项目开展绩效监控。</w:t>
      </w:r>
    </w:p>
    <w:p>
      <w:pPr>
        <w:widowControl/>
        <w:ind w:firstLine="640" w:firstLineChars="200"/>
        <w:jc w:val="left"/>
        <w:rPr>
          <w:rFonts w:eastAsia="仿宋_GB2312"/>
          <w:iCs/>
          <w:sz w:val="32"/>
          <w:szCs w:val="32"/>
          <w:highlight w:val="yellow"/>
        </w:rPr>
      </w:pPr>
      <w:r>
        <w:rPr>
          <w:rFonts w:hint="eastAsia" w:ascii="仿宋_GB2312" w:hAnsi="仿宋_GB2312" w:eastAsia="仿宋_GB2312" w:cs="仿宋_GB2312"/>
          <w:sz w:val="32"/>
          <w:szCs w:val="32"/>
        </w:rPr>
        <w:t>组织对2022年度一般公共预算全面开展绩效自评，形成</w:t>
      </w:r>
      <w:r>
        <w:rPr>
          <w:rFonts w:hint="eastAsia" w:ascii="仿宋_GB2312" w:hAnsi="仿宋_GB2312" w:eastAsia="仿宋_GB2312" w:cs="仿宋_GB2312"/>
          <w:sz w:val="32"/>
          <w:szCs w:val="32"/>
          <w:lang w:eastAsia="zh-CN"/>
        </w:rPr>
        <w:t>乐至县人民检察院非税收入征收管理工作经费</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eastAsia="zh-CN"/>
        </w:rPr>
        <w:t>非税收入征收管理工作经费</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95.67</w:t>
      </w:r>
      <w:r>
        <w:rPr>
          <w:rFonts w:hint="eastAsia" w:ascii="仿宋_GB2312" w:hAnsi="仿宋_GB2312" w:eastAsia="仿宋_GB2312" w:cs="仿宋_GB2312"/>
          <w:sz w:val="32"/>
          <w:szCs w:val="32"/>
        </w:rPr>
        <w:t>分。绩效自评报告详见附件。</w:t>
      </w:r>
    </w:p>
    <w:p>
      <w:pPr>
        <w:widowControl/>
        <w:ind w:firstLine="643" w:firstLineChars="200"/>
        <w:jc w:val="left"/>
        <w:rPr>
          <w:rFonts w:ascii="仿宋_GB2312" w:eastAsia="仿宋_GB2312"/>
          <w:b/>
          <w:sz w:val="32"/>
          <w:szCs w:val="32"/>
        </w:rPr>
      </w:pPr>
      <w:r>
        <w:rPr>
          <w:rFonts w:ascii="仿宋_GB2312" w:eastAsia="仿宋_GB2312"/>
          <w:b/>
          <w:sz w:val="32"/>
          <w:szCs w:val="32"/>
        </w:rPr>
        <w:br w:type="page"/>
      </w:r>
    </w:p>
    <w:p>
      <w:pPr>
        <w:pStyle w:val="7"/>
        <w:spacing w:before="93"/>
      </w:pPr>
    </w:p>
    <w:p>
      <w:pPr>
        <w:numPr>
          <w:ilvl w:val="0"/>
          <w:numId w:val="3"/>
        </w:numPr>
        <w:spacing w:line="600" w:lineRule="exact"/>
        <w:ind w:firstLine="660" w:firstLineChars="150"/>
        <w:jc w:val="center"/>
        <w:outlineLvl w:val="0"/>
        <w:rPr>
          <w:rStyle w:val="31"/>
          <w:rFonts w:ascii="黑体" w:hAnsi="黑体" w:eastAsia="黑体"/>
          <w:b w:val="0"/>
        </w:rPr>
      </w:pPr>
      <w:bookmarkStart w:id="30" w:name="_Toc12474"/>
      <w:r>
        <w:rPr>
          <w:rFonts w:hint="eastAsia" w:ascii="黑体" w:hAnsi="黑体" w:eastAsia="黑体"/>
          <w:sz w:val="44"/>
          <w:szCs w:val="44"/>
        </w:rPr>
        <w:t>名</w:t>
      </w:r>
      <w:r>
        <w:rPr>
          <w:rStyle w:val="31"/>
          <w:rFonts w:hint="eastAsia" w:ascii="黑体" w:hAnsi="黑体" w:eastAsia="黑体"/>
          <w:b w:val="0"/>
        </w:rPr>
        <w:t>词解释</w:t>
      </w:r>
      <w:bookmarkEnd w:id="30"/>
    </w:p>
    <w:p>
      <w:pPr>
        <w:spacing w:line="600" w:lineRule="exact"/>
        <w:jc w:val="left"/>
        <w:rPr>
          <w:rFonts w:ascii="宋体"/>
          <w:b/>
          <w:sz w:val="44"/>
          <w:szCs w:val="44"/>
        </w:rPr>
      </w:pP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eastAsia="zh-CN"/>
        </w:rPr>
      </w:pPr>
      <w:r>
        <w:rPr>
          <w:rFonts w:ascii="仿宋_GB2312" w:eastAsia="仿宋_GB2312"/>
          <w:sz w:val="32"/>
          <w:szCs w:val="32"/>
        </w:rPr>
        <w:t>9.</w:t>
      </w:r>
      <w:r>
        <w:rPr>
          <w:rFonts w:hint="default" w:ascii="仿宋_GB2312" w:hAnsi="宋体" w:eastAsia="仿宋_GB2312" w:cs="宋体"/>
          <w:color w:val="000000"/>
          <w:kern w:val="0"/>
          <w:sz w:val="32"/>
          <w:szCs w:val="32"/>
          <w:shd w:val="clear" w:color="auto" w:fill="FFFFFF"/>
          <w:lang w:val="zh-CN"/>
        </w:rPr>
        <w:t>公共安全</w:t>
      </w:r>
      <w:r>
        <w:rPr>
          <w:rFonts w:hint="eastAsia" w:ascii="仿宋_GB2312" w:hAnsi="宋体" w:eastAsia="仿宋_GB2312" w:cs="宋体"/>
          <w:color w:val="000000"/>
          <w:kern w:val="0"/>
          <w:sz w:val="32"/>
          <w:szCs w:val="32"/>
          <w:shd w:val="clear" w:color="auto" w:fill="FFFFFF"/>
          <w:lang w:val="zh-CN" w:eastAsia="zh-CN"/>
        </w:rPr>
        <w:t>支出</w:t>
      </w:r>
      <w:r>
        <w:rPr>
          <w:rFonts w:hint="default" w:ascii="仿宋_GB2312" w:hAnsi="宋体" w:eastAsia="仿宋_GB2312" w:cs="宋体"/>
          <w:color w:val="000000"/>
          <w:kern w:val="0"/>
          <w:sz w:val="32"/>
          <w:szCs w:val="32"/>
          <w:shd w:val="clear" w:color="auto" w:fill="FFFFFF"/>
          <w:lang w:val="zh-CN"/>
        </w:rPr>
        <w:t>（类）</w:t>
      </w:r>
      <w:r>
        <w:rPr>
          <w:rFonts w:hint="eastAsia" w:ascii="仿宋_GB2312" w:hAnsi="宋体" w:eastAsia="仿宋_GB2312" w:cs="宋体"/>
          <w:color w:val="000000"/>
          <w:kern w:val="0"/>
          <w:sz w:val="32"/>
          <w:szCs w:val="32"/>
          <w:shd w:val="clear" w:color="auto" w:fill="FFFFFF"/>
          <w:lang w:val="zh-CN" w:eastAsia="zh-CN"/>
        </w:rPr>
        <w:t>检察</w:t>
      </w:r>
      <w:r>
        <w:rPr>
          <w:rFonts w:hint="default" w:ascii="仿宋_GB2312" w:hAnsi="宋体" w:eastAsia="仿宋_GB2312" w:cs="宋体"/>
          <w:color w:val="000000"/>
          <w:kern w:val="0"/>
          <w:sz w:val="32"/>
          <w:szCs w:val="32"/>
          <w:shd w:val="clear" w:color="auto" w:fill="FFFFFF"/>
          <w:lang w:val="zh-CN"/>
        </w:rPr>
        <w:t>（款）</w:t>
      </w:r>
      <w:r>
        <w:rPr>
          <w:rFonts w:hint="eastAsia" w:ascii="仿宋_GB2312" w:hAnsi="宋体" w:eastAsia="仿宋_GB2312" w:cs="宋体"/>
          <w:color w:val="000000"/>
          <w:kern w:val="0"/>
          <w:sz w:val="32"/>
          <w:szCs w:val="32"/>
          <w:shd w:val="clear" w:color="auto" w:fill="FFFFFF"/>
          <w:lang w:val="zh-CN" w:eastAsia="zh-CN"/>
        </w:rPr>
        <w:t>行政运行</w:t>
      </w:r>
      <w:r>
        <w:rPr>
          <w:rFonts w:hint="default" w:ascii="仿宋_GB2312" w:hAnsi="宋体" w:eastAsia="仿宋_GB2312" w:cs="宋体"/>
          <w:color w:val="000000"/>
          <w:kern w:val="0"/>
          <w:sz w:val="32"/>
          <w:szCs w:val="32"/>
          <w:shd w:val="clear" w:color="auto" w:fill="FFFFFF"/>
          <w:lang w:val="zh-CN"/>
        </w:rPr>
        <w:t>（项）：指</w:t>
      </w:r>
      <w:r>
        <w:rPr>
          <w:rFonts w:hint="eastAsia" w:ascii="仿宋_GB2312" w:hAnsi="宋体" w:eastAsia="仿宋_GB2312" w:cs="宋体"/>
          <w:color w:val="000000"/>
          <w:kern w:val="0"/>
          <w:sz w:val="32"/>
          <w:szCs w:val="32"/>
          <w:shd w:val="clear" w:color="auto" w:fill="FFFFFF"/>
          <w:lang w:val="zh-CN" w:eastAsia="zh-CN"/>
        </w:rPr>
        <w:t>行政单位用于保障机构正常运行、开展日常工作的基本支出</w:t>
      </w:r>
      <w:r>
        <w:rPr>
          <w:rFonts w:hint="default" w:ascii="仿宋_GB2312" w:hAnsi="宋体" w:eastAsia="仿宋_GB2312" w:cs="宋体"/>
          <w:color w:val="000000"/>
          <w:kern w:val="0"/>
          <w:sz w:val="32"/>
          <w:szCs w:val="32"/>
          <w:shd w:val="clear" w:color="auto" w:fill="FFFFFF"/>
          <w:lang w:val="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ascii="仿宋_GB2312" w:eastAsia="仿宋_GB2312"/>
          <w:sz w:val="32"/>
          <w:szCs w:val="32"/>
        </w:rPr>
      </w:pPr>
      <w:r>
        <w:rPr>
          <w:rFonts w:ascii="仿宋_GB2312" w:eastAsia="仿宋_GB2312"/>
          <w:sz w:val="32"/>
          <w:szCs w:val="32"/>
        </w:rPr>
        <w:t>10.</w:t>
      </w:r>
      <w:r>
        <w:rPr>
          <w:rFonts w:hint="default" w:ascii="仿宋_GB2312" w:hAnsi="宋体" w:eastAsia="仿宋_GB2312" w:cs="宋体"/>
          <w:color w:val="000000"/>
          <w:kern w:val="0"/>
          <w:sz w:val="32"/>
          <w:szCs w:val="32"/>
          <w:shd w:val="clear" w:color="auto" w:fill="FFFFFF"/>
          <w:lang w:val="en-US" w:eastAsia="zh-CN"/>
        </w:rPr>
        <w:t>公共安全</w:t>
      </w:r>
      <w:r>
        <w:rPr>
          <w:rFonts w:hint="eastAsia" w:ascii="仿宋_GB2312" w:hAnsi="宋体" w:eastAsia="仿宋_GB2312" w:cs="宋体"/>
          <w:color w:val="000000"/>
          <w:kern w:val="0"/>
          <w:sz w:val="32"/>
          <w:szCs w:val="32"/>
          <w:shd w:val="clear" w:color="auto" w:fill="FFFFFF"/>
          <w:lang w:val="en-US" w:eastAsia="zh-CN"/>
        </w:rPr>
        <w:t>支出</w:t>
      </w:r>
      <w:r>
        <w:rPr>
          <w:rFonts w:hint="default" w:ascii="仿宋_GB2312" w:hAnsi="宋体" w:eastAsia="仿宋_GB2312" w:cs="宋体"/>
          <w:color w:val="000000"/>
          <w:kern w:val="0"/>
          <w:sz w:val="32"/>
          <w:szCs w:val="32"/>
          <w:shd w:val="clear" w:color="auto" w:fill="FFFFFF"/>
          <w:lang w:val="en-US" w:eastAsia="zh-CN"/>
        </w:rPr>
        <w:t>（类）</w:t>
      </w:r>
      <w:r>
        <w:rPr>
          <w:rFonts w:hint="eastAsia" w:ascii="仿宋_GB2312" w:hAnsi="宋体" w:eastAsia="仿宋_GB2312" w:cs="宋体"/>
          <w:color w:val="000000"/>
          <w:kern w:val="0"/>
          <w:sz w:val="32"/>
          <w:szCs w:val="32"/>
          <w:shd w:val="clear" w:color="auto" w:fill="FFFFFF"/>
          <w:lang w:val="en-US" w:eastAsia="zh-CN"/>
        </w:rPr>
        <w:t>检察</w:t>
      </w:r>
      <w:r>
        <w:rPr>
          <w:rFonts w:hint="default" w:ascii="仿宋_GB2312" w:hAnsi="宋体" w:eastAsia="仿宋_GB2312" w:cs="宋体"/>
          <w:color w:val="000000"/>
          <w:kern w:val="0"/>
          <w:sz w:val="32"/>
          <w:szCs w:val="32"/>
          <w:shd w:val="clear" w:color="auto" w:fill="FFFFFF"/>
          <w:lang w:val="en-US" w:eastAsia="zh-CN"/>
        </w:rPr>
        <w:t>（款）</w:t>
      </w:r>
      <w:r>
        <w:rPr>
          <w:rFonts w:hint="eastAsia" w:ascii="仿宋_GB2312" w:hAnsi="宋体" w:eastAsia="仿宋_GB2312" w:cs="宋体"/>
          <w:color w:val="000000"/>
          <w:kern w:val="0"/>
          <w:sz w:val="32"/>
          <w:szCs w:val="32"/>
          <w:shd w:val="clear" w:color="auto" w:fill="FFFFFF"/>
          <w:lang w:val="en-US" w:eastAsia="zh-CN"/>
        </w:rPr>
        <w:t>检察监督</w:t>
      </w:r>
      <w:r>
        <w:rPr>
          <w:rFonts w:hint="default" w:ascii="仿宋_GB2312" w:hAnsi="宋体" w:eastAsia="仿宋_GB2312" w:cs="宋体"/>
          <w:color w:val="000000"/>
          <w:kern w:val="0"/>
          <w:sz w:val="32"/>
          <w:szCs w:val="32"/>
          <w:shd w:val="clear" w:color="auto" w:fill="FFFFFF"/>
          <w:lang w:val="en-US" w:eastAsia="zh-CN"/>
        </w:rPr>
        <w:t>（项）：指</w:t>
      </w:r>
      <w:r>
        <w:rPr>
          <w:rFonts w:hint="eastAsia" w:ascii="仿宋_GB2312" w:hAnsi="宋体" w:eastAsia="仿宋_GB2312" w:cs="宋体"/>
          <w:color w:val="000000"/>
          <w:kern w:val="0"/>
          <w:sz w:val="32"/>
          <w:szCs w:val="32"/>
          <w:shd w:val="clear" w:color="auto" w:fill="FFFFFF"/>
          <w:lang w:val="zh-CN" w:eastAsia="zh-CN"/>
        </w:rPr>
        <w:t>检察机关依法开展法律监督工作的支出，包括侦察监督、公诉、审判监督、执行监督、民事行政监督、公益诉讼、控告申诉等</w:t>
      </w:r>
      <w:r>
        <w:rPr>
          <w:rFonts w:hint="default" w:ascii="仿宋_GB2312" w:hAnsi="宋体" w:eastAsia="仿宋_GB2312" w:cs="宋体"/>
          <w:color w:val="000000"/>
          <w:kern w:val="0"/>
          <w:sz w:val="32"/>
          <w:szCs w:val="32"/>
          <w:shd w:val="clear" w:color="auto" w:fill="FFFFFF"/>
          <w:lang w:val="en-US" w:eastAsia="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ascii="仿宋_GB2312" w:eastAsia="仿宋_GB2312"/>
          <w:sz w:val="32"/>
          <w:szCs w:val="32"/>
        </w:rPr>
        <w:t>11.</w:t>
      </w:r>
      <w:r>
        <w:rPr>
          <w:rFonts w:hint="default" w:ascii="仿宋_GB2312" w:hAnsi="宋体" w:eastAsia="仿宋_GB2312" w:cs="宋体"/>
          <w:color w:val="000000"/>
          <w:kern w:val="0"/>
          <w:sz w:val="32"/>
          <w:szCs w:val="32"/>
          <w:shd w:val="clear" w:color="auto" w:fill="FFFFFF"/>
          <w:lang w:val="zh-CN"/>
        </w:rPr>
        <w:t>公共安全</w:t>
      </w:r>
      <w:r>
        <w:rPr>
          <w:rFonts w:hint="eastAsia" w:ascii="仿宋_GB2312" w:hAnsi="宋体" w:eastAsia="仿宋_GB2312" w:cs="宋体"/>
          <w:color w:val="000000"/>
          <w:kern w:val="0"/>
          <w:sz w:val="32"/>
          <w:szCs w:val="32"/>
          <w:shd w:val="clear" w:color="auto" w:fill="FFFFFF"/>
          <w:lang w:val="zh-CN" w:eastAsia="zh-CN"/>
        </w:rPr>
        <w:t>支出</w:t>
      </w:r>
      <w:r>
        <w:rPr>
          <w:rFonts w:hint="default" w:ascii="仿宋_GB2312" w:hAnsi="宋体" w:eastAsia="仿宋_GB2312" w:cs="宋体"/>
          <w:color w:val="000000"/>
          <w:kern w:val="0"/>
          <w:sz w:val="32"/>
          <w:szCs w:val="32"/>
          <w:shd w:val="clear" w:color="auto" w:fill="FFFFFF"/>
          <w:lang w:val="zh-CN"/>
        </w:rPr>
        <w:t>（类）</w:t>
      </w:r>
      <w:r>
        <w:rPr>
          <w:rFonts w:hint="eastAsia" w:ascii="仿宋_GB2312" w:hAnsi="宋体" w:eastAsia="仿宋_GB2312" w:cs="宋体"/>
          <w:color w:val="000000"/>
          <w:kern w:val="0"/>
          <w:sz w:val="32"/>
          <w:szCs w:val="32"/>
          <w:shd w:val="clear" w:color="auto" w:fill="FFFFFF"/>
          <w:lang w:val="zh-CN" w:eastAsia="zh-CN"/>
        </w:rPr>
        <w:t>检察</w:t>
      </w:r>
      <w:r>
        <w:rPr>
          <w:rFonts w:hint="default" w:ascii="仿宋_GB2312" w:hAnsi="宋体" w:eastAsia="仿宋_GB2312" w:cs="宋体"/>
          <w:color w:val="000000"/>
          <w:kern w:val="0"/>
          <w:sz w:val="32"/>
          <w:szCs w:val="32"/>
          <w:shd w:val="clear" w:color="auto" w:fill="FFFFFF"/>
          <w:lang w:val="zh-CN"/>
        </w:rPr>
        <w:t>（款）</w:t>
      </w:r>
      <w:r>
        <w:rPr>
          <w:rFonts w:hint="eastAsia" w:ascii="仿宋_GB2312" w:hAnsi="宋体" w:eastAsia="仿宋_GB2312" w:cs="宋体"/>
          <w:color w:val="000000"/>
          <w:kern w:val="0"/>
          <w:sz w:val="32"/>
          <w:szCs w:val="32"/>
          <w:shd w:val="clear" w:color="auto" w:fill="FFFFFF"/>
          <w:lang w:val="zh-CN" w:eastAsia="zh-CN"/>
        </w:rPr>
        <w:t>事业运行</w:t>
      </w:r>
      <w:r>
        <w:rPr>
          <w:rFonts w:hint="default" w:ascii="仿宋_GB2312" w:hAnsi="宋体" w:eastAsia="仿宋_GB2312" w:cs="宋体"/>
          <w:color w:val="000000"/>
          <w:kern w:val="0"/>
          <w:sz w:val="32"/>
          <w:szCs w:val="32"/>
          <w:shd w:val="clear" w:color="auto" w:fill="FFFFFF"/>
          <w:lang w:val="zh-CN"/>
        </w:rPr>
        <w:t>（项）：</w:t>
      </w:r>
      <w:r>
        <w:rPr>
          <w:rFonts w:hint="eastAsia" w:ascii="仿宋_GB2312" w:hAnsi="宋体" w:eastAsia="仿宋_GB2312" w:cs="宋体"/>
          <w:color w:val="000000"/>
          <w:kern w:val="0"/>
          <w:sz w:val="32"/>
          <w:szCs w:val="32"/>
          <w:shd w:val="clear" w:color="auto" w:fill="FFFFFF"/>
          <w:lang w:val="zh-CN" w:eastAsia="zh-CN"/>
        </w:rPr>
        <w:t>指事业单位用于保障机构正常运行、开展日常工作的基本支出。</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ascii="仿宋_GB2312" w:eastAsia="仿宋_GB2312"/>
          <w:sz w:val="32"/>
          <w:szCs w:val="32"/>
        </w:rPr>
        <w:t>12.</w:t>
      </w:r>
      <w:r>
        <w:rPr>
          <w:rFonts w:hint="default" w:ascii="仿宋_GB2312" w:hAnsi="宋体" w:eastAsia="仿宋_GB2312" w:cs="宋体"/>
          <w:color w:val="000000"/>
          <w:kern w:val="0"/>
          <w:sz w:val="32"/>
          <w:szCs w:val="32"/>
          <w:shd w:val="clear" w:color="auto" w:fill="FFFFFF"/>
          <w:lang w:val="zh-CN"/>
        </w:rPr>
        <w:t>公共安全</w:t>
      </w:r>
      <w:r>
        <w:rPr>
          <w:rFonts w:hint="eastAsia" w:ascii="仿宋_GB2312" w:hAnsi="宋体" w:eastAsia="仿宋_GB2312" w:cs="宋体"/>
          <w:color w:val="000000"/>
          <w:kern w:val="0"/>
          <w:sz w:val="32"/>
          <w:szCs w:val="32"/>
          <w:shd w:val="clear" w:color="auto" w:fill="FFFFFF"/>
          <w:lang w:val="zh-CN" w:eastAsia="zh-CN"/>
        </w:rPr>
        <w:t>支出</w:t>
      </w:r>
      <w:r>
        <w:rPr>
          <w:rFonts w:hint="default" w:ascii="仿宋_GB2312" w:hAnsi="宋体" w:eastAsia="仿宋_GB2312" w:cs="宋体"/>
          <w:color w:val="000000"/>
          <w:kern w:val="0"/>
          <w:sz w:val="32"/>
          <w:szCs w:val="32"/>
          <w:shd w:val="clear" w:color="auto" w:fill="FFFFFF"/>
          <w:lang w:val="zh-CN"/>
        </w:rPr>
        <w:t>（类）</w:t>
      </w:r>
      <w:r>
        <w:rPr>
          <w:rFonts w:hint="eastAsia" w:ascii="仿宋_GB2312" w:hAnsi="宋体" w:eastAsia="仿宋_GB2312" w:cs="宋体"/>
          <w:color w:val="000000"/>
          <w:kern w:val="0"/>
          <w:sz w:val="32"/>
          <w:szCs w:val="32"/>
          <w:shd w:val="clear" w:color="auto" w:fill="FFFFFF"/>
          <w:lang w:val="zh-CN" w:eastAsia="zh-CN"/>
        </w:rPr>
        <w:t>检察</w:t>
      </w:r>
      <w:r>
        <w:rPr>
          <w:rFonts w:hint="default" w:ascii="仿宋_GB2312" w:hAnsi="宋体" w:eastAsia="仿宋_GB2312" w:cs="宋体"/>
          <w:color w:val="000000"/>
          <w:kern w:val="0"/>
          <w:sz w:val="32"/>
          <w:szCs w:val="32"/>
          <w:shd w:val="clear" w:color="auto" w:fill="FFFFFF"/>
          <w:lang w:val="zh-CN"/>
        </w:rPr>
        <w:t>（款）</w:t>
      </w:r>
      <w:r>
        <w:rPr>
          <w:rFonts w:hint="eastAsia" w:ascii="仿宋_GB2312" w:hAnsi="宋体" w:eastAsia="仿宋_GB2312" w:cs="宋体"/>
          <w:color w:val="000000"/>
          <w:kern w:val="0"/>
          <w:sz w:val="32"/>
          <w:szCs w:val="32"/>
          <w:shd w:val="clear" w:color="auto" w:fill="FFFFFF"/>
          <w:lang w:val="zh-CN" w:eastAsia="zh-CN"/>
        </w:rPr>
        <w:t>其他检察支出</w:t>
      </w:r>
      <w:r>
        <w:rPr>
          <w:rFonts w:hint="default" w:ascii="仿宋_GB2312" w:hAnsi="宋体" w:eastAsia="仿宋_GB2312" w:cs="宋体"/>
          <w:color w:val="000000"/>
          <w:kern w:val="0"/>
          <w:sz w:val="32"/>
          <w:szCs w:val="32"/>
          <w:shd w:val="clear" w:color="auto" w:fill="FFFFFF"/>
          <w:lang w:val="zh-CN"/>
        </w:rPr>
        <w:t>（项）：指</w:t>
      </w:r>
      <w:r>
        <w:rPr>
          <w:rFonts w:hint="eastAsia" w:ascii="仿宋_GB2312" w:hAnsi="宋体" w:eastAsia="仿宋_GB2312" w:cs="宋体"/>
          <w:color w:val="000000"/>
          <w:kern w:val="0"/>
          <w:sz w:val="32"/>
          <w:szCs w:val="32"/>
          <w:shd w:val="clear" w:color="auto" w:fill="FFFFFF"/>
          <w:lang w:val="zh-CN" w:eastAsia="zh-CN"/>
        </w:rPr>
        <w:t>除上述项目以外其他用于检察方面的支出</w:t>
      </w:r>
      <w:r>
        <w:rPr>
          <w:rFonts w:hint="default" w:ascii="仿宋_GB2312" w:hAnsi="宋体" w:eastAsia="仿宋_GB2312" w:cs="宋体"/>
          <w:color w:val="000000"/>
          <w:kern w:val="0"/>
          <w:sz w:val="32"/>
          <w:szCs w:val="32"/>
          <w:shd w:val="clear" w:color="auto" w:fill="FFFFFF"/>
          <w:lang w:val="zh-CN"/>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zh-CN"/>
        </w:rPr>
      </w:pPr>
      <w:r>
        <w:rPr>
          <w:rFonts w:ascii="仿宋_GB2312" w:eastAsia="仿宋_GB2312"/>
          <w:sz w:val="32"/>
          <w:szCs w:val="32"/>
        </w:rPr>
        <w:t>13.</w:t>
      </w:r>
      <w:r>
        <w:rPr>
          <w:rFonts w:hint="eastAsia" w:ascii="仿宋_GB2312" w:hAnsi="宋体" w:eastAsia="仿宋_GB2312" w:cs="宋体"/>
          <w:color w:val="000000"/>
          <w:kern w:val="0"/>
          <w:sz w:val="32"/>
          <w:szCs w:val="32"/>
          <w:shd w:val="clear" w:color="auto" w:fill="FFFFFF"/>
          <w:lang w:val="zh-CN"/>
        </w:rPr>
        <w:t>社会保障和就业（类）行政事业单位养老支出（款）机关事业单位职业年金缴费支出（项）：</w:t>
      </w:r>
      <w:r>
        <w:rPr>
          <w:rFonts w:hint="eastAsia" w:ascii="仿宋_GB2312" w:hAnsi="宋体" w:eastAsia="仿宋_GB2312" w:cs="宋体"/>
          <w:color w:val="000000"/>
          <w:kern w:val="0"/>
          <w:sz w:val="32"/>
          <w:szCs w:val="32"/>
          <w:shd w:val="clear" w:color="auto" w:fill="FFFFFF"/>
          <w:lang w:val="zh-CN" w:eastAsia="zh-CN"/>
        </w:rPr>
        <w:t>指单位实施养老保险制度由单位缴纳的职业年金的支出。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15</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16</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17</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rPr>
      </w:pPr>
      <w:r>
        <w:rPr>
          <w:rFonts w:ascii="宋体"/>
          <w:b/>
          <w:sz w:val="44"/>
          <w:szCs w:val="44"/>
        </w:rPr>
        <w:br w:type="page"/>
      </w:r>
      <w:bookmarkStart w:id="31" w:name="_Toc30966"/>
      <w:r>
        <w:rPr>
          <w:rFonts w:hint="eastAsia" w:ascii="黑体" w:hAnsi="黑体" w:eastAsia="黑体"/>
          <w:sz w:val="44"/>
          <w:szCs w:val="44"/>
        </w:rPr>
        <w:t>第</w:t>
      </w:r>
      <w:r>
        <w:rPr>
          <w:rStyle w:val="31"/>
          <w:rFonts w:hint="eastAsia" w:ascii="黑体" w:hAnsi="黑体" w:eastAsia="黑体"/>
          <w:b w:val="0"/>
        </w:rPr>
        <w:t>四部分 附件</w:t>
      </w:r>
      <w:bookmarkEnd w:id="31"/>
    </w:p>
    <w:p>
      <w:pPr>
        <w:spacing w:line="572" w:lineRule="exact"/>
        <w:jc w:val="left"/>
        <w:outlineLvl w:val="0"/>
        <w:rPr>
          <w:rFonts w:ascii="黑体" w:hAnsi="黑体" w:eastAsia="黑体" w:cs="黑体"/>
          <w:sz w:val="32"/>
          <w:szCs w:val="32"/>
        </w:rPr>
      </w:pPr>
      <w:bookmarkStart w:id="32" w:name="_Toc23525"/>
      <w:r>
        <w:rPr>
          <w:rFonts w:hint="eastAsia" w:ascii="黑体" w:hAnsi="黑体" w:eastAsia="黑体" w:cs="黑体"/>
          <w:sz w:val="32"/>
          <w:szCs w:val="32"/>
        </w:rPr>
        <w:t>附件</w:t>
      </w:r>
      <w:bookmarkEnd w:id="32"/>
    </w:p>
    <w:p>
      <w:pPr>
        <w:spacing w:line="580" w:lineRule="exact"/>
        <w:jc w:val="center"/>
        <w:rPr>
          <w:rFonts w:hint="eastAsia" w:eastAsia="方正小标宋简体"/>
          <w:sz w:val="44"/>
          <w:szCs w:val="44"/>
          <w:lang w:eastAsia="zh-CN"/>
        </w:rPr>
      </w:pPr>
      <w:r>
        <w:rPr>
          <w:rFonts w:hint="eastAsia" w:eastAsia="方正小标宋简体"/>
          <w:sz w:val="44"/>
          <w:szCs w:val="44"/>
          <w:lang w:eastAsia="zh-CN"/>
        </w:rPr>
        <w:t>乐至县人民检察院</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eastAsia="zh-CN"/>
        </w:rPr>
        <w:t>非税收入征收管理工作经费</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2022年，乐至县人民检察院在县委和市检察院的坚强领导下，在县人大及其常委会的有力监督下，在县政府、县政协和社会各界的大力支持和监督下，坚持以习近平新时代中国特色社会主义思想为指引，全面落实“讲政治、顾大局、谋发展、重自强”的新时代检察工作总要求，牢牢把握“质量建设年”各项要求，以更高政治自觉、法治自觉、检察自觉服务全县发展大局、强化民生司法保障，以求极致精神推进“四大检察”“十大业务”全面协调充分发展，各项工作稳步提升。</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pPr>
      <w:r>
        <w:rPr>
          <w:rFonts w:hint="eastAsia" w:ascii="仿宋_GB2312" w:hAnsi="宋体" w:eastAsia="仿宋_GB2312" w:cs="宋体"/>
          <w:color w:val="000000"/>
          <w:kern w:val="0"/>
          <w:sz w:val="32"/>
          <w:szCs w:val="32"/>
          <w:shd w:val="clear" w:color="auto" w:fill="FFFFFF"/>
          <w:lang w:val="en-US" w:eastAsia="zh-CN"/>
        </w:rPr>
        <w:t>为保障办公、办案条件，根据我院实际情况，安排项目资金162.91万元用于弥补日常公用经费、办案业务经费、聘用制书记员费及购置设备。</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2022年我院非税收入征收管理工作经费项目资金支出159.37万元，其中159.37万元来源于非税收入。</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根据2022年度预算安排，2022年非税收入安排支出项目资金162.91万元用于弥补日常公用经费、办案业务经费、聘用制书记员费及购置设备，2022年已执行97.83%。</w:t>
      </w:r>
    </w:p>
    <w:p>
      <w:pPr>
        <w:numPr>
          <w:ilvl w:val="0"/>
          <w:numId w:val="0"/>
        </w:num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numPr>
          <w:ilvl w:val="0"/>
          <w:numId w:val="0"/>
        </w:numPr>
        <w:spacing w:line="580" w:lineRule="exact"/>
        <w:ind w:firstLine="640" w:firstLineChars="200"/>
        <w:rPr>
          <w:rFonts w:eastAsia="方正仿宋简体"/>
          <w:sz w:val="32"/>
          <w:szCs w:val="32"/>
        </w:rPr>
      </w:pPr>
      <w:r>
        <w:rPr>
          <w:rFonts w:hint="eastAsia" w:ascii="仿宋_GB2312" w:hAnsi="宋体" w:eastAsia="仿宋_GB2312" w:cs="宋体"/>
          <w:color w:val="000000"/>
          <w:kern w:val="0"/>
          <w:sz w:val="32"/>
          <w:szCs w:val="32"/>
          <w:shd w:val="clear" w:color="auto" w:fill="FFFFFF"/>
          <w:lang w:val="en-US" w:eastAsia="zh-CN"/>
        </w:rPr>
        <w:t>2022年我院项目均按时按量按进度完成。</w:t>
      </w:r>
    </w:p>
    <w:p>
      <w:pPr>
        <w:numPr>
          <w:ilvl w:val="0"/>
          <w:numId w:val="0"/>
        </w:num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numPr>
          <w:ilvl w:val="0"/>
          <w:numId w:val="0"/>
        </w:numPr>
        <w:spacing w:line="580" w:lineRule="exact"/>
        <w:ind w:firstLine="640" w:firstLineChars="200"/>
        <w:rPr>
          <w:rFonts w:eastAsia="方正仿宋简体"/>
          <w:sz w:val="32"/>
          <w:szCs w:val="32"/>
        </w:rPr>
      </w:pPr>
      <w:r>
        <w:rPr>
          <w:rFonts w:hint="eastAsia" w:ascii="仿宋_GB2312" w:hAnsi="宋体" w:eastAsia="仿宋_GB2312" w:cs="宋体"/>
          <w:color w:val="000000"/>
          <w:kern w:val="0"/>
          <w:sz w:val="32"/>
          <w:szCs w:val="32"/>
          <w:shd w:val="clear" w:color="auto" w:fill="FFFFFF"/>
          <w:lang w:val="en-US" w:eastAsia="zh-CN"/>
        </w:rPr>
        <w:t>我院严格按照财政资金管理办法和制度使用项目资金。通过召开党组会议，由财务室负责管理项目资金，严格履行资金审批制度，做到专款专用，确保资金的安全，提高资金使用效率。</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根据《人民检察院财务管理办法》，本项目主要用于非税收入弥补日常公用经费、办案业务经费、聘用制书记员费及购置专用设备，保证各项经费充足，资金到位及时，保障乐至县检察院办好检察为民实事，保障经济健康发展，推进平安乐至建设。具体量化的产出目标与结果目标如下：</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1.产出指标完成情况</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数量指标：审查逮捕人数已完成：指标值60人，2022年实际完成值60人；审查起诉人数已完成：指标值203人，2022年实际完成值203人。侦查活动违法监督数已完成：指标值10件，2022年实际完成值10件；公益诉讼案件办理数已完成：指标值24件，2022年实际完成值24件；</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质量指标：非税征收合规率100%，已完成；案件办结率100%，已完成。</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2.效益指标完成情况</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社会效益指标：保障办公、办案条件，更好地为检察工作服务，化解社会矛盾，为经济社会发展提供良好环境。</w:t>
      </w:r>
    </w:p>
    <w:p>
      <w:pPr>
        <w:numPr>
          <w:ilvl w:val="0"/>
          <w:numId w:val="0"/>
        </w:numPr>
        <w:spacing w:line="580" w:lineRule="exact"/>
        <w:ind w:firstLine="640" w:firstLineChars="200"/>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3.满意度指标完成情况</w:t>
      </w:r>
    </w:p>
    <w:p>
      <w:pPr>
        <w:numPr>
          <w:ilvl w:val="0"/>
          <w:numId w:val="0"/>
        </w:numPr>
        <w:spacing w:line="580" w:lineRule="exact"/>
        <w:ind w:firstLine="640" w:firstLineChars="200"/>
        <w:rPr>
          <w:rFonts w:eastAsia="方正仿宋简体"/>
          <w:sz w:val="32"/>
          <w:szCs w:val="32"/>
        </w:rPr>
      </w:pPr>
      <w:r>
        <w:rPr>
          <w:rFonts w:hint="eastAsia" w:ascii="仿宋_GB2312" w:hAnsi="宋体" w:eastAsia="仿宋_GB2312" w:cs="宋体"/>
          <w:color w:val="000000"/>
          <w:kern w:val="0"/>
          <w:sz w:val="32"/>
          <w:szCs w:val="32"/>
          <w:shd w:val="clear" w:color="auto" w:fill="FFFFFF"/>
          <w:lang w:val="en-US" w:eastAsia="zh-CN"/>
        </w:rPr>
        <w:t>服务对象满意度：社会公众满意度：社会公众对我院检察工作持满意态度。</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pPr>
      <w:r>
        <w:rPr>
          <w:rFonts w:hint="eastAsia" w:ascii="仿宋_GB2312" w:hAnsi="宋体" w:eastAsia="仿宋_GB2312" w:cs="宋体"/>
          <w:color w:val="000000"/>
          <w:kern w:val="0"/>
          <w:sz w:val="32"/>
          <w:szCs w:val="32"/>
          <w:shd w:val="clear" w:color="auto" w:fill="FFFFFF"/>
          <w:lang w:val="zh-CN" w:eastAsia="zh-CN"/>
        </w:rPr>
        <w:t>我院度重视绩效评价工作，成立了</w:t>
      </w:r>
      <w:r>
        <w:rPr>
          <w:rFonts w:hint="eastAsia" w:ascii="仿宋_GB2312" w:hAnsi="宋体" w:eastAsia="仿宋_GB2312" w:cs="宋体"/>
          <w:color w:val="000000"/>
          <w:kern w:val="0"/>
          <w:sz w:val="32"/>
          <w:szCs w:val="32"/>
          <w:shd w:val="clear" w:color="auto" w:fill="FFFFFF"/>
          <w:lang w:val="zh-CN"/>
        </w:rPr>
        <w:t>由党组书记、检察长</w:t>
      </w:r>
      <w:r>
        <w:rPr>
          <w:rFonts w:hint="eastAsia" w:ascii="仿宋_GB2312" w:hAnsi="宋体" w:eastAsia="仿宋_GB2312" w:cs="宋体"/>
          <w:color w:val="000000"/>
          <w:kern w:val="0"/>
          <w:sz w:val="32"/>
          <w:szCs w:val="32"/>
          <w:shd w:val="clear" w:color="auto" w:fill="FFFFFF"/>
          <w:lang w:val="zh-CN" w:eastAsia="zh-CN"/>
        </w:rPr>
        <w:t>雷毅</w:t>
      </w:r>
      <w:r>
        <w:rPr>
          <w:rFonts w:hint="eastAsia" w:ascii="仿宋_GB2312" w:hAnsi="宋体" w:eastAsia="仿宋_GB2312" w:cs="宋体"/>
          <w:color w:val="000000"/>
          <w:kern w:val="0"/>
          <w:sz w:val="32"/>
          <w:szCs w:val="32"/>
          <w:shd w:val="clear" w:color="auto" w:fill="FFFFFF"/>
          <w:lang w:val="zh-CN"/>
        </w:rPr>
        <w:t>任组长，党组</w:t>
      </w:r>
      <w:r>
        <w:rPr>
          <w:rFonts w:hint="eastAsia" w:ascii="仿宋_GB2312" w:hAnsi="宋体" w:eastAsia="仿宋_GB2312" w:cs="宋体"/>
          <w:color w:val="000000"/>
          <w:kern w:val="0"/>
          <w:sz w:val="32"/>
          <w:szCs w:val="32"/>
          <w:shd w:val="clear" w:color="auto" w:fill="FFFFFF"/>
          <w:lang w:val="zh-CN" w:eastAsia="zh-CN"/>
        </w:rPr>
        <w:t>成员</w:t>
      </w:r>
      <w:r>
        <w:rPr>
          <w:rFonts w:hint="eastAsia" w:ascii="仿宋_GB2312" w:hAnsi="宋体" w:eastAsia="仿宋_GB2312" w:cs="宋体"/>
          <w:color w:val="000000"/>
          <w:kern w:val="0"/>
          <w:sz w:val="32"/>
          <w:szCs w:val="32"/>
          <w:shd w:val="clear" w:color="auto" w:fill="FFFFFF"/>
          <w:lang w:val="zh-CN"/>
        </w:rPr>
        <w:t>、</w:t>
      </w:r>
      <w:r>
        <w:rPr>
          <w:rFonts w:hint="eastAsia" w:ascii="仿宋_GB2312" w:hAnsi="宋体" w:eastAsia="仿宋_GB2312" w:cs="宋体"/>
          <w:color w:val="000000"/>
          <w:kern w:val="0"/>
          <w:sz w:val="32"/>
          <w:szCs w:val="32"/>
          <w:shd w:val="clear" w:color="auto" w:fill="FFFFFF"/>
          <w:lang w:val="zh-CN" w:eastAsia="zh-CN"/>
        </w:rPr>
        <w:t>副</w:t>
      </w:r>
      <w:r>
        <w:rPr>
          <w:rFonts w:hint="eastAsia" w:ascii="仿宋_GB2312" w:hAnsi="宋体" w:eastAsia="仿宋_GB2312" w:cs="宋体"/>
          <w:color w:val="000000"/>
          <w:kern w:val="0"/>
          <w:sz w:val="32"/>
          <w:szCs w:val="32"/>
          <w:shd w:val="clear" w:color="auto" w:fill="FFFFFF"/>
          <w:lang w:val="zh-CN"/>
        </w:rPr>
        <w:t>检察长</w:t>
      </w:r>
      <w:r>
        <w:rPr>
          <w:rFonts w:hint="eastAsia" w:ascii="仿宋_GB2312" w:hAnsi="宋体" w:eastAsia="仿宋_GB2312" w:cs="宋体"/>
          <w:color w:val="000000"/>
          <w:kern w:val="0"/>
          <w:sz w:val="32"/>
          <w:szCs w:val="32"/>
          <w:shd w:val="clear" w:color="auto" w:fill="FFFFFF"/>
          <w:lang w:val="zh-CN" w:eastAsia="zh-CN"/>
        </w:rPr>
        <w:t>郭秀娟任副组长，各部门负责人</w:t>
      </w:r>
      <w:r>
        <w:rPr>
          <w:rFonts w:hint="eastAsia" w:ascii="仿宋_GB2312" w:hAnsi="宋体" w:eastAsia="仿宋_GB2312" w:cs="宋体"/>
          <w:color w:val="000000"/>
          <w:kern w:val="0"/>
          <w:sz w:val="32"/>
          <w:szCs w:val="32"/>
          <w:shd w:val="clear" w:color="auto" w:fill="FFFFFF"/>
          <w:lang w:val="zh-CN"/>
        </w:rPr>
        <w:t>任</w:t>
      </w:r>
      <w:r>
        <w:rPr>
          <w:rFonts w:hint="eastAsia" w:ascii="仿宋_GB2312" w:hAnsi="宋体" w:eastAsia="仿宋_GB2312" w:cs="宋体"/>
          <w:color w:val="000000"/>
          <w:kern w:val="0"/>
          <w:sz w:val="32"/>
          <w:szCs w:val="32"/>
          <w:shd w:val="clear" w:color="auto" w:fill="FFFFFF"/>
          <w:lang w:val="zh-CN" w:eastAsia="zh-CN"/>
        </w:rPr>
        <w:t>组员的绩效评价领导小组</w:t>
      </w:r>
      <w:r>
        <w:rPr>
          <w:rFonts w:hint="eastAsia" w:ascii="仿宋_GB2312" w:hAnsi="宋体" w:eastAsia="仿宋_GB2312" w:cs="宋体"/>
          <w:color w:val="000000"/>
          <w:kern w:val="0"/>
          <w:sz w:val="32"/>
          <w:szCs w:val="32"/>
          <w:shd w:val="clear" w:color="auto" w:fill="FFFFFF"/>
          <w:lang w:val="zh-CN"/>
        </w:rPr>
        <w:t>，</w:t>
      </w:r>
      <w:r>
        <w:rPr>
          <w:rFonts w:hint="eastAsia" w:ascii="仿宋_GB2312" w:hAnsi="宋体" w:eastAsia="仿宋_GB2312" w:cs="宋体"/>
          <w:color w:val="000000"/>
          <w:kern w:val="0"/>
          <w:sz w:val="32"/>
          <w:szCs w:val="32"/>
          <w:shd w:val="clear" w:color="auto" w:fill="FFFFFF"/>
          <w:lang w:val="zh-CN" w:eastAsia="zh-CN"/>
        </w:rPr>
        <w:t>明确各职能部门的评价职责，进一步强化各部门对绩效评价的认识。</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zh-CN" w:eastAsia="zh-CN"/>
        </w:rPr>
      </w:pPr>
      <w:r>
        <w:rPr>
          <w:rFonts w:hint="default" w:ascii="仿宋_GB2312" w:hAnsi="宋体" w:eastAsia="仿宋_GB2312" w:cs="宋体"/>
          <w:color w:val="000000"/>
          <w:kern w:val="0"/>
          <w:sz w:val="32"/>
          <w:szCs w:val="32"/>
          <w:shd w:val="clear" w:color="auto" w:fill="FFFFFF"/>
          <w:lang w:val="en-US" w:eastAsia="zh-CN"/>
        </w:rPr>
        <w:t>自评的重点主要</w:t>
      </w:r>
      <w:r>
        <w:rPr>
          <w:rFonts w:hint="eastAsia" w:ascii="仿宋_GB2312" w:hAnsi="宋体" w:eastAsia="仿宋_GB2312" w:cs="宋体"/>
          <w:color w:val="000000"/>
          <w:kern w:val="0"/>
          <w:sz w:val="32"/>
          <w:szCs w:val="32"/>
          <w:shd w:val="clear" w:color="auto" w:fill="FFFFFF"/>
          <w:lang w:val="en-US" w:eastAsia="zh-CN"/>
        </w:rPr>
        <w:t>是资金分配、投入和使用管理情况及财政支出产生的经济性、效率性、效益性。</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eastAsia="方正仿宋简体"/>
          <w:sz w:val="32"/>
          <w:szCs w:val="32"/>
        </w:rPr>
      </w:pPr>
      <w:r>
        <w:rPr>
          <w:rFonts w:hint="eastAsia" w:ascii="仿宋_GB2312" w:hAnsi="宋体" w:eastAsia="仿宋_GB2312" w:cs="宋体"/>
          <w:color w:val="000000"/>
          <w:kern w:val="0"/>
          <w:sz w:val="32"/>
          <w:szCs w:val="32"/>
          <w:shd w:val="clear" w:color="auto" w:fill="FFFFFF"/>
          <w:lang w:val="en-US" w:eastAsia="zh-CN"/>
        </w:rPr>
        <w:t>我院2022年非税收入征收管理工作经费项目立项规范、绩效目标设置合理、绩效指标较为明确。项目执行过程中资金到位充分及时，管理制度健全、资金使用合规。项目实际完成较好，完成及时、质量达标、节约成本。对社会经济、生态、可持续发展有一定的效果，服务对象满意度较高。综上，</w:t>
      </w:r>
      <w:r>
        <w:rPr>
          <w:rFonts w:hint="eastAsia" w:eastAsia="方正仿宋简体"/>
          <w:sz w:val="32"/>
          <w:szCs w:val="32"/>
        </w:rPr>
        <w:t>依据《乐至县财政支出绩效评价管理办法》规定确定</w:t>
      </w:r>
      <w:r>
        <w:rPr>
          <w:rFonts w:hint="eastAsia" w:ascii="仿宋_GB2312" w:hAnsi="宋体" w:eastAsia="仿宋_GB2312" w:cs="宋体"/>
          <w:color w:val="000000"/>
          <w:kern w:val="0"/>
          <w:sz w:val="32"/>
          <w:szCs w:val="32"/>
          <w:shd w:val="clear" w:color="auto" w:fill="FFFFFF"/>
          <w:lang w:val="en-US" w:eastAsia="zh-CN"/>
        </w:rPr>
        <w:t>我院2022年项目绩效评价结果等级为优。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2022年度如期完成了项目预算，基本达到了绩效目标。</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一是绩效目标设置合理。在预算编报时以结果为导向，设置预算绩效指标，合理安排预算资金，节约预算成本。二是规范资金使用管理。在预算执行过程中严格按照财政局有关规定与我院财务管理规定使用资金，提高预算执行力度，专款专用，完成项目实施。</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eastAsia="方正楷体简体"/>
          <w:b/>
          <w:sz w:val="32"/>
          <w:szCs w:val="32"/>
        </w:rPr>
      </w:pPr>
      <w:r>
        <w:rPr>
          <w:rFonts w:hint="eastAsia" w:ascii="仿宋_GB2312" w:hAnsi="宋体" w:eastAsia="仿宋_GB2312" w:cs="宋体"/>
          <w:color w:val="000000"/>
          <w:kern w:val="0"/>
          <w:sz w:val="32"/>
          <w:szCs w:val="32"/>
          <w:shd w:val="clear" w:color="auto" w:fill="FFFFFF"/>
          <w:lang w:val="zh-CN"/>
        </w:rPr>
        <w:t>一是思想意识不强。部门内部相互配合不够，对绩效评价工作还不够重视，评价结果和预算安排尚未密切挂钩，对提高预算绩效管理的认识不到位。二是缺乏专业的预算管理人员。从事绩效管理此项工作主要由财务人员完成，没有接受过系统全面的专业培训，缺少相应的经验，不能有效的实现预算绩效管理的效果。三是评价成果应用待加强。通过统计绩效数据，分析预算执行情况，及时查找、发现单位经济活动的风险点，可作为完善内部控制的依据。</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eastAsia="方正楷体简体"/>
          <w:b/>
          <w:sz w:val="32"/>
          <w:szCs w:val="32"/>
        </w:rPr>
      </w:pPr>
      <w:r>
        <w:rPr>
          <w:rFonts w:hint="eastAsia" w:ascii="仿宋_GB2312" w:hAnsi="宋体" w:eastAsia="仿宋_GB2312" w:cs="宋体"/>
          <w:color w:val="000000"/>
          <w:kern w:val="0"/>
          <w:sz w:val="32"/>
          <w:szCs w:val="32"/>
          <w:shd w:val="clear" w:color="auto" w:fill="FFFFFF"/>
          <w:lang w:val="zh-CN"/>
        </w:rPr>
        <w:t>一是加大宣传，加强绩效管理理念，营造良好环境。只有绩效管理理念不断强化，提高了认识，才能提高自觉性和执行力，从被动执行走向主动实施，才能促进绩效管理良好的实施。二是从预算阶段源头出发。首先要使预算编制合理化、规范化，其次各业务部门在开始制定预算时就要参与到各种指标制定中来，只有做好基础工作，才能为后续的预算绩效评价提供良好的指导。三是在整个预算进行过程中实施监控。有利于对各阶段的数据和信息，进行归纳、总结、分类，及时提出改进意见和措施，从而能够促进绩效管理更好实施。四是提高预算绩效管理人员素质。预算绩效管理对财会人员的素质有更高要求，加强相关对专业的培训，促进相关人员的沟通、交流，相互分享心得、经验，提升人员预算绩效管理专业知识。</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580" w:lineRule="exact"/>
        <w:ind w:firstLine="640" w:firstLineChars="200"/>
        <w:jc w:val="right"/>
        <w:rPr>
          <w:rFonts w:hint="eastAsia" w:ascii="仿宋_GB2312" w:hAnsi="宋体" w:eastAsia="仿宋_GB2312" w:cs="宋体"/>
          <w:color w:val="000000"/>
          <w:kern w:val="0"/>
          <w:sz w:val="32"/>
          <w:szCs w:val="32"/>
          <w:shd w:val="clear" w:color="auto" w:fill="FFFFFF"/>
          <w:lang w:val="zh-CN" w:eastAsia="zh-CN"/>
        </w:rPr>
      </w:pPr>
      <w:r>
        <w:rPr>
          <w:rFonts w:hint="eastAsia" w:ascii="仿宋_GB2312" w:hAnsi="宋体" w:eastAsia="仿宋_GB2312" w:cs="宋体"/>
          <w:color w:val="000000"/>
          <w:kern w:val="0"/>
          <w:sz w:val="32"/>
          <w:szCs w:val="32"/>
          <w:shd w:val="clear" w:color="auto" w:fill="FFFFFF"/>
          <w:lang w:val="zh-CN" w:eastAsia="zh-CN"/>
        </w:rPr>
        <w:t>乐至县人民检察院</w:t>
      </w:r>
    </w:p>
    <w:p>
      <w:pPr>
        <w:spacing w:line="580" w:lineRule="exact"/>
        <w:ind w:firstLine="640" w:firstLineChars="200"/>
        <w:jc w:val="right"/>
        <w:rPr>
          <w:rFonts w:hint="default"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2023年11月6日</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非税收入征收管理工作经费</w:t>
      </w:r>
      <w:r>
        <w:rPr>
          <w:rFonts w:hint="eastAsia" w:eastAsia="方正楷体简体"/>
          <w:b/>
          <w:bCs/>
          <w:kern w:val="0"/>
          <w:sz w:val="32"/>
          <w:szCs w:val="32"/>
        </w:rPr>
        <w:t>项目）</w:t>
      </w:r>
    </w:p>
    <w:p>
      <w:pPr>
        <w:spacing w:line="620" w:lineRule="exact"/>
        <w:rPr>
          <w:rFonts w:hint="eastAsia" w:eastAsia="宋体"/>
          <w:sz w:val="24"/>
          <w:lang w:eastAsia="zh-CN"/>
        </w:rPr>
      </w:pPr>
      <w:r>
        <w:rPr>
          <w:rFonts w:hint="eastAsia"/>
          <w:bCs/>
          <w:kern w:val="0"/>
          <w:sz w:val="24"/>
        </w:rPr>
        <w:t>预算单位名称：</w:t>
      </w:r>
      <w:r>
        <w:rPr>
          <w:rFonts w:hint="eastAsia"/>
          <w:bCs/>
          <w:kern w:val="0"/>
          <w:sz w:val="24"/>
          <w:lang w:eastAsia="zh-CN"/>
        </w:rPr>
        <w:t>乐至县人民检察院</w:t>
      </w:r>
      <w:r>
        <w:rPr>
          <w:bCs/>
          <w:kern w:val="0"/>
          <w:sz w:val="24"/>
        </w:rPr>
        <w:t xml:space="preserve">    </w:t>
      </w:r>
      <w:r>
        <w:rPr>
          <w:rFonts w:hint="eastAsia"/>
          <w:bCs/>
          <w:kern w:val="0"/>
          <w:sz w:val="24"/>
        </w:rPr>
        <w:t>预算单位编码：</w:t>
      </w:r>
      <w:r>
        <w:rPr>
          <w:rFonts w:hint="eastAsia"/>
          <w:bCs/>
          <w:kern w:val="0"/>
          <w:sz w:val="24"/>
          <w:lang w:val="en-US" w:eastAsia="zh-CN"/>
        </w:rPr>
        <w:t>120001</w:t>
      </w:r>
      <w:r>
        <w:rPr>
          <w:bCs/>
          <w:kern w:val="0"/>
          <w:sz w:val="24"/>
        </w:rPr>
        <w:t xml:space="preserve">        </w:t>
      </w:r>
      <w:r>
        <w:rPr>
          <w:rFonts w:hint="eastAsia"/>
          <w:bCs/>
          <w:kern w:val="0"/>
          <w:sz w:val="24"/>
        </w:rPr>
        <w:t>自评等级：</w:t>
      </w:r>
      <w:r>
        <w:rPr>
          <w:rFonts w:hint="eastAsia"/>
          <w:bCs/>
          <w:kern w:val="0"/>
          <w:sz w:val="24"/>
          <w:lang w:eastAsia="zh-CN"/>
        </w:rPr>
        <w:t>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58"/>
        <w:gridCol w:w="646"/>
        <w:gridCol w:w="787"/>
        <w:gridCol w:w="1585"/>
        <w:gridCol w:w="3313"/>
        <w:gridCol w:w="740"/>
        <w:gridCol w:w="8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2.17</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95.67</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2年度乐至县项目支出绩效目标完成情况表</w:t>
      </w:r>
    </w:p>
    <w:p>
      <w:pPr>
        <w:pStyle w:val="7"/>
        <w:spacing w:line="240" w:lineRule="exact"/>
        <w:rPr>
          <w:rFonts w:ascii="宋体"/>
        </w:rPr>
      </w:pP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62"/>
        <w:gridCol w:w="790"/>
        <w:gridCol w:w="587"/>
        <w:gridCol w:w="1804"/>
        <w:gridCol w:w="1169"/>
        <w:gridCol w:w="1473"/>
        <w:gridCol w:w="1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eastAsia="zh-CN"/>
              </w:rPr>
              <w:t>非税收入征收管理工作经费</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color w:val="000000"/>
                <w:kern w:val="0"/>
                <w:szCs w:val="21"/>
              </w:rPr>
            </w:pPr>
            <w:r>
              <w:rPr>
                <w:rFonts w:hint="eastAsia"/>
                <w:color w:val="000000"/>
                <w:kern w:val="0"/>
                <w:szCs w:val="21"/>
                <w:lang w:eastAsia="zh-CN"/>
              </w:rPr>
              <w:t>乐至县人民检察院</w:t>
            </w:r>
            <w:r>
              <w:rPr>
                <w:rFonts w:hint="eastAsia"/>
                <w:color w:val="000000"/>
                <w:kern w:val="0"/>
                <w:szCs w:val="21"/>
              </w:rPr>
              <w:t>　</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120001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162.91</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159.37</w:t>
            </w:r>
          </w:p>
        </w:tc>
        <w:tc>
          <w:tcPr>
            <w:tcW w:w="0" w:type="auto"/>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3.54</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2.17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162.91</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159.37</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3.54</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2.17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162.91</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162.91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159.37</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159.37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3.54</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3.54</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2.17</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2.17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保障经济健康发展</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2:</w:t>
            </w:r>
            <w:r>
              <w:rPr>
                <w:rFonts w:hint="eastAsia"/>
                <w:color w:val="000000"/>
                <w:kern w:val="0"/>
                <w:szCs w:val="21"/>
                <w:lang w:eastAsia="zh-CN"/>
              </w:rPr>
              <w:t>推进平安乐至建设</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3:</w:t>
            </w:r>
            <w:r>
              <w:rPr>
                <w:rFonts w:hint="eastAsia"/>
                <w:color w:val="000000"/>
                <w:kern w:val="0"/>
                <w:szCs w:val="21"/>
                <w:lang w:eastAsia="zh-CN"/>
              </w:rPr>
              <w:t>办好检察为民实事</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审查逮捕人数</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&gt;=60人</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&gt;=60人</w:t>
            </w:r>
          </w:p>
        </w:tc>
        <w:tc>
          <w:tcPr>
            <w:tcW w:w="0" w:type="auto"/>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color w:val="000000"/>
                <w:kern w:val="0"/>
                <w:szCs w:val="21"/>
                <w:lang w:eastAsia="zh-CN"/>
              </w:rPr>
              <w:t>审查起诉人数</w:t>
            </w:r>
          </w:p>
        </w:tc>
        <w:tc>
          <w:tcPr>
            <w:tcW w:w="0" w:type="auto"/>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&gt;=203人</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&gt;=203人</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5"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color w:val="000000"/>
                <w:kern w:val="0"/>
                <w:szCs w:val="21"/>
              </w:rPr>
            </w:pPr>
            <w:r>
              <w:rPr>
                <w:rFonts w:hint="eastAsia"/>
                <w:color w:val="000000"/>
                <w:kern w:val="0"/>
                <w:szCs w:val="21"/>
              </w:rPr>
              <w:t>指标</w:t>
            </w:r>
            <w:r>
              <w:rPr>
                <w:rFonts w:hint="eastAsia"/>
                <w:color w:val="000000"/>
                <w:kern w:val="0"/>
                <w:szCs w:val="21"/>
                <w:lang w:val="en-US" w:eastAsia="zh-CN"/>
              </w:rPr>
              <w:t>3</w:t>
            </w:r>
            <w:r>
              <w:rPr>
                <w:color w:val="000000"/>
                <w:kern w:val="0"/>
                <w:szCs w:val="21"/>
              </w:rPr>
              <w:t>:</w:t>
            </w:r>
            <w:r>
              <w:rPr>
                <w:rFonts w:hint="eastAsia"/>
                <w:color w:val="000000"/>
                <w:kern w:val="0"/>
                <w:szCs w:val="21"/>
                <w:lang w:eastAsia="zh-CN"/>
              </w:rPr>
              <w:t>侦查活动违法监督数</w:t>
            </w:r>
          </w:p>
        </w:tc>
        <w:tc>
          <w:tcPr>
            <w:tcW w:w="0" w:type="auto"/>
            <w:noWrap/>
            <w:vAlign w:val="center"/>
          </w:tcPr>
          <w:p>
            <w:pPr>
              <w:widowControl/>
              <w:spacing w:line="240" w:lineRule="exact"/>
              <w:jc w:val="left"/>
              <w:rPr>
                <w:rFonts w:hint="eastAsia"/>
                <w:color w:val="000000"/>
                <w:kern w:val="0"/>
                <w:szCs w:val="21"/>
              </w:rPr>
            </w:pPr>
            <w:r>
              <w:rPr>
                <w:rFonts w:hint="eastAsia"/>
                <w:color w:val="000000"/>
                <w:kern w:val="0"/>
                <w:szCs w:val="21"/>
              </w:rPr>
              <w:t>　</w:t>
            </w:r>
            <w:r>
              <w:rPr>
                <w:rFonts w:hint="eastAsia"/>
                <w:color w:val="000000"/>
                <w:kern w:val="0"/>
                <w:szCs w:val="21"/>
                <w:lang w:val="en-US" w:eastAsia="zh-CN"/>
              </w:rPr>
              <w:t>&gt;=10件</w:t>
            </w:r>
          </w:p>
        </w:tc>
        <w:tc>
          <w:tcPr>
            <w:tcW w:w="0" w:type="auto"/>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&gt;=10件</w:t>
            </w:r>
          </w:p>
        </w:tc>
        <w:tc>
          <w:tcPr>
            <w:tcW w:w="0" w:type="auto"/>
            <w:noWrap/>
            <w:vAlign w:val="center"/>
          </w:tcPr>
          <w:p>
            <w:pPr>
              <w:widowControl/>
              <w:spacing w:line="240" w:lineRule="exact"/>
              <w:jc w:val="center"/>
              <w:rPr>
                <w:rFonts w:hint="eastAsia"/>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rFonts w:hint="eastAsia"/>
                <w:color w:val="000000"/>
                <w:kern w:val="0"/>
                <w:szCs w:val="21"/>
                <w:lang w:val="en-US" w:eastAsia="zh-CN"/>
              </w:rPr>
              <w:t>4</w:t>
            </w:r>
            <w:r>
              <w:rPr>
                <w:color w:val="000000"/>
                <w:kern w:val="0"/>
                <w:szCs w:val="21"/>
              </w:rPr>
              <w:t>:</w:t>
            </w:r>
            <w:r>
              <w:rPr>
                <w:rFonts w:hint="eastAsia"/>
                <w:color w:val="000000"/>
                <w:kern w:val="0"/>
                <w:szCs w:val="21"/>
                <w:lang w:eastAsia="zh-CN"/>
              </w:rPr>
              <w:t>公益诉讼案件办理数</w:t>
            </w:r>
          </w:p>
        </w:tc>
        <w:tc>
          <w:tcPr>
            <w:tcW w:w="0" w:type="auto"/>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&gt;=24件</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val="en-US" w:eastAsia="zh-CN"/>
              </w:rPr>
              <w:t>&gt;=24件</w:t>
            </w:r>
          </w:p>
        </w:tc>
        <w:tc>
          <w:tcPr>
            <w:tcW w:w="0" w:type="auto"/>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非税征收合规率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color w:val="000000"/>
                <w:kern w:val="0"/>
                <w:szCs w:val="21"/>
                <w:lang w:eastAsia="zh-CN"/>
              </w:rPr>
              <w:t>案件办结率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化解社会矛盾，为经济社会发展提供良好环境</w:t>
            </w:r>
          </w:p>
        </w:tc>
        <w:tc>
          <w:tcPr>
            <w:tcW w:w="0" w:type="auto"/>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&gt;=90%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&gt;=90%</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社会公众满意度</w:t>
            </w:r>
          </w:p>
        </w:tc>
        <w:tc>
          <w:tcPr>
            <w:tcW w:w="0" w:type="auto"/>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&gt;=95%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&gt;=95%</w:t>
            </w:r>
          </w:p>
        </w:tc>
        <w:tc>
          <w:tcPr>
            <w:tcW w:w="0" w:type="auto"/>
            <w:noWrap/>
            <w:vAlign w:val="center"/>
          </w:tcPr>
          <w:p>
            <w:pPr>
              <w:widowControl/>
              <w:spacing w:line="240" w:lineRule="exact"/>
              <w:jc w:val="center"/>
              <w:rPr>
                <w:color w:val="000000"/>
                <w:kern w:val="0"/>
                <w:szCs w:val="21"/>
              </w:rPr>
            </w:pP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pStyle w:val="7"/>
        <w:spacing w:before="93"/>
      </w:pPr>
    </w:p>
    <w:p/>
    <w:p>
      <w:pPr>
        <w:pStyle w:val="7"/>
        <w:spacing w:before="93"/>
        <w:rPr>
          <w:rFonts w:hint="eastAsia"/>
        </w:rPr>
      </w:pPr>
    </w:p>
    <w:p>
      <w:pPr>
        <w:spacing w:line="600" w:lineRule="exact"/>
        <w:jc w:val="center"/>
        <w:outlineLvl w:val="0"/>
        <w:rPr>
          <w:rFonts w:hint="eastAsia" w:ascii="黑体" w:hAnsi="黑体" w:eastAsia="黑体"/>
          <w:sz w:val="44"/>
          <w:szCs w:val="44"/>
        </w:rPr>
      </w:pPr>
      <w:bookmarkStart w:id="33" w:name="_Toc1441"/>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bookmarkStart w:id="47" w:name="_GoBack"/>
      <w:bookmarkEnd w:id="47"/>
      <w:r>
        <w:rPr>
          <w:rFonts w:hint="eastAsia" w:ascii="黑体" w:hAnsi="黑体" w:eastAsia="黑体"/>
          <w:sz w:val="44"/>
          <w:szCs w:val="44"/>
        </w:rPr>
        <w:t>第</w:t>
      </w:r>
      <w:r>
        <w:rPr>
          <w:rStyle w:val="31"/>
          <w:rFonts w:hint="eastAsia" w:ascii="黑体" w:hAnsi="黑体" w:eastAsia="黑体"/>
          <w:b w:val="0"/>
        </w:rPr>
        <w:t>五部分 附表</w:t>
      </w:r>
      <w:bookmarkEnd w:id="33"/>
    </w:p>
    <w:p>
      <w:pPr>
        <w:pStyle w:val="4"/>
        <w:rPr>
          <w:rFonts w:ascii="仿宋" w:hAnsi="仿宋" w:eastAsia="仿宋"/>
        </w:rPr>
      </w:pPr>
      <w:bookmarkStart w:id="34" w:name="_Toc16517"/>
      <w:r>
        <w:rPr>
          <w:rFonts w:hint="eastAsia" w:ascii="仿宋" w:hAnsi="仿宋" w:eastAsia="仿宋"/>
          <w:b w:val="0"/>
        </w:rPr>
        <w:t>一、收</w:t>
      </w:r>
      <w:r>
        <w:rPr>
          <w:rStyle w:val="20"/>
          <w:rFonts w:hint="eastAsia" w:ascii="仿宋" w:hAnsi="仿宋" w:eastAsia="仿宋"/>
          <w:b w:val="0"/>
          <w:bCs w:val="0"/>
        </w:rPr>
        <w:t>入支出决算总表</w:t>
      </w:r>
      <w:bookmarkEnd w:id="34"/>
    </w:p>
    <w:p>
      <w:pPr>
        <w:pStyle w:val="4"/>
        <w:rPr>
          <w:rFonts w:ascii="仿宋" w:hAnsi="仿宋" w:eastAsia="仿宋"/>
        </w:rPr>
      </w:pPr>
      <w:bookmarkStart w:id="35" w:name="_Toc6274"/>
      <w:r>
        <w:rPr>
          <w:rFonts w:hint="eastAsia" w:ascii="仿宋" w:hAnsi="仿宋" w:eastAsia="仿宋"/>
          <w:b w:val="0"/>
        </w:rPr>
        <w:t>二、收</w:t>
      </w:r>
      <w:r>
        <w:rPr>
          <w:rStyle w:val="20"/>
          <w:rFonts w:hint="eastAsia" w:ascii="仿宋" w:hAnsi="仿宋" w:eastAsia="仿宋"/>
          <w:b w:val="0"/>
          <w:bCs w:val="0"/>
        </w:rPr>
        <w:t>入决算表</w:t>
      </w:r>
      <w:bookmarkEnd w:id="35"/>
    </w:p>
    <w:p>
      <w:pPr>
        <w:pStyle w:val="4"/>
        <w:rPr>
          <w:rFonts w:ascii="仿宋" w:hAnsi="仿宋" w:eastAsia="仿宋"/>
        </w:rPr>
      </w:pPr>
      <w:bookmarkStart w:id="36" w:name="_Toc9150"/>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36"/>
    </w:p>
    <w:p>
      <w:pPr>
        <w:pStyle w:val="4"/>
        <w:rPr>
          <w:rFonts w:ascii="仿宋" w:hAnsi="仿宋" w:eastAsia="仿宋"/>
          <w:b w:val="0"/>
        </w:rPr>
      </w:pPr>
      <w:bookmarkStart w:id="37" w:name="_Toc224"/>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37"/>
    </w:p>
    <w:p>
      <w:pPr>
        <w:pStyle w:val="4"/>
        <w:rPr>
          <w:rStyle w:val="20"/>
          <w:rFonts w:ascii="仿宋" w:hAnsi="仿宋" w:eastAsia="仿宋"/>
          <w:b w:val="0"/>
          <w:bCs w:val="0"/>
        </w:rPr>
      </w:pPr>
      <w:bookmarkStart w:id="38" w:name="_Toc937"/>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38"/>
    </w:p>
    <w:p>
      <w:pPr>
        <w:pStyle w:val="4"/>
        <w:rPr>
          <w:rFonts w:ascii="仿宋" w:hAnsi="仿宋" w:eastAsia="仿宋"/>
        </w:rPr>
      </w:pPr>
      <w:bookmarkStart w:id="39" w:name="_Toc10420"/>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39"/>
    </w:p>
    <w:p>
      <w:pPr>
        <w:pStyle w:val="4"/>
        <w:rPr>
          <w:rFonts w:ascii="仿宋" w:hAnsi="仿宋" w:eastAsia="仿宋"/>
        </w:rPr>
      </w:pPr>
      <w:bookmarkStart w:id="40" w:name="_Toc32146"/>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40"/>
    </w:p>
    <w:p>
      <w:pPr>
        <w:pStyle w:val="4"/>
        <w:rPr>
          <w:rFonts w:ascii="仿宋" w:hAnsi="仿宋" w:eastAsia="仿宋"/>
        </w:rPr>
      </w:pPr>
      <w:bookmarkStart w:id="41" w:name="_Toc3688"/>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41"/>
    </w:p>
    <w:p>
      <w:pPr>
        <w:pStyle w:val="4"/>
        <w:rPr>
          <w:rFonts w:ascii="仿宋" w:hAnsi="仿宋" w:eastAsia="仿宋"/>
        </w:rPr>
      </w:pPr>
      <w:bookmarkStart w:id="42" w:name="_Toc23367"/>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42"/>
    </w:p>
    <w:p>
      <w:pPr>
        <w:pStyle w:val="4"/>
        <w:rPr>
          <w:rFonts w:ascii="仿宋" w:hAnsi="仿宋" w:eastAsia="仿宋"/>
        </w:rPr>
      </w:pPr>
      <w:bookmarkStart w:id="43" w:name="_Toc11639"/>
      <w:r>
        <w:rPr>
          <w:rStyle w:val="20"/>
          <w:rFonts w:hint="eastAsia" w:ascii="仿宋" w:hAnsi="仿宋" w:eastAsia="仿宋"/>
          <w:b w:val="0"/>
          <w:bCs w:val="0"/>
        </w:rPr>
        <w:t>十、</w:t>
      </w:r>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43"/>
    </w:p>
    <w:p>
      <w:pPr>
        <w:pStyle w:val="4"/>
        <w:rPr>
          <w:rFonts w:ascii="仿宋" w:hAnsi="仿宋" w:eastAsia="仿宋"/>
        </w:rPr>
      </w:pPr>
      <w:bookmarkStart w:id="44" w:name="_Toc10159"/>
      <w:r>
        <w:rPr>
          <w:rStyle w:val="20"/>
          <w:rFonts w:hint="eastAsia" w:ascii="仿宋" w:hAnsi="仿宋" w:eastAsia="仿宋"/>
          <w:b w:val="0"/>
          <w:bCs w:val="0"/>
        </w:rPr>
        <w:t>十一、</w:t>
      </w:r>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44"/>
    </w:p>
    <w:p>
      <w:pPr>
        <w:pStyle w:val="4"/>
        <w:rPr>
          <w:rFonts w:ascii="仿宋" w:hAnsi="仿宋" w:eastAsia="仿宋"/>
        </w:rPr>
      </w:pPr>
      <w:bookmarkStart w:id="45" w:name="_Toc21790"/>
      <w:r>
        <w:rPr>
          <w:rStyle w:val="20"/>
          <w:rFonts w:hint="eastAsia" w:ascii="仿宋" w:hAnsi="仿宋" w:eastAsia="仿宋"/>
          <w:b w:val="0"/>
          <w:bCs w:val="0"/>
        </w:rPr>
        <w:t>十二、国有资本经营预算财政拨款支出决算表</w:t>
      </w:r>
      <w:bookmarkEnd w:id="45"/>
    </w:p>
    <w:p>
      <w:pPr>
        <w:pStyle w:val="4"/>
        <w:rPr>
          <w:rStyle w:val="20"/>
          <w:rFonts w:hint="eastAsia" w:ascii="仿宋" w:hAnsi="仿宋" w:eastAsia="仿宋"/>
          <w:b w:val="0"/>
          <w:bCs w:val="0"/>
        </w:rPr>
      </w:pPr>
      <w:bookmarkStart w:id="46" w:name="_Toc27967"/>
      <w:r>
        <w:rPr>
          <w:rStyle w:val="20"/>
          <w:rFonts w:hint="eastAsia" w:ascii="仿宋" w:hAnsi="仿宋" w:eastAsia="仿宋"/>
          <w:b w:val="0"/>
          <w:bCs w:val="0"/>
        </w:rPr>
        <w:t>十三、财政拨款“三公”经费支出决算表</w:t>
      </w:r>
      <w:bookmarkEnd w:id="46"/>
    </w:p>
    <w:sectPr>
      <w:footerReference r:id="rId7" w:type="firs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1FC7DA6"/>
    <w:rsid w:val="02143E91"/>
    <w:rsid w:val="02ED42DD"/>
    <w:rsid w:val="04957B11"/>
    <w:rsid w:val="049B529E"/>
    <w:rsid w:val="066E0107"/>
    <w:rsid w:val="07996F6E"/>
    <w:rsid w:val="09884131"/>
    <w:rsid w:val="09EF5765"/>
    <w:rsid w:val="0A2032A3"/>
    <w:rsid w:val="0AE77571"/>
    <w:rsid w:val="0F98263C"/>
    <w:rsid w:val="101860EC"/>
    <w:rsid w:val="10C055FF"/>
    <w:rsid w:val="118107EC"/>
    <w:rsid w:val="13C3447C"/>
    <w:rsid w:val="13D50BC4"/>
    <w:rsid w:val="14DD7678"/>
    <w:rsid w:val="16A85139"/>
    <w:rsid w:val="16BB723D"/>
    <w:rsid w:val="1BA15EFF"/>
    <w:rsid w:val="1BCD05D7"/>
    <w:rsid w:val="1BE8440E"/>
    <w:rsid w:val="1D155CEE"/>
    <w:rsid w:val="1DE86D9F"/>
    <w:rsid w:val="1F253C6E"/>
    <w:rsid w:val="1FF35744"/>
    <w:rsid w:val="226971BB"/>
    <w:rsid w:val="23860B96"/>
    <w:rsid w:val="240371BF"/>
    <w:rsid w:val="25824598"/>
    <w:rsid w:val="279B048A"/>
    <w:rsid w:val="29FD04D3"/>
    <w:rsid w:val="2ADA635E"/>
    <w:rsid w:val="2C8A61B5"/>
    <w:rsid w:val="2D9E6926"/>
    <w:rsid w:val="2DF04E50"/>
    <w:rsid w:val="2F040D46"/>
    <w:rsid w:val="319F7F4E"/>
    <w:rsid w:val="32FA30D2"/>
    <w:rsid w:val="3304709D"/>
    <w:rsid w:val="36AA5135"/>
    <w:rsid w:val="376D39B2"/>
    <w:rsid w:val="37E16F03"/>
    <w:rsid w:val="38D469F0"/>
    <w:rsid w:val="39AA2880"/>
    <w:rsid w:val="3AD24910"/>
    <w:rsid w:val="3D56682D"/>
    <w:rsid w:val="3D98207C"/>
    <w:rsid w:val="3E78745D"/>
    <w:rsid w:val="3E863D64"/>
    <w:rsid w:val="3F6F597F"/>
    <w:rsid w:val="42AD3BF9"/>
    <w:rsid w:val="44E268DA"/>
    <w:rsid w:val="4A627F82"/>
    <w:rsid w:val="4A890FC1"/>
    <w:rsid w:val="4AB80380"/>
    <w:rsid w:val="4B0E749A"/>
    <w:rsid w:val="4B1C7DB8"/>
    <w:rsid w:val="4B201DD0"/>
    <w:rsid w:val="4B4F25DA"/>
    <w:rsid w:val="4BE068DB"/>
    <w:rsid w:val="4D577224"/>
    <w:rsid w:val="4EAB630A"/>
    <w:rsid w:val="4ECE2238"/>
    <w:rsid w:val="4FD64A2E"/>
    <w:rsid w:val="537E6D0A"/>
    <w:rsid w:val="540D5905"/>
    <w:rsid w:val="5AF92295"/>
    <w:rsid w:val="5CA731C6"/>
    <w:rsid w:val="5CD71FC4"/>
    <w:rsid w:val="5DC0655D"/>
    <w:rsid w:val="5E1B4400"/>
    <w:rsid w:val="5FE84C69"/>
    <w:rsid w:val="615F4AAB"/>
    <w:rsid w:val="61BF7DEE"/>
    <w:rsid w:val="62DD39C2"/>
    <w:rsid w:val="633C5AB0"/>
    <w:rsid w:val="667C6943"/>
    <w:rsid w:val="67731CFA"/>
    <w:rsid w:val="68512E97"/>
    <w:rsid w:val="687C00FB"/>
    <w:rsid w:val="6A0731D8"/>
    <w:rsid w:val="6C4A05C8"/>
    <w:rsid w:val="6C6A4D83"/>
    <w:rsid w:val="6E7E3605"/>
    <w:rsid w:val="6ED71513"/>
    <w:rsid w:val="6F8814A6"/>
    <w:rsid w:val="6FF5CC65"/>
    <w:rsid w:val="706305CE"/>
    <w:rsid w:val="715C0E4B"/>
    <w:rsid w:val="72734D90"/>
    <w:rsid w:val="72B4116B"/>
    <w:rsid w:val="73AD73D5"/>
    <w:rsid w:val="73B6EB34"/>
    <w:rsid w:val="744731E5"/>
    <w:rsid w:val="75CE2F56"/>
    <w:rsid w:val="75FB0F9D"/>
    <w:rsid w:val="76E3355F"/>
    <w:rsid w:val="778769C8"/>
    <w:rsid w:val="77FE04E7"/>
    <w:rsid w:val="79304E75"/>
    <w:rsid w:val="796110D2"/>
    <w:rsid w:val="79EE5BA4"/>
    <w:rsid w:val="7A894339"/>
    <w:rsid w:val="7B14377D"/>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Calibri" w:hAnsi="Calibri"/>
    </w:rPr>
  </w:style>
  <w:style w:type="paragraph" w:styleId="6">
    <w:name w:val="annotation text"/>
    <w:basedOn w:val="1"/>
    <w:semiHidden/>
    <w:unhideWhenUsed/>
    <w:qFormat/>
    <w:uiPriority w:val="99"/>
    <w:pPr>
      <w:jc w:val="left"/>
    </w:pPr>
  </w:style>
  <w:style w:type="paragraph" w:styleId="7">
    <w:name w:val="Body Text"/>
    <w:basedOn w:val="1"/>
    <w:next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2 字符"/>
    <w:basedOn w:val="17"/>
    <w:link w:val="4"/>
    <w:qFormat/>
    <w:uiPriority w:val="9"/>
    <w:rPr>
      <w:rFonts w:asciiTheme="majorHAnsi" w:hAnsiTheme="majorHAnsi" w:eastAsiaTheme="majorEastAsia" w:cstheme="majorBidi"/>
      <w:b/>
      <w:bCs/>
      <w:kern w:val="2"/>
      <w:sz w:val="32"/>
      <w:szCs w:val="32"/>
    </w:rPr>
  </w:style>
  <w:style w:type="character" w:customStyle="1" w:styleId="21">
    <w:name w:val="标题 3 字符"/>
    <w:basedOn w:val="17"/>
    <w:link w:val="5"/>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字符"/>
    <w:link w:val="12"/>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字符"/>
    <w:link w:val="11"/>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7"/>
    <w:link w:val="3"/>
    <w:qFormat/>
    <w:uiPriority w:val="9"/>
    <w:rPr>
      <w:rFonts w:ascii="Times New Roman" w:hAnsi="Times New Roman"/>
      <w:b/>
      <w:bCs/>
      <w:kern w:val="44"/>
      <w:sz w:val="44"/>
      <w:szCs w:val="44"/>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7"/>
    <w:link w:val="10"/>
    <w:semiHidden/>
    <w:qFormat/>
    <w:uiPriority w:val="99"/>
    <w:rPr>
      <w:rFonts w:ascii="Times New Roman" w:hAnsi="Times New Roman"/>
      <w:kern w:val="2"/>
      <w:sz w:val="18"/>
      <w:szCs w:val="18"/>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77222222222222"/>
          <c:y val="0.0671296296296296"/>
          <c:w val="0.882"/>
          <c:h val="0.83712962962963"/>
        </c:manualLayout>
      </c:layout>
      <c:barChart>
        <c:barDir val="col"/>
        <c:grouping val="clustered"/>
        <c:varyColors val="0"/>
        <c:ser>
          <c:idx val="0"/>
          <c:order val="0"/>
          <c:spPr>
            <a:solidFill>
              <a:schemeClr val="accent1"/>
            </a:solidFill>
            <a:ln>
              <a:noFill/>
            </a:ln>
            <a:effectLst/>
          </c:spPr>
          <c:invertIfNegative val="0"/>
          <c:dLbls>
            <c:delete val="1"/>
          </c:dLbls>
          <c:cat>
            <c:strRef>
              <c:f>[工作簿1]Sheet1!$A$1:$B$1</c:f>
              <c:strCache>
                <c:ptCount val="2"/>
                <c:pt idx="0">
                  <c:v>2021年收支决算总计</c:v>
                </c:pt>
                <c:pt idx="1">
                  <c:v>2022年收支决算总计</c:v>
                </c:pt>
              </c:strCache>
            </c:strRef>
          </c:cat>
          <c:val>
            <c:numRef>
              <c:f>[工作簿1]Sheet1!$A$2:$B$2</c:f>
              <c:numCache>
                <c:formatCode>General</c:formatCode>
                <c:ptCount val="2"/>
                <c:pt idx="0">
                  <c:v>2582.36</c:v>
                </c:pt>
                <c:pt idx="1">
                  <c:v>502.3</c:v>
                </c:pt>
              </c:numCache>
            </c:numRef>
          </c:val>
        </c:ser>
        <c:dLbls>
          <c:showLegendKey val="0"/>
          <c:showVal val="0"/>
          <c:showCatName val="0"/>
          <c:showSerName val="0"/>
          <c:showPercent val="0"/>
          <c:showBubbleSize val="0"/>
        </c:dLbls>
        <c:gapWidth val="219"/>
        <c:overlap val="-27"/>
        <c:axId val="860598704"/>
        <c:axId val="30218816"/>
      </c:barChart>
      <c:catAx>
        <c:axId val="86059870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218816"/>
        <c:crosses val="autoZero"/>
        <c:auto val="1"/>
        <c:lblAlgn val="ctr"/>
        <c:lblOffset val="100"/>
        <c:noMultiLvlLbl val="0"/>
      </c:catAx>
      <c:valAx>
        <c:axId val="30218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05987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800" b="1" i="0" u="none" strike="noStrike" kern="1200" baseline="0">
              <a:solidFill>
                <a:schemeClr val="dk1">
                  <a:lumMod val="65000"/>
                  <a:lumOff val="35000"/>
                </a:schemeClr>
              </a:solidFill>
              <a:latin typeface="+mn-lt"/>
              <a:ea typeface="+mn-ea"/>
              <a:cs typeface="+mn-cs"/>
            </a:defRPr>
          </a:pPr>
        </a:p>
      </c:txPr>
    </c:title>
    <c:autoTitleDeleted val="0"/>
    <c:plotArea>
      <c:layout/>
      <c:pieChart>
        <c:varyColors val="1"/>
        <c:ser>
          <c:idx val="0"/>
          <c:order val="0"/>
          <c:tx>
            <c:strRef>
              <c:f>[工作簿1]Sheet1!$A$1</c:f>
              <c:strCache>
                <c:ptCount val="1"/>
                <c:pt idx="0">
                  <c:v>一般公共预算财政拨款收入</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val>
            <c:numRef>
              <c:f>[工作簿1]Sheet1!$A$2</c:f>
              <c:numCache>
                <c:formatCode>General</c:formatCode>
                <c:ptCount val="1"/>
                <c:pt idx="0">
                  <c:v>500.21</c:v>
                </c:pt>
              </c:numCache>
            </c:numRef>
          </c:val>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[工作簿1]Sheet1!$A$1:$B$1</c:f>
              <c:strCache>
                <c:ptCount val="2"/>
                <c:pt idx="0">
                  <c:v>基本支出</c:v>
                </c:pt>
                <c:pt idx="1">
                  <c:v>项目支出</c:v>
                </c:pt>
              </c:strCache>
            </c:strRef>
          </c:cat>
          <c:val>
            <c:numRef>
              <c:f>[工作簿1]Sheet1!$A$2:$B$2</c:f>
              <c:numCache>
                <c:formatCode>General</c:formatCode>
                <c:ptCount val="2"/>
                <c:pt idx="0">
                  <c:v>435.05</c:v>
                </c:pt>
                <c:pt idx="1">
                  <c:v>65.16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strRef>
              <c:f>[工作簿1]Sheet1!$A$1:$B$1</c:f>
              <c:strCache>
                <c:ptCount val="2"/>
                <c:pt idx="0">
                  <c:v>2021年财政拨款收支决算总计</c:v>
                </c:pt>
                <c:pt idx="1">
                  <c:v>2022年财政拨款收支决算总计</c:v>
                </c:pt>
              </c:strCache>
            </c:strRef>
          </c:cat>
          <c:val>
            <c:numRef>
              <c:f>[工作簿1]Sheet1!$A$2:$B$2</c:f>
              <c:numCache>
                <c:formatCode>General</c:formatCode>
                <c:ptCount val="2"/>
                <c:pt idx="0">
                  <c:v>2582.36</c:v>
                </c:pt>
                <c:pt idx="1">
                  <c:v>502.3</c:v>
                </c:pt>
              </c:numCache>
            </c:numRef>
          </c:val>
        </c:ser>
        <c:dLbls>
          <c:showLegendKey val="0"/>
          <c:showVal val="0"/>
          <c:showCatName val="0"/>
          <c:showSerName val="0"/>
          <c:showPercent val="0"/>
          <c:showBubbleSize val="0"/>
        </c:dLbls>
        <c:gapWidth val="219"/>
        <c:overlap val="-27"/>
        <c:axId val="522085169"/>
        <c:axId val="395233317"/>
      </c:barChart>
      <c:catAx>
        <c:axId val="52208516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5233317"/>
        <c:crosses val="autoZero"/>
        <c:auto val="1"/>
        <c:lblAlgn val="ctr"/>
        <c:lblOffset val="100"/>
        <c:noMultiLvlLbl val="0"/>
      </c:catAx>
      <c:valAx>
        <c:axId val="39523331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208516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strRef>
              <c:f>[工作簿1]Sheet1!$A$1:$B$1</c:f>
              <c:strCache>
                <c:ptCount val="2"/>
                <c:pt idx="0">
                  <c:v>2021年一般公共财政拨款支出决算</c:v>
                </c:pt>
                <c:pt idx="1">
                  <c:v>2022年一般公共财政拨款支出决算</c:v>
                </c:pt>
              </c:strCache>
            </c:strRef>
          </c:cat>
          <c:val>
            <c:numRef>
              <c:f>[工作簿1]Sheet1!$A$2:$B$2</c:f>
              <c:numCache>
                <c:formatCode>General</c:formatCode>
                <c:ptCount val="2"/>
                <c:pt idx="0">
                  <c:v>2582.36</c:v>
                </c:pt>
                <c:pt idx="1">
                  <c:v>500.21</c:v>
                </c:pt>
              </c:numCache>
            </c:numRef>
          </c:val>
        </c:ser>
        <c:dLbls>
          <c:showLegendKey val="0"/>
          <c:showVal val="0"/>
          <c:showCatName val="0"/>
          <c:showSerName val="0"/>
          <c:showPercent val="0"/>
          <c:showBubbleSize val="0"/>
        </c:dLbls>
        <c:gapWidth val="219"/>
        <c:overlap val="-27"/>
        <c:axId val="398909387"/>
        <c:axId val="306248149"/>
      </c:barChart>
      <c:catAx>
        <c:axId val="39890938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6248149"/>
        <c:crosses val="autoZero"/>
        <c:auto val="1"/>
        <c:lblAlgn val="ctr"/>
        <c:lblOffset val="100"/>
        <c:noMultiLvlLbl val="0"/>
      </c:catAx>
      <c:valAx>
        <c:axId val="30624814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890938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[工作簿1]Sheet1!$A$1:$B$1</c:f>
              <c:strCache>
                <c:ptCount val="2"/>
                <c:pt idx="0">
                  <c:v>公共安全支出</c:v>
                </c:pt>
                <c:pt idx="1">
                  <c:v>社会保障和就业支出</c:v>
                </c:pt>
              </c:strCache>
            </c:strRef>
          </c:cat>
          <c:val>
            <c:numRef>
              <c:f>[工作簿1]Sheet1!$A$2:$B$2</c:f>
              <c:numCache>
                <c:formatCode>General</c:formatCode>
                <c:ptCount val="2"/>
                <c:pt idx="0">
                  <c:v>489.71</c:v>
                </c:pt>
                <c:pt idx="1">
                  <c:v>10.5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2</TotalTime>
  <ScaleCrop>false</ScaleCrop>
  <LinksUpToDate>false</LinksUpToDate>
  <CharactersWithSpaces>7955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yhb</cp:lastModifiedBy>
  <cp:lastPrinted>2023-07-31T02:35:00Z</cp:lastPrinted>
  <dcterms:modified xsi:type="dcterms:W3CDTF">2023-11-06T02:45:21Z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A683B0ED30724B51AD6C64FBF4887DA3</vt:lpwstr>
  </property>
</Properties>
</file>