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96597"/>
      <w:bookmarkStart w:id="1" w:name="_Toc15377425"/>
      <w:bookmarkStart w:id="2" w:name="_Toc15378441"/>
      <w:bookmarkStart w:id="3" w:name="_Toc15396475"/>
      <w:bookmarkStart w:id="4" w:name="_Toc15377193"/>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bookmarkEnd w:id="0"/>
    <w:bookmarkEnd w:id="1"/>
    <w:bookmarkEnd w:id="2"/>
    <w:bookmarkEnd w:id="3"/>
    <w:bookmarkEnd w:id="4"/>
    <w:bookmarkEnd w:id="5"/>
    <w:p>
      <w:pPr>
        <w:adjustRightInd w:val="0"/>
        <w:snapToGrid w:val="0"/>
        <w:spacing w:line="360" w:lineRule="auto"/>
        <w:jc w:val="center"/>
        <w:outlineLvl w:val="0"/>
        <w:rPr>
          <w:rFonts w:hint="default" w:ascii="方正小标宋简体" w:hAnsi="方正小标宋简体" w:eastAsia="方正小标宋简体" w:cs="方正小标宋简体"/>
          <w:sz w:val="72"/>
          <w:szCs w:val="72"/>
          <w:lang w:val="en-US" w:eastAsia="zh-CN"/>
        </w:rPr>
      </w:pPr>
      <w:r>
        <w:rPr>
          <w:rFonts w:hint="eastAsia" w:ascii="方正小标宋简体" w:hAnsi="方正小标宋简体" w:eastAsia="方正小标宋简体" w:cs="方正小标宋简体"/>
          <w:sz w:val="72"/>
          <w:szCs w:val="72"/>
          <w:lang w:val="en-US" w:eastAsia="zh-CN"/>
        </w:rPr>
        <w:t>乐至县中和场镇卫生院2022年度决算公开表</w:t>
      </w: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ascii="黑体" w:hAnsi="黑体" w:eastAsia="黑体"/>
          <w:sz w:val="48"/>
          <w:szCs w:val="48"/>
        </w:rPr>
      </w:pP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2"/>
      </w:pPr>
      <w:r>
        <w:rPr>
          <w:rFonts w:hint="eastAsia"/>
        </w:rPr>
        <w:t>公开时间：2023年</w:t>
      </w:r>
      <w:r>
        <w:rPr>
          <w:rFonts w:hint="eastAsia"/>
          <w:lang w:val="en-US" w:eastAsia="zh-CN"/>
        </w:rPr>
        <w:t>10</w:t>
      </w:r>
      <w:r>
        <w:t xml:space="preserve"> </w:t>
      </w:r>
      <w:r>
        <w:rPr>
          <w:rFonts w:hint="eastAsia"/>
        </w:rPr>
        <w:t>月</w:t>
      </w:r>
      <w:r>
        <w:rPr>
          <w:rFonts w:hint="eastAsia"/>
          <w:lang w:val="en-US" w:eastAsia="zh-CN"/>
        </w:rPr>
        <w:t>19</w:t>
      </w:r>
      <w:r>
        <w:t xml:space="preserve"> </w:t>
      </w:r>
      <w:r>
        <w:rPr>
          <w:rFonts w:hint="eastAsia"/>
        </w:rPr>
        <w:t>日</w:t>
      </w:r>
    </w:p>
    <w:p/>
    <w:p>
      <w:pPr>
        <w:pStyle w:val="12"/>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3"/>
        <w:adjustRightInd w:val="0"/>
        <w:snapToGrid w:val="0"/>
        <w:spacing w:line="440" w:lineRule="exact"/>
        <w:jc w:val="left"/>
        <w:rPr>
          <w:rFonts w:ascii="仿宋" w:hAnsi="仿宋" w:eastAsia="仿宋"/>
          <w:sz w:val="24"/>
        </w:rPr>
      </w:pPr>
      <w:r>
        <w:rPr>
          <w:rFonts w:hint="eastAsia"/>
          <w:sz w:val="24"/>
        </w:rPr>
        <w:t>一、部门职责</w:t>
      </w:r>
    </w:p>
    <w:p>
      <w:pPr>
        <w:pStyle w:val="13"/>
        <w:adjustRightInd w:val="0"/>
        <w:snapToGrid w:val="0"/>
        <w:spacing w:line="440" w:lineRule="exact"/>
        <w:jc w:val="left"/>
        <w:rPr>
          <w:rFonts w:ascii="仿宋" w:hAnsi="仿宋" w:eastAsia="仿宋" w:cstheme="minorBidi"/>
          <w:sz w:val="24"/>
        </w:rPr>
      </w:pPr>
      <w:r>
        <w:rPr>
          <w:rFonts w:hint="eastAsia"/>
          <w:sz w:val="24"/>
        </w:rPr>
        <w:t>二、机构设置</w:t>
      </w:r>
    </w:p>
    <w:p>
      <w:pPr>
        <w:pStyle w:val="12"/>
        <w:adjustRightInd w:val="0"/>
        <w:snapToGrid w:val="0"/>
        <w:spacing w:before="0" w:line="440" w:lineRule="exact"/>
        <w:jc w:val="left"/>
        <w:rPr>
          <w:sz w:val="24"/>
          <w:szCs w:val="24"/>
        </w:rPr>
      </w:pPr>
      <w:r>
        <w:rPr>
          <w:rFonts w:hint="eastAsia"/>
          <w:sz w:val="24"/>
        </w:rPr>
        <w:t>第二部分 2022年度部门决算情况说明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3"/>
        <w:adjustRightInd w:val="0"/>
        <w:snapToGrid w:val="0"/>
        <w:spacing w:line="440" w:lineRule="exact"/>
        <w:ind w:leftChars="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九、国有资本经营预算支出决算情况说明</w:t>
      </w:r>
    </w:p>
    <w:p>
      <w:pPr>
        <w:adjustRightInd w:val="0"/>
        <w:snapToGrid w:val="0"/>
        <w:spacing w:line="440" w:lineRule="exact"/>
        <w:ind w:firstLine="420" w:firstLineChars="175"/>
        <w:jc w:val="left"/>
        <w:rPr>
          <w:rFonts w:asciiTheme="minorEastAsia" w:hAnsiTheme="minorEastAsia" w:eastAsiaTheme="minorEastAsia" w:cstheme="minorEastAsia"/>
          <w:sz w:val="24"/>
        </w:rPr>
      </w:pPr>
      <w:r>
        <w:rPr>
          <w:rStyle w:val="18"/>
          <w:rFonts w:hint="eastAsia" w:asciiTheme="minorEastAsia" w:hAnsiTheme="minorEastAsia" w:eastAsiaTheme="minorEastAsia" w:cstheme="minorEastAsia"/>
          <w:color w:val="auto"/>
          <w:sz w:val="24"/>
          <w:u w:val="none"/>
        </w:rPr>
        <w:t>十、</w:t>
      </w:r>
      <w:r>
        <w:rPr>
          <w:rFonts w:hint="eastAsia" w:asciiTheme="minorEastAsia" w:hAnsiTheme="minorEastAsia" w:eastAsiaTheme="minorEastAsia" w:cstheme="minorEastAsia"/>
          <w:sz w:val="24"/>
        </w:rPr>
        <w:t>其他重要事项的情况说明</w:t>
      </w:r>
      <w:r>
        <w:rPr>
          <w:rFonts w:hint="eastAsia" w:asciiTheme="minorEastAsia" w:hAnsiTheme="minorEastAsia" w:eastAsiaTheme="minorEastAsia" w:cstheme="minorEastAsia"/>
          <w:sz w:val="24"/>
        </w:rPr>
        <w:tab/>
      </w:r>
    </w:p>
    <w:p>
      <w:pPr>
        <w:pStyle w:val="12"/>
        <w:adjustRightInd w:val="0"/>
        <w:snapToGrid w:val="0"/>
        <w:spacing w:before="0" w:line="440" w:lineRule="exact"/>
        <w:jc w:val="left"/>
        <w:rPr>
          <w:rFonts w:hint="eastAsia"/>
          <w:sz w:val="24"/>
        </w:rPr>
      </w:pPr>
      <w:r>
        <w:rPr>
          <w:rFonts w:hint="eastAsia"/>
          <w:sz w:val="24"/>
        </w:rPr>
        <w:t>第三部分</w:t>
      </w:r>
      <w:r>
        <w:rPr>
          <w:sz w:val="24"/>
        </w:rPr>
        <w:t xml:space="preserve"> </w:t>
      </w:r>
      <w:r>
        <w:rPr>
          <w:rFonts w:hint="eastAsia"/>
          <w:sz w:val="24"/>
        </w:rPr>
        <w:t>名词解释</w:t>
      </w:r>
    </w:p>
    <w:p>
      <w:pPr>
        <w:rPr>
          <w:rFonts w:hint="default" w:eastAsia="宋体"/>
          <w:lang w:val="en-US" w:eastAsia="zh-CN"/>
        </w:rPr>
      </w:pPr>
      <w:r>
        <w:rPr>
          <w:rFonts w:hint="eastAsia" w:ascii="仿宋" w:hAnsi="仿宋" w:eastAsia="仿宋" w:cs="Times New Roman"/>
          <w:kern w:val="2"/>
          <w:sz w:val="24"/>
          <w:szCs w:val="28"/>
          <w:lang w:val="en-US" w:eastAsia="zh-CN" w:bidi="ar-SA"/>
        </w:rPr>
        <w:t>第四部分 附件</w:t>
      </w:r>
      <w:bookmarkStart w:id="62" w:name="_GoBack"/>
      <w:bookmarkEnd w:id="62"/>
    </w:p>
    <w:p>
      <w:pPr>
        <w:pStyle w:val="12"/>
        <w:adjustRightInd w:val="0"/>
        <w:snapToGrid w:val="0"/>
        <w:spacing w:before="0" w:line="440" w:lineRule="exact"/>
        <w:jc w:val="left"/>
        <w:rPr>
          <w:rFonts w:cstheme="minorBidi"/>
          <w:sz w:val="24"/>
          <w:szCs w:val="24"/>
        </w:rPr>
      </w:pPr>
      <w:r>
        <w:rPr>
          <w:rFonts w:hint="eastAsia"/>
          <w:sz w:val="24"/>
        </w:rPr>
        <w:t>第</w:t>
      </w:r>
      <w:r>
        <w:rPr>
          <w:rFonts w:hint="eastAsia"/>
          <w:sz w:val="24"/>
          <w:lang w:val="en-US" w:eastAsia="zh-CN"/>
        </w:rPr>
        <w:t>五</w:t>
      </w:r>
      <w:r>
        <w:rPr>
          <w:rFonts w:hint="eastAsia"/>
          <w:sz w:val="24"/>
        </w:rPr>
        <w:t>部分</w:t>
      </w:r>
      <w:r>
        <w:rPr>
          <w:sz w:val="24"/>
        </w:rPr>
        <w:t xml:space="preserve"> </w:t>
      </w:r>
      <w:r>
        <w:rPr>
          <w:rFonts w:hint="eastAsia"/>
          <w:sz w:val="24"/>
        </w:rPr>
        <w:t>附件</w:t>
      </w:r>
    </w:p>
    <w:p>
      <w:pPr>
        <w:pStyle w:val="13"/>
        <w:adjustRightInd w:val="0"/>
        <w:snapToGrid w:val="0"/>
        <w:spacing w:line="440" w:lineRule="exact"/>
        <w:jc w:val="left"/>
        <w:rPr>
          <w:sz w:val="24"/>
        </w:rPr>
      </w:pPr>
      <w:r>
        <w:rPr>
          <w:rFonts w:hint="eastAsia"/>
          <w:sz w:val="24"/>
        </w:rPr>
        <w:t>一、收入支出决算总表</w:t>
      </w:r>
    </w:p>
    <w:p>
      <w:pPr>
        <w:pStyle w:val="13"/>
        <w:adjustRightInd w:val="0"/>
        <w:snapToGrid w:val="0"/>
        <w:spacing w:line="440" w:lineRule="exact"/>
        <w:jc w:val="left"/>
        <w:rPr>
          <w:sz w:val="24"/>
        </w:rPr>
      </w:pPr>
      <w:r>
        <w:rPr>
          <w:rFonts w:hint="eastAsia"/>
          <w:sz w:val="24"/>
        </w:rPr>
        <w:t>二、收入决算表</w:t>
      </w:r>
    </w:p>
    <w:p>
      <w:pPr>
        <w:pStyle w:val="13"/>
        <w:adjustRightInd w:val="0"/>
        <w:snapToGrid w:val="0"/>
        <w:spacing w:line="440" w:lineRule="exact"/>
        <w:jc w:val="left"/>
        <w:rPr>
          <w:sz w:val="24"/>
        </w:rPr>
      </w:pPr>
      <w:r>
        <w:rPr>
          <w:rFonts w:hint="eastAsia"/>
          <w:sz w:val="24"/>
        </w:rPr>
        <w:t>三、支出决算表</w:t>
      </w:r>
    </w:p>
    <w:p>
      <w:pPr>
        <w:pStyle w:val="13"/>
        <w:adjustRightInd w:val="0"/>
        <w:snapToGrid w:val="0"/>
        <w:spacing w:line="440" w:lineRule="exact"/>
        <w:jc w:val="left"/>
        <w:rPr>
          <w:sz w:val="24"/>
        </w:rPr>
      </w:pPr>
      <w:r>
        <w:rPr>
          <w:rFonts w:hint="eastAsia"/>
          <w:sz w:val="24"/>
        </w:rPr>
        <w:t>四、财政拨款收入支出决算总表</w:t>
      </w:r>
    </w:p>
    <w:p>
      <w:pPr>
        <w:pStyle w:val="13"/>
        <w:adjustRightInd w:val="0"/>
        <w:snapToGrid w:val="0"/>
        <w:spacing w:line="440" w:lineRule="exact"/>
        <w:jc w:val="left"/>
        <w:rPr>
          <w:sz w:val="24"/>
        </w:rPr>
      </w:pPr>
      <w:r>
        <w:rPr>
          <w:rFonts w:hint="eastAsia"/>
          <w:sz w:val="24"/>
        </w:rPr>
        <w:t>五、财政拨款支出决算明细表</w:t>
      </w:r>
    </w:p>
    <w:p>
      <w:pPr>
        <w:pStyle w:val="13"/>
        <w:adjustRightInd w:val="0"/>
        <w:snapToGrid w:val="0"/>
        <w:spacing w:line="440" w:lineRule="exact"/>
        <w:jc w:val="left"/>
        <w:rPr>
          <w:sz w:val="24"/>
        </w:rPr>
      </w:pPr>
      <w:r>
        <w:rPr>
          <w:rFonts w:hint="eastAsia"/>
          <w:sz w:val="24"/>
        </w:rPr>
        <w:t>六、一般公共预算财政拨款支出决算表</w:t>
      </w:r>
    </w:p>
    <w:p>
      <w:pPr>
        <w:pStyle w:val="13"/>
        <w:adjustRightInd w:val="0"/>
        <w:snapToGrid w:val="0"/>
        <w:spacing w:line="440" w:lineRule="exact"/>
        <w:jc w:val="left"/>
        <w:rPr>
          <w:sz w:val="24"/>
        </w:rPr>
      </w:pPr>
      <w:r>
        <w:rPr>
          <w:rFonts w:hint="eastAsia"/>
          <w:sz w:val="24"/>
        </w:rPr>
        <w:t>七、一般公共预算财政拨款支出决算明细表</w:t>
      </w:r>
    </w:p>
    <w:p>
      <w:pPr>
        <w:pStyle w:val="13"/>
        <w:adjustRightInd w:val="0"/>
        <w:snapToGrid w:val="0"/>
        <w:spacing w:line="440" w:lineRule="exact"/>
        <w:jc w:val="left"/>
        <w:rPr>
          <w:sz w:val="24"/>
        </w:rPr>
      </w:pPr>
      <w:r>
        <w:rPr>
          <w:rFonts w:hint="eastAsia"/>
          <w:sz w:val="24"/>
        </w:rPr>
        <w:t>八、一般公共预算财政拨款基本支出决算明细表</w:t>
      </w:r>
    </w:p>
    <w:p>
      <w:pPr>
        <w:pStyle w:val="13"/>
        <w:adjustRightInd w:val="0"/>
        <w:snapToGrid w:val="0"/>
        <w:spacing w:line="440" w:lineRule="exact"/>
        <w:jc w:val="left"/>
        <w:rPr>
          <w:sz w:val="24"/>
        </w:rPr>
      </w:pPr>
      <w:r>
        <w:rPr>
          <w:rFonts w:hint="eastAsia"/>
          <w:sz w:val="24"/>
        </w:rPr>
        <w:t>九、一般公共预算财政拨款项目支出决算表</w:t>
      </w:r>
    </w:p>
    <w:p>
      <w:pPr>
        <w:pStyle w:val="13"/>
        <w:adjustRightInd w:val="0"/>
        <w:snapToGrid w:val="0"/>
        <w:spacing w:line="440" w:lineRule="exact"/>
        <w:jc w:val="left"/>
        <w:rPr>
          <w:sz w:val="24"/>
        </w:rPr>
      </w:pPr>
      <w:r>
        <w:rPr>
          <w:rFonts w:hint="eastAsia"/>
          <w:sz w:val="24"/>
        </w:rPr>
        <w:t>十、政府性基金预算财政拨款收入支出决算表</w:t>
      </w:r>
    </w:p>
    <w:p>
      <w:pPr>
        <w:pStyle w:val="13"/>
        <w:adjustRightInd w:val="0"/>
        <w:snapToGrid w:val="0"/>
        <w:spacing w:line="440" w:lineRule="exact"/>
        <w:jc w:val="left"/>
        <w:rPr>
          <w:sz w:val="24"/>
        </w:rPr>
      </w:pPr>
      <w:r>
        <w:rPr>
          <w:rFonts w:hint="eastAsia"/>
          <w:sz w:val="24"/>
        </w:rPr>
        <w:t>十一、国有资本经营预算财政拨款收入支出决算表</w:t>
      </w:r>
    </w:p>
    <w:p>
      <w:pPr>
        <w:pStyle w:val="13"/>
        <w:adjustRightInd w:val="0"/>
        <w:snapToGrid w:val="0"/>
        <w:spacing w:line="440" w:lineRule="exact"/>
        <w:jc w:val="left"/>
        <w:rPr>
          <w:sz w:val="24"/>
        </w:rPr>
      </w:pPr>
      <w:r>
        <w:rPr>
          <w:rFonts w:hint="eastAsia"/>
          <w:sz w:val="24"/>
        </w:rPr>
        <w:t>十二、国有资本经营预算财政拨款支出决算表</w:t>
      </w:r>
    </w:p>
    <w:p>
      <w:pPr>
        <w:pStyle w:val="13"/>
        <w:adjustRightInd w:val="0"/>
        <w:snapToGrid w:val="0"/>
        <w:spacing w:line="440" w:lineRule="exact"/>
        <w:jc w:val="left"/>
        <w:rPr>
          <w:rFonts w:asciiTheme="minorEastAsia" w:hAnsiTheme="minorEastAsia" w:eastAsiaTheme="minorEastAsia" w:cstheme="minorEastAsia"/>
          <w:sz w:val="24"/>
        </w:rPr>
      </w:pPr>
      <w:r>
        <w:rPr>
          <w:rFonts w:hint="eastAsia"/>
          <w:sz w:val="24"/>
        </w:rPr>
        <w:t>十三、财政拨款“三公”经费支出决算表</w:t>
      </w:r>
    </w:p>
    <w:p>
      <w:pPr>
        <w:widowControl/>
        <w:spacing w:line="440" w:lineRule="exact"/>
        <w:jc w:val="left"/>
        <w:rPr>
          <w:rFonts w:ascii="仿宋" w:hAnsi="仿宋" w:eastAsia="仿宋"/>
          <w:bCs/>
          <w:kern w:val="44"/>
          <w:sz w:val="24"/>
        </w:rPr>
      </w:pPr>
      <w:bookmarkStart w:id="6" w:name="_Toc15396599"/>
      <w:bookmarkStart w:id="7" w:name="_Toc15377196"/>
      <w:r>
        <w:rPr>
          <w:rFonts w:ascii="仿宋" w:hAnsi="仿宋" w:eastAsia="仿宋"/>
          <w:b/>
          <w:sz w:val="24"/>
        </w:rPr>
        <w:br w:type="page"/>
      </w:r>
    </w:p>
    <w:p>
      <w:pPr>
        <w:pStyle w:val="3"/>
        <w:jc w:val="center"/>
        <w:rPr>
          <w:rStyle w:val="28"/>
          <w:rFonts w:ascii="黑体" w:hAnsi="黑体" w:eastAsia="黑体"/>
          <w:b/>
          <w:bCs w:val="0"/>
        </w:rPr>
      </w:pPr>
      <w:r>
        <w:rPr>
          <w:rFonts w:hint="eastAsia" w:ascii="黑体" w:hAnsi="黑体" w:eastAsia="黑体"/>
          <w:b w:val="0"/>
        </w:rPr>
        <w:t xml:space="preserve">第一部分 </w:t>
      </w:r>
      <w:r>
        <w:rPr>
          <w:rStyle w:val="28"/>
          <w:rFonts w:hint="eastAsia" w:ascii="黑体" w:hAnsi="黑体" w:eastAsia="黑体"/>
          <w:b w:val="0"/>
          <w:bCs w:val="0"/>
        </w:rPr>
        <w:t>部门概况</w:t>
      </w:r>
      <w:bookmarkEnd w:id="6"/>
      <w:bookmarkEnd w:id="7"/>
    </w:p>
    <w:p>
      <w:pPr>
        <w:widowControl/>
        <w:jc w:val="left"/>
        <w:rPr>
          <w:rFonts w:ascii="黑体" w:eastAsia="黑体"/>
          <w:sz w:val="32"/>
          <w:szCs w:val="32"/>
        </w:rPr>
      </w:pPr>
    </w:p>
    <w:p>
      <w:pPr>
        <w:pStyle w:val="4"/>
        <w:rPr>
          <w:rStyle w:val="29"/>
          <w:rFonts w:ascii="仿宋" w:hAnsi="仿宋" w:eastAsia="黑体"/>
          <w:b w:val="0"/>
          <w:bCs w:val="0"/>
        </w:rPr>
      </w:pPr>
      <w:bookmarkStart w:id="8" w:name="_Toc15377197"/>
      <w:bookmarkStart w:id="9" w:name="_Toc15396600"/>
      <w:r>
        <w:rPr>
          <w:rFonts w:hint="eastAsia" w:ascii="黑体" w:hAnsi="黑体" w:eastAsia="黑体"/>
          <w:b w:val="0"/>
        </w:rPr>
        <w:t>一、</w:t>
      </w:r>
      <w:bookmarkEnd w:id="8"/>
      <w:bookmarkEnd w:id="9"/>
      <w:r>
        <w:rPr>
          <w:rFonts w:hint="eastAsia" w:ascii="黑体" w:hAnsi="黑体" w:eastAsia="黑体"/>
          <w:b w:val="0"/>
        </w:rPr>
        <w:t>部门职责</w:t>
      </w:r>
    </w:p>
    <w:p>
      <w:pPr>
        <w:pStyle w:val="4"/>
        <w:rPr>
          <w:rStyle w:val="29"/>
          <w:b w:val="0"/>
          <w:bCs w:val="0"/>
        </w:rPr>
      </w:pPr>
      <w:bookmarkStart w:id="10" w:name="_Toc15377200"/>
      <w:bookmarkStart w:id="11" w:name="_Toc15396601"/>
      <w:r>
        <w:rPr>
          <w:rFonts w:hint="eastAsia" w:ascii="黑体" w:eastAsia="黑体"/>
          <w:b w:val="0"/>
        </w:rPr>
        <w:t>二、</w:t>
      </w:r>
      <w:r>
        <w:rPr>
          <w:rFonts w:hint="eastAsia" w:ascii="黑体" w:hAnsi="黑体" w:eastAsia="黑体"/>
          <w:b w:val="0"/>
        </w:rPr>
        <w:t>机</w:t>
      </w:r>
      <w:r>
        <w:rPr>
          <w:rStyle w:val="29"/>
          <w:rFonts w:hint="eastAsia" w:ascii="黑体" w:hAnsi="黑体" w:eastAsia="黑体"/>
          <w:b w:val="0"/>
          <w:bCs w:val="0"/>
        </w:rPr>
        <w:t>构设置</w:t>
      </w:r>
      <w:bookmarkEnd w:id="10"/>
      <w:bookmarkEnd w:id="11"/>
    </w:p>
    <w:p>
      <w:pPr>
        <w:ind w:firstLine="800" w:firstLineChars="250"/>
        <w:rPr>
          <w:rFonts w:ascii="仿宋" w:hAnsi="仿宋" w:eastAsia="仿宋"/>
          <w:sz w:val="32"/>
          <w:szCs w:val="32"/>
        </w:rPr>
      </w:pPr>
      <w:r>
        <w:rPr>
          <w:rFonts w:hint="eastAsia" w:ascii="仿宋" w:hAnsi="仿宋" w:eastAsia="仿宋"/>
          <w:sz w:val="32"/>
          <w:szCs w:val="32"/>
          <w:lang w:val="en-US" w:eastAsia="zh-CN"/>
        </w:rPr>
        <w:t>中和场镇卫生院</w:t>
      </w:r>
      <w:r>
        <w:rPr>
          <w:rFonts w:hint="eastAsia" w:ascii="仿宋" w:hAnsi="仿宋" w:eastAsia="仿宋"/>
          <w:sz w:val="32"/>
          <w:szCs w:val="32"/>
        </w:rPr>
        <w:t>下属二级预算单位</w:t>
      </w:r>
      <w:r>
        <w:rPr>
          <w:rFonts w:hint="eastAsia" w:ascii="仿宋" w:hAnsi="仿宋" w:eastAsia="仿宋"/>
          <w:sz w:val="32"/>
          <w:szCs w:val="32"/>
          <w:lang w:val="en-US" w:eastAsia="zh-CN"/>
        </w:rPr>
        <w:t>0</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0</w:t>
      </w:r>
      <w:r>
        <w:rPr>
          <w:rFonts w:hint="eastAsia" w:ascii="仿宋" w:hAnsi="仿宋" w:eastAsia="仿宋"/>
          <w:sz w:val="32"/>
          <w:szCs w:val="32"/>
        </w:rPr>
        <w:t>个。纳入</w:t>
      </w:r>
      <w:r>
        <w:rPr>
          <w:rFonts w:hint="eastAsia" w:ascii="仿宋" w:hAnsi="仿宋" w:eastAsia="仿宋"/>
          <w:sz w:val="32"/>
          <w:szCs w:val="32"/>
          <w:lang w:val="en-US" w:eastAsia="zh-CN"/>
        </w:rPr>
        <w:t>中和场镇卫生院</w:t>
      </w:r>
      <w:r>
        <w:rPr>
          <w:rFonts w:hint="eastAsia" w:ascii="仿宋" w:hAnsi="仿宋" w:eastAsia="仿宋"/>
          <w:sz w:val="32"/>
          <w:szCs w:val="32"/>
        </w:rPr>
        <w:t>2022年度部门决算编制范围的二级预算单位包括：</w:t>
      </w:r>
    </w:p>
    <w:p>
      <w:pPr>
        <w:pStyle w:val="2"/>
        <w:numPr>
          <w:ilvl w:val="0"/>
          <w:numId w:val="1"/>
        </w:numPr>
        <w:adjustRightInd w:val="0"/>
        <w:snapToGrid w:val="0"/>
        <w:spacing w:before="93" w:line="600" w:lineRule="exact"/>
        <w:outlineLvl w:val="2"/>
        <w:rPr>
          <w:rFonts w:ascii="仿宋" w:hAnsi="仿宋" w:eastAsia="仿宋"/>
          <w:sz w:val="32"/>
          <w:szCs w:val="32"/>
        </w:rPr>
      </w:pPr>
      <w:r>
        <w:rPr>
          <w:rFonts w:hint="eastAsia" w:ascii="仿宋" w:hAnsi="仿宋" w:eastAsia="仿宋"/>
          <w:sz w:val="32"/>
          <w:szCs w:val="32"/>
          <w:lang w:val="en-US" w:eastAsia="zh-CN"/>
        </w:rPr>
        <w:t>乐至县中和场镇卫生院</w:t>
      </w:r>
    </w:p>
    <w:p>
      <w:pPr>
        <w:pStyle w:val="3"/>
        <w:ind w:right="440"/>
        <w:jc w:val="center"/>
        <w:rPr>
          <w:rStyle w:val="28"/>
          <w:rFonts w:ascii="黑体" w:hAnsi="黑体" w:eastAsia="黑体"/>
          <w:b w:val="0"/>
          <w:bCs/>
        </w:rPr>
      </w:pPr>
      <w:bookmarkStart w:id="12" w:name="_Toc15396602"/>
      <w:bookmarkStart w:id="13" w:name="_Toc15377204"/>
      <w:r>
        <w:rPr>
          <w:rFonts w:hint="eastAsia" w:ascii="黑体" w:hAnsi="黑体" w:eastAsia="黑体"/>
          <w:b w:val="0"/>
        </w:rPr>
        <w:t>第二部分 2022年度</w:t>
      </w:r>
      <w:r>
        <w:rPr>
          <w:rStyle w:val="28"/>
          <w:rFonts w:hint="eastAsia" w:ascii="黑体" w:hAnsi="黑体" w:eastAsia="黑体"/>
          <w:b w:val="0"/>
          <w:bCs/>
        </w:rPr>
        <w:t>部门决算情况说明</w:t>
      </w:r>
      <w:bookmarkEnd w:id="12"/>
      <w:bookmarkEnd w:id="13"/>
    </w:p>
    <w:p/>
    <w:p>
      <w:pPr>
        <w:pStyle w:val="27"/>
        <w:numPr>
          <w:ilvl w:val="0"/>
          <w:numId w:val="2"/>
        </w:numPr>
        <w:spacing w:line="600" w:lineRule="exact"/>
        <w:ind w:firstLineChars="0"/>
        <w:outlineLvl w:val="1"/>
        <w:rPr>
          <w:rStyle w:val="29"/>
          <w:rFonts w:ascii="黑体" w:hAnsi="黑体" w:eastAsia="黑体"/>
          <w:b w:val="0"/>
        </w:rPr>
      </w:pPr>
      <w:bookmarkStart w:id="14" w:name="_Toc15377205"/>
      <w:bookmarkStart w:id="15" w:name="_Toc15396603"/>
      <w:r>
        <w:rPr>
          <w:rFonts w:hint="eastAsia" w:ascii="黑体" w:hAnsi="黑体" w:eastAsia="黑体"/>
          <w:sz w:val="32"/>
          <w:szCs w:val="32"/>
        </w:rPr>
        <w:t>收</w:t>
      </w:r>
      <w:r>
        <w:rPr>
          <w:rStyle w:val="29"/>
          <w:rFonts w:hint="eastAsia" w:ascii="黑体" w:hAnsi="黑体" w:eastAsia="黑体"/>
          <w:b w:val="0"/>
        </w:rPr>
        <w:t>入支出决算总体情况说明</w:t>
      </w:r>
      <w:bookmarkEnd w:id="14"/>
      <w:bookmarkEnd w:id="15"/>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1188.58</w:t>
      </w:r>
      <w:r>
        <w:rPr>
          <w:rFonts w:hint="eastAsia" w:ascii="仿宋" w:hAnsi="仿宋" w:eastAsia="仿宋"/>
          <w:sz w:val="32"/>
          <w:szCs w:val="32"/>
        </w:rPr>
        <w:t>万元。与2021年相比，收、支总计各减少</w:t>
      </w:r>
      <w:r>
        <w:rPr>
          <w:rFonts w:hint="eastAsia" w:ascii="仿宋" w:hAnsi="仿宋" w:eastAsia="仿宋"/>
          <w:sz w:val="32"/>
          <w:szCs w:val="32"/>
          <w:lang w:val="en-US" w:eastAsia="zh-CN"/>
        </w:rPr>
        <w:t>19.71</w:t>
      </w:r>
      <w:r>
        <w:rPr>
          <w:rFonts w:hint="eastAsia" w:ascii="仿宋" w:hAnsi="仿宋" w:eastAsia="仿宋"/>
          <w:sz w:val="32"/>
          <w:szCs w:val="32"/>
        </w:rPr>
        <w:t>万元，下降</w:t>
      </w:r>
      <w:r>
        <w:rPr>
          <w:rFonts w:hint="eastAsia" w:ascii="仿宋" w:hAnsi="仿宋" w:eastAsia="仿宋"/>
          <w:sz w:val="32"/>
          <w:szCs w:val="32"/>
          <w:lang w:val="en-US" w:eastAsia="zh-CN"/>
        </w:rPr>
        <w:t>3.2</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w:t>
      </w:r>
      <w:r>
        <w:rPr>
          <w:rFonts w:hint="eastAsia" w:ascii="仿宋" w:hAnsi="仿宋" w:eastAsia="仿宋"/>
          <w:sz w:val="32"/>
          <w:szCs w:val="32"/>
          <w:lang w:val="en-US" w:eastAsia="zh-CN"/>
        </w:rPr>
        <w:t>患者减少导致收入支出下降</w:t>
      </w:r>
      <w:r>
        <w:rPr>
          <w:rFonts w:hint="eastAsia" w:ascii="仿宋" w:hAnsi="仿宋" w:eastAsia="仿宋"/>
          <w:sz w:val="32"/>
          <w:szCs w:val="32"/>
        </w:rPr>
        <w:t>。</w:t>
      </w:r>
    </w:p>
    <w:p>
      <w:pPr>
        <w:spacing w:line="600" w:lineRule="exact"/>
        <w:ind w:firstLine="640" w:firstLineChars="200"/>
        <w:jc w:val="left"/>
        <w:rPr>
          <w:rFonts w:ascii="仿宋_GB2312" w:eastAsia="仿宋_GB2312"/>
          <w:sz w:val="32"/>
          <w:szCs w:val="32"/>
        </w:rPr>
      </w:pPr>
    </w:p>
    <w:p>
      <w:pPr>
        <w:pStyle w:val="27"/>
        <w:numPr>
          <w:ilvl w:val="0"/>
          <w:numId w:val="2"/>
        </w:numPr>
        <w:spacing w:line="600" w:lineRule="exact"/>
        <w:ind w:firstLineChars="0"/>
        <w:outlineLvl w:val="1"/>
        <w:rPr>
          <w:rStyle w:val="29"/>
          <w:rFonts w:ascii="黑体" w:hAnsi="黑体" w:eastAsia="黑体"/>
          <w:b w:val="0"/>
        </w:rPr>
      </w:pPr>
      <w:bookmarkStart w:id="16" w:name="_Toc15377206"/>
      <w:bookmarkStart w:id="17" w:name="_Toc15396604"/>
      <w:r>
        <w:rPr>
          <w:rFonts w:hint="eastAsia" w:ascii="黑体" w:hAnsi="黑体" w:eastAsia="黑体"/>
          <w:sz w:val="32"/>
          <w:szCs w:val="32"/>
        </w:rPr>
        <w:t>收</w:t>
      </w:r>
      <w:r>
        <w:rPr>
          <w:rStyle w:val="29"/>
          <w:rFonts w:hint="eastAsia" w:ascii="黑体" w:hAnsi="黑体" w:eastAsia="黑体"/>
          <w:b w:val="0"/>
        </w:rPr>
        <w:t>入决算情况说明</w:t>
      </w:r>
      <w:bookmarkEnd w:id="16"/>
      <w:bookmarkEnd w:id="17"/>
    </w:p>
    <w:p>
      <w:pPr>
        <w:spacing w:line="600" w:lineRule="exact"/>
        <w:ind w:firstLine="640" w:firstLineChars="200"/>
        <w:outlineLvl w:val="1"/>
        <w:rPr>
          <w:rFonts w:eastAsia="仿宋"/>
          <w:i/>
          <w:color w:val="000000"/>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594.29</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115.46</w:t>
      </w:r>
      <w:r>
        <w:rPr>
          <w:rFonts w:hint="eastAsia" w:ascii="仿宋" w:hAnsi="仿宋" w:eastAsia="仿宋"/>
          <w:sz w:val="32"/>
          <w:szCs w:val="32"/>
        </w:rPr>
        <w:t>万元，占</w:t>
      </w:r>
      <w:r>
        <w:rPr>
          <w:rFonts w:hint="eastAsia" w:ascii="仿宋" w:hAnsi="仿宋" w:eastAsia="仿宋"/>
          <w:sz w:val="32"/>
          <w:szCs w:val="32"/>
          <w:lang w:val="en-US" w:eastAsia="zh-CN"/>
        </w:rPr>
        <w:t>19.4</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462.21</w:t>
      </w:r>
      <w:r>
        <w:rPr>
          <w:rFonts w:hint="eastAsia" w:ascii="仿宋" w:hAnsi="仿宋" w:eastAsia="仿宋"/>
          <w:sz w:val="32"/>
          <w:szCs w:val="32"/>
        </w:rPr>
        <w:t>万元，占</w:t>
      </w:r>
      <w:r>
        <w:rPr>
          <w:rFonts w:hint="eastAsia" w:ascii="仿宋" w:hAnsi="仿宋" w:eastAsia="仿宋"/>
          <w:sz w:val="32"/>
          <w:szCs w:val="32"/>
          <w:lang w:val="en-US" w:eastAsia="zh-CN"/>
        </w:rPr>
        <w:t>77.8</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16.62</w:t>
      </w:r>
      <w:r>
        <w:rPr>
          <w:rFonts w:hint="eastAsia" w:ascii="仿宋" w:hAnsi="仿宋" w:eastAsia="仿宋"/>
          <w:sz w:val="32"/>
          <w:szCs w:val="32"/>
        </w:rPr>
        <w:t>万元，占</w:t>
      </w:r>
      <w:r>
        <w:rPr>
          <w:rFonts w:hint="eastAsia" w:ascii="仿宋" w:hAnsi="仿宋" w:eastAsia="仿宋"/>
          <w:sz w:val="32"/>
          <w:szCs w:val="32"/>
          <w:lang w:val="en-US" w:eastAsia="zh-CN"/>
        </w:rPr>
        <w:t>2.8</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_GB2312" w:eastAsia="仿宋_GB2312"/>
          <w:sz w:val="32"/>
          <w:szCs w:val="32"/>
        </w:rPr>
      </w:pPr>
      <w:r>
        <w:rPr>
          <w:rFonts w:eastAsia="仿宋"/>
          <w:i/>
          <w:color w:val="000000"/>
          <w:sz w:val="32"/>
          <w:szCs w:val="32"/>
          <w:highlight w:val="yellow"/>
        </w:rPr>
        <w:drawing>
          <wp:anchor distT="0" distB="0" distL="114300" distR="114300" simplePos="0" relativeHeight="251659264" behindDoc="0" locked="0" layoutInCell="1" allowOverlap="1">
            <wp:simplePos x="0" y="0"/>
            <wp:positionH relativeFrom="column">
              <wp:posOffset>24130</wp:posOffset>
            </wp:positionH>
            <wp:positionV relativeFrom="paragraph">
              <wp:posOffset>194945</wp:posOffset>
            </wp:positionV>
            <wp:extent cx="5256530" cy="2988310"/>
            <wp:effectExtent l="5080" t="4445" r="15240" b="1714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7"/>
        <w:numPr>
          <w:ilvl w:val="0"/>
          <w:numId w:val="2"/>
        </w:numPr>
        <w:spacing w:line="600" w:lineRule="exact"/>
        <w:ind w:firstLineChars="0"/>
        <w:outlineLvl w:val="1"/>
        <w:rPr>
          <w:rStyle w:val="29"/>
          <w:rFonts w:ascii="黑体" w:hAnsi="黑体" w:eastAsia="黑体"/>
          <w:b w:val="0"/>
        </w:rPr>
      </w:pPr>
      <w:bookmarkStart w:id="18" w:name="_Toc15396605"/>
      <w:bookmarkStart w:id="19" w:name="_Toc15377207"/>
      <w:r>
        <w:rPr>
          <w:rFonts w:hint="eastAsia" w:ascii="黑体" w:hAnsi="黑体" w:eastAsia="黑体"/>
          <w:sz w:val="32"/>
          <w:szCs w:val="32"/>
        </w:rPr>
        <w:t>支</w:t>
      </w:r>
      <w:r>
        <w:rPr>
          <w:rStyle w:val="29"/>
          <w:rFonts w:hint="eastAsia" w:ascii="黑体" w:hAnsi="黑体" w:eastAsia="黑体"/>
          <w:b w:val="0"/>
        </w:rPr>
        <w:t>出决算情况说明</w:t>
      </w:r>
      <w:bookmarkEnd w:id="18"/>
      <w:bookmarkEnd w:id="19"/>
    </w:p>
    <w:p>
      <w:pPr>
        <w:spacing w:line="600" w:lineRule="exact"/>
        <w:ind w:firstLine="640" w:firstLineChars="200"/>
        <w:outlineLvl w:val="1"/>
        <w:rPr>
          <w:rFonts w:eastAsia="仿宋"/>
          <w:i/>
          <w:color w:val="000000"/>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594.29</w:t>
      </w:r>
      <w:r>
        <w:rPr>
          <w:rFonts w:hint="eastAsia" w:ascii="仿宋" w:hAnsi="仿宋" w:eastAsia="仿宋"/>
          <w:sz w:val="32"/>
          <w:szCs w:val="32"/>
        </w:rPr>
        <w:t>万元，其中：基本支出</w:t>
      </w:r>
      <w:r>
        <w:rPr>
          <w:rFonts w:hint="eastAsia" w:ascii="仿宋" w:hAnsi="仿宋" w:eastAsia="仿宋"/>
          <w:sz w:val="32"/>
          <w:szCs w:val="32"/>
          <w:lang w:val="en-US" w:eastAsia="zh-CN"/>
        </w:rPr>
        <w:t>488.58</w:t>
      </w:r>
      <w:r>
        <w:rPr>
          <w:rFonts w:hint="eastAsia" w:ascii="仿宋" w:hAnsi="仿宋" w:eastAsia="仿宋"/>
          <w:sz w:val="32"/>
          <w:szCs w:val="32"/>
        </w:rPr>
        <w:t>万元，占</w:t>
      </w:r>
      <w:r>
        <w:rPr>
          <w:rFonts w:hint="eastAsia" w:ascii="仿宋" w:hAnsi="仿宋" w:eastAsia="仿宋"/>
          <w:sz w:val="32"/>
          <w:szCs w:val="32"/>
          <w:lang w:val="en-US" w:eastAsia="zh-CN"/>
        </w:rPr>
        <w:t>82.2</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105.71</w:t>
      </w:r>
      <w:r>
        <w:rPr>
          <w:rFonts w:hint="eastAsia" w:ascii="仿宋" w:hAnsi="仿宋" w:eastAsia="仿宋"/>
          <w:sz w:val="32"/>
          <w:szCs w:val="32"/>
        </w:rPr>
        <w:t>万元，占</w:t>
      </w:r>
      <w:r>
        <w:rPr>
          <w:rFonts w:hint="eastAsia" w:ascii="仿宋" w:hAnsi="仿宋" w:eastAsia="仿宋"/>
          <w:sz w:val="32"/>
          <w:szCs w:val="32"/>
          <w:lang w:val="en-US" w:eastAsia="zh-CN"/>
        </w:rPr>
        <w:t>17.8</w:t>
      </w:r>
      <w:r>
        <w:rPr>
          <w:rFonts w:ascii="仿宋" w:hAnsi="仿宋" w:eastAsia="仿宋"/>
          <w:sz w:val="32"/>
          <w:szCs w:val="32"/>
        </w:rPr>
        <w:t>%</w:t>
      </w:r>
      <w:r>
        <w:rPr>
          <w:rFonts w:hint="eastAsia" w:ascii="仿宋" w:hAnsi="仿宋" w:eastAsia="仿宋"/>
          <w:sz w:val="32"/>
          <w:szCs w:val="32"/>
        </w:rPr>
        <w:t>；</w:t>
      </w:r>
    </w:p>
    <w:p>
      <w:pPr>
        <w:spacing w:line="600" w:lineRule="exact"/>
        <w:rPr>
          <w:rFonts w:ascii="仿宋_GB2312" w:eastAsia="仿宋_GB2312"/>
          <w:sz w:val="32"/>
          <w:szCs w:val="32"/>
        </w:rPr>
      </w:pPr>
      <w:r>
        <w:rPr>
          <w:rFonts w:hint="eastAsia" w:eastAsia="仿宋"/>
          <w:i/>
          <w:color w:val="000000"/>
          <w:sz w:val="32"/>
          <w:szCs w:val="32"/>
          <w:highlight w:val="yellow"/>
          <w:lang w:eastAsia="zh-CN"/>
        </w:rPr>
        <w:drawing>
          <wp:anchor distT="0" distB="0" distL="114300" distR="114300" simplePos="0" relativeHeight="251660288" behindDoc="0" locked="0" layoutInCell="1" allowOverlap="1">
            <wp:simplePos x="0" y="0"/>
            <wp:positionH relativeFrom="column">
              <wp:posOffset>11430</wp:posOffset>
            </wp:positionH>
            <wp:positionV relativeFrom="paragraph">
              <wp:posOffset>375920</wp:posOffset>
            </wp:positionV>
            <wp:extent cx="5256530" cy="2988310"/>
            <wp:effectExtent l="5080" t="4445" r="15240" b="17145"/>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outlineLvl w:val="1"/>
        <w:rPr>
          <w:rStyle w:val="29"/>
          <w:rFonts w:ascii="黑体" w:hAnsi="黑体" w:eastAsia="黑体"/>
          <w:b w:val="0"/>
        </w:rPr>
      </w:pPr>
      <w:bookmarkStart w:id="20" w:name="_Toc15377208"/>
      <w:bookmarkStart w:id="21" w:name="_Toc15396606"/>
      <w:r>
        <w:rPr>
          <w:rFonts w:hint="eastAsia" w:ascii="黑体" w:hAnsi="黑体" w:eastAsia="黑体"/>
          <w:sz w:val="32"/>
          <w:szCs w:val="32"/>
        </w:rPr>
        <w:t>四、财</w:t>
      </w:r>
      <w:r>
        <w:rPr>
          <w:rStyle w:val="29"/>
          <w:rFonts w:hint="eastAsia" w:ascii="黑体" w:hAnsi="黑体" w:eastAsia="黑体"/>
          <w:b w:val="0"/>
        </w:rPr>
        <w:t>政拨款收入支出决算总体情况说明</w:t>
      </w:r>
      <w:bookmarkEnd w:id="20"/>
      <w:bookmarkEnd w:id="21"/>
    </w:p>
    <w:p>
      <w:pPr>
        <w:spacing w:line="600" w:lineRule="exact"/>
        <w:ind w:firstLine="640"/>
        <w:rPr>
          <w:rFonts w:hint="default"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230.92</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21年相比，财政拨款收、支总计各减少</w:t>
      </w:r>
      <w:r>
        <w:rPr>
          <w:rFonts w:hint="eastAsia" w:ascii="仿宋" w:hAnsi="仿宋" w:eastAsia="仿宋"/>
          <w:sz w:val="32"/>
          <w:szCs w:val="32"/>
          <w:lang w:val="en-US" w:eastAsia="zh-CN"/>
        </w:rPr>
        <w:t>54.54</w:t>
      </w:r>
      <w:r>
        <w:rPr>
          <w:rFonts w:hint="eastAsia" w:ascii="仿宋" w:hAnsi="仿宋" w:eastAsia="仿宋"/>
          <w:sz w:val="32"/>
          <w:szCs w:val="32"/>
        </w:rPr>
        <w:t>万元，下降</w:t>
      </w:r>
      <w:r>
        <w:rPr>
          <w:rFonts w:hint="eastAsia" w:ascii="仿宋" w:hAnsi="仿宋" w:eastAsia="仿宋"/>
          <w:sz w:val="32"/>
          <w:szCs w:val="32"/>
          <w:lang w:val="en-US" w:eastAsia="zh-CN"/>
        </w:rPr>
        <w:t>32.1</w:t>
      </w:r>
      <w:r>
        <w:rPr>
          <w:rFonts w:ascii="仿宋" w:hAnsi="仿宋" w:eastAsia="仿宋"/>
          <w:sz w:val="32"/>
          <w:szCs w:val="32"/>
        </w:rPr>
        <w:t>%</w:t>
      </w:r>
      <w:r>
        <w:rPr>
          <w:rFonts w:hint="eastAsia" w:ascii="仿宋" w:hAnsi="仿宋" w:eastAsia="仿宋"/>
          <w:sz w:val="32"/>
          <w:szCs w:val="32"/>
        </w:rPr>
        <w:t>。主要变动原因</w:t>
      </w:r>
      <w:r>
        <w:rPr>
          <w:rFonts w:hint="eastAsia" w:ascii="仿宋" w:hAnsi="仿宋" w:eastAsia="仿宋"/>
          <w:sz w:val="32"/>
          <w:szCs w:val="32"/>
          <w:lang w:val="en-US" w:eastAsia="zh-CN"/>
        </w:rPr>
        <w:t>是：财政困难。</w:t>
      </w:r>
    </w:p>
    <w:p>
      <w:pPr>
        <w:spacing w:line="600" w:lineRule="exact"/>
        <w:ind w:firstLine="640" w:firstLineChars="200"/>
        <w:outlineLvl w:val="1"/>
        <w:rPr>
          <w:rFonts w:hint="eastAsia" w:ascii="黑体" w:hAnsi="黑体" w:eastAsia="黑体"/>
          <w:sz w:val="32"/>
          <w:szCs w:val="32"/>
          <w:lang w:eastAsia="zh-CN"/>
        </w:rPr>
      </w:pPr>
      <w:bookmarkStart w:id="22" w:name="_Toc15396607"/>
      <w:bookmarkStart w:id="23" w:name="_Toc15377209"/>
      <w:r>
        <w:rPr>
          <w:rFonts w:hint="eastAsia" w:ascii="黑体" w:hAnsi="黑体" w:eastAsia="黑体"/>
          <w:sz w:val="32"/>
          <w:szCs w:val="32"/>
          <w:lang w:eastAsia="zh-CN"/>
        </w:rPr>
        <w:drawing>
          <wp:anchor distT="0" distB="0" distL="114300" distR="114300" simplePos="0" relativeHeight="251661312" behindDoc="0" locked="0" layoutInCell="1" allowOverlap="1">
            <wp:simplePos x="0" y="0"/>
            <wp:positionH relativeFrom="column">
              <wp:posOffset>18415</wp:posOffset>
            </wp:positionH>
            <wp:positionV relativeFrom="paragraph">
              <wp:posOffset>306070</wp:posOffset>
            </wp:positionV>
            <wp:extent cx="5256530" cy="2341880"/>
            <wp:effectExtent l="4445" t="4445" r="15875" b="15875"/>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1"/>
        <w:rPr>
          <w:rStyle w:val="29"/>
          <w:rFonts w:ascii="黑体" w:hAnsi="黑体" w:eastAsia="黑体"/>
          <w:b w:val="0"/>
        </w:rPr>
      </w:pPr>
      <w:r>
        <w:rPr>
          <w:rFonts w:hint="eastAsia" w:ascii="黑体" w:hAnsi="黑体" w:eastAsia="黑体"/>
          <w:sz w:val="32"/>
          <w:szCs w:val="32"/>
        </w:rPr>
        <w:t>五、</w:t>
      </w:r>
      <w:r>
        <w:rPr>
          <w:rFonts w:hint="eastAsia" w:ascii="黑体" w:hAnsi="黑体" w:eastAsia="黑体"/>
          <w:b/>
          <w:sz w:val="32"/>
          <w:szCs w:val="32"/>
        </w:rPr>
        <w:t>一</w:t>
      </w:r>
      <w:r>
        <w:rPr>
          <w:rStyle w:val="29"/>
          <w:rFonts w:hint="eastAsia" w:ascii="黑体" w:hAnsi="黑体" w:eastAsia="黑体"/>
          <w:b w:val="0"/>
        </w:rPr>
        <w:t>般公共预算财政拨款支出决算情况说明</w:t>
      </w:r>
      <w:bookmarkEnd w:id="22"/>
      <w:bookmarkEnd w:id="23"/>
    </w:p>
    <w:p>
      <w:pPr>
        <w:spacing w:line="600" w:lineRule="exact"/>
        <w:ind w:firstLine="643" w:firstLineChars="200"/>
        <w:outlineLvl w:val="2"/>
        <w:rPr>
          <w:rFonts w:ascii="仿宋" w:hAnsi="仿宋" w:eastAsia="仿宋"/>
          <w:b/>
          <w:sz w:val="32"/>
          <w:szCs w:val="32"/>
        </w:rPr>
      </w:pPr>
      <w:bookmarkStart w:id="24" w:name="_Toc15377210"/>
      <w:r>
        <w:rPr>
          <w:rFonts w:hint="eastAsia" w:ascii="仿宋" w:hAnsi="仿宋" w:eastAsia="仿宋"/>
          <w:b/>
          <w:sz w:val="32"/>
          <w:szCs w:val="32"/>
        </w:rPr>
        <w:t>（一）一般公共预算财政拨款支出决算总体情况</w:t>
      </w:r>
      <w:bookmarkEnd w:id="24"/>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115.46</w:t>
      </w:r>
      <w:r>
        <w:rPr>
          <w:rFonts w:hint="eastAsia" w:ascii="仿宋" w:hAnsi="仿宋" w:eastAsia="仿宋"/>
          <w:sz w:val="32"/>
          <w:szCs w:val="32"/>
        </w:rPr>
        <w:t>万元，占本年支出合计的</w:t>
      </w:r>
      <w:r>
        <w:rPr>
          <w:rFonts w:hint="eastAsia" w:ascii="仿宋" w:hAnsi="仿宋" w:eastAsia="仿宋"/>
          <w:sz w:val="32"/>
          <w:szCs w:val="32"/>
          <w:lang w:val="en-US" w:eastAsia="zh-CN"/>
        </w:rPr>
        <w:t>19.4</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w:t>
      </w:r>
      <w:r>
        <w:rPr>
          <w:rFonts w:hint="eastAsia" w:ascii="仿宋" w:hAnsi="仿宋" w:eastAsia="仿宋"/>
          <w:sz w:val="32"/>
          <w:szCs w:val="32"/>
          <w:lang w:val="en-US" w:eastAsia="zh-CN"/>
        </w:rPr>
        <w:t>54.54</w:t>
      </w:r>
      <w:r>
        <w:rPr>
          <w:rFonts w:hint="eastAsia" w:ascii="仿宋" w:hAnsi="仿宋" w:eastAsia="仿宋"/>
          <w:sz w:val="32"/>
          <w:szCs w:val="32"/>
        </w:rPr>
        <w:t>万元，下降</w:t>
      </w:r>
      <w:r>
        <w:rPr>
          <w:rFonts w:hint="eastAsia" w:ascii="仿宋" w:hAnsi="仿宋" w:eastAsia="仿宋"/>
          <w:sz w:val="32"/>
          <w:szCs w:val="32"/>
          <w:lang w:val="en-US" w:eastAsia="zh-CN"/>
        </w:rPr>
        <w:t>32.1</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drawing>
          <wp:anchor distT="0" distB="0" distL="114300" distR="114300" simplePos="0" relativeHeight="251662336" behindDoc="0" locked="0" layoutInCell="1" allowOverlap="1">
            <wp:simplePos x="0" y="0"/>
            <wp:positionH relativeFrom="column">
              <wp:posOffset>122555</wp:posOffset>
            </wp:positionH>
            <wp:positionV relativeFrom="paragraph">
              <wp:posOffset>321310</wp:posOffset>
            </wp:positionV>
            <wp:extent cx="5256530" cy="2988310"/>
            <wp:effectExtent l="5080" t="4445" r="15240" b="17145"/>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3" w:firstLineChars="200"/>
        <w:outlineLvl w:val="2"/>
        <w:rPr>
          <w:rFonts w:ascii="仿宋" w:hAnsi="仿宋" w:eastAsia="仿宋"/>
          <w:b/>
          <w:sz w:val="32"/>
          <w:szCs w:val="32"/>
        </w:rPr>
      </w:pPr>
      <w:bookmarkStart w:id="25" w:name="_Toc15377211"/>
      <w:r>
        <w:rPr>
          <w:rFonts w:hint="eastAsia" w:ascii="仿宋" w:hAnsi="仿宋" w:eastAsia="仿宋"/>
          <w:b/>
          <w:sz w:val="32"/>
          <w:szCs w:val="32"/>
        </w:rPr>
        <w:t>（二）一般公共预算财政拨款支出决算结构情况</w:t>
      </w:r>
      <w:bookmarkEnd w:id="25"/>
    </w:p>
    <w:p>
      <w:pPr>
        <w:spacing w:line="600" w:lineRule="exact"/>
        <w:ind w:firstLine="640"/>
        <w:rPr>
          <w:rFonts w:hint="eastAsia" w:ascii="仿宋" w:hAnsi="仿宋" w:eastAsia="仿宋"/>
          <w:b/>
          <w:sz w:val="32"/>
          <w:szCs w:val="32"/>
          <w:lang w:eastAsia="zh-CN"/>
        </w:rPr>
      </w:pPr>
      <w:r>
        <w:rPr>
          <w:rFonts w:hint="eastAsia" w:ascii="仿宋" w:hAnsi="仿宋" w:eastAsia="仿宋"/>
          <w:b/>
          <w:sz w:val="32"/>
          <w:szCs w:val="32"/>
          <w:lang w:eastAsia="zh-CN"/>
        </w:rPr>
        <w:drawing>
          <wp:anchor distT="0" distB="0" distL="114300" distR="114300" simplePos="0" relativeHeight="251663360" behindDoc="0" locked="0" layoutInCell="1" allowOverlap="1">
            <wp:simplePos x="0" y="0"/>
            <wp:positionH relativeFrom="column">
              <wp:posOffset>57785</wp:posOffset>
            </wp:positionH>
            <wp:positionV relativeFrom="paragraph">
              <wp:posOffset>1256030</wp:posOffset>
            </wp:positionV>
            <wp:extent cx="5256530" cy="2417445"/>
            <wp:effectExtent l="4445" t="4445" r="15875" b="1651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115.46</w:t>
      </w:r>
      <w:r>
        <w:rPr>
          <w:rFonts w:hint="eastAsia" w:ascii="仿宋" w:hAnsi="仿宋" w:eastAsia="仿宋"/>
          <w:sz w:val="32"/>
          <w:szCs w:val="32"/>
        </w:rPr>
        <w:t>万元，主要用于以下方面</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b/>
          <w:bCs/>
          <w:sz w:val="32"/>
          <w:szCs w:val="32"/>
          <w:lang w:val="en-US" w:eastAsia="zh-CN"/>
        </w:rPr>
        <w:t>3.83</w:t>
      </w:r>
      <w:r>
        <w:rPr>
          <w:rFonts w:hint="eastAsia" w:ascii="仿宋" w:hAnsi="仿宋" w:eastAsia="仿宋"/>
          <w:sz w:val="32"/>
          <w:szCs w:val="32"/>
        </w:rPr>
        <w:t>万元，占</w:t>
      </w:r>
      <w:r>
        <w:rPr>
          <w:rFonts w:hint="eastAsia" w:ascii="仿宋" w:hAnsi="仿宋" w:eastAsia="仿宋"/>
          <w:sz w:val="32"/>
          <w:szCs w:val="32"/>
          <w:lang w:val="en-US" w:eastAsia="zh-CN"/>
        </w:rPr>
        <w:t>3.3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b/>
          <w:bCs/>
          <w:sz w:val="32"/>
          <w:szCs w:val="32"/>
          <w:lang w:val="en-US" w:eastAsia="zh-CN"/>
        </w:rPr>
        <w:t>111.63</w:t>
      </w:r>
      <w:r>
        <w:rPr>
          <w:rFonts w:hint="eastAsia" w:ascii="仿宋" w:hAnsi="仿宋" w:eastAsia="仿宋"/>
          <w:sz w:val="32"/>
          <w:szCs w:val="32"/>
        </w:rPr>
        <w:t>万元，占</w:t>
      </w:r>
      <w:r>
        <w:rPr>
          <w:rFonts w:hint="eastAsia" w:ascii="仿宋" w:hAnsi="仿宋" w:eastAsia="仿宋"/>
          <w:sz w:val="32"/>
          <w:szCs w:val="32"/>
          <w:lang w:val="en-US" w:eastAsia="zh-CN"/>
        </w:rPr>
        <w:t>96.7</w:t>
      </w:r>
      <w:r>
        <w:rPr>
          <w:rFonts w:ascii="仿宋" w:hAnsi="仿宋" w:eastAsia="仿宋"/>
          <w:sz w:val="32"/>
          <w:szCs w:val="32"/>
        </w:rPr>
        <w:t>%</w:t>
      </w:r>
      <w:r>
        <w:rPr>
          <w:rFonts w:hint="eastAsia" w:ascii="仿宋" w:hAnsi="仿宋" w:eastAsia="仿宋"/>
          <w:sz w:val="32"/>
          <w:szCs w:val="32"/>
        </w:rPr>
        <w:t>。</w:t>
      </w:r>
      <w:bookmarkStart w:id="26" w:name="_Toc15377212"/>
    </w:p>
    <w:p>
      <w:pPr>
        <w:spacing w:line="600" w:lineRule="exact"/>
        <w:ind w:firstLine="643" w:firstLineChars="200"/>
        <w:outlineLvl w:val="2"/>
        <w:rPr>
          <w:rFonts w:ascii="仿宋" w:hAnsi="仿宋" w:eastAsia="仿宋"/>
          <w:b/>
          <w:sz w:val="32"/>
          <w:szCs w:val="32"/>
        </w:rPr>
      </w:pPr>
      <w:r>
        <w:rPr>
          <w:rFonts w:hint="eastAsia" w:ascii="仿宋" w:hAnsi="仿宋" w:eastAsia="仿宋"/>
          <w:b/>
          <w:sz w:val="32"/>
          <w:szCs w:val="32"/>
        </w:rPr>
        <w:t>（三）一般公共预算财政拨款支出决算具体情况</w:t>
      </w:r>
      <w:bookmarkEnd w:id="26"/>
    </w:p>
    <w:p>
      <w:pPr>
        <w:spacing w:line="600" w:lineRule="exact"/>
        <w:ind w:firstLine="643" w:firstLineChars="200"/>
        <w:outlineLvl w:val="2"/>
        <w:rPr>
          <w:rFonts w:ascii="仿宋" w:hAnsi="仿宋" w:eastAsia="仿宋"/>
          <w:sz w:val="32"/>
          <w:szCs w:val="32"/>
        </w:rPr>
      </w:pPr>
      <w:bookmarkStart w:id="27" w:name="_Toc15377444"/>
      <w:bookmarkStart w:id="28" w:name="_Toc15377213"/>
      <w:bookmarkStart w:id="29" w:name="_Toc15378460"/>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115.46万元</w:t>
      </w:r>
      <w:r>
        <w:rPr>
          <w:rFonts w:hint="eastAsia" w:ascii="仿宋" w:hAnsi="仿宋" w:eastAsia="仿宋"/>
          <w:sz w:val="32"/>
          <w:szCs w:val="32"/>
        </w:rPr>
        <w:t>，</w:t>
      </w:r>
      <w:r>
        <w:rPr>
          <w:rStyle w:val="17"/>
          <w:rFonts w:hint="eastAsia" w:ascii="仿宋" w:hAnsi="仿宋" w:eastAsia="仿宋"/>
          <w:bCs/>
          <w:sz w:val="32"/>
          <w:szCs w:val="32"/>
        </w:rPr>
        <w:t>完成预算</w:t>
      </w:r>
      <w:r>
        <w:rPr>
          <w:rStyle w:val="17"/>
          <w:rFonts w:hint="eastAsia" w:ascii="仿宋" w:hAnsi="仿宋" w:eastAsia="仿宋"/>
          <w:bCs/>
          <w:sz w:val="32"/>
          <w:szCs w:val="32"/>
          <w:lang w:val="en-US" w:eastAsia="zh-CN"/>
        </w:rPr>
        <w:t>100</w:t>
      </w:r>
      <w:r>
        <w:rPr>
          <w:rStyle w:val="17"/>
          <w:rFonts w:ascii="仿宋" w:hAnsi="仿宋" w:eastAsia="仿宋"/>
          <w:bCs/>
          <w:sz w:val="32"/>
          <w:szCs w:val="32"/>
        </w:rPr>
        <w:t>%</w:t>
      </w:r>
      <w:r>
        <w:rPr>
          <w:rStyle w:val="17"/>
          <w:rFonts w:hint="eastAsia" w:ascii="仿宋" w:hAnsi="仿宋" w:eastAsia="仿宋"/>
          <w:bCs/>
          <w:sz w:val="32"/>
          <w:szCs w:val="32"/>
        </w:rPr>
        <w:t>。其中：</w:t>
      </w:r>
      <w:bookmarkEnd w:id="27"/>
      <w:bookmarkEnd w:id="28"/>
      <w:bookmarkEnd w:id="29"/>
    </w:p>
    <w:p>
      <w:pPr>
        <w:spacing w:line="600" w:lineRule="exact"/>
        <w:ind w:firstLine="643" w:firstLineChars="200"/>
        <w:rPr>
          <w:rStyle w:val="17"/>
          <w:rFonts w:hint="eastAsia" w:ascii="仿宋" w:hAnsi="仿宋" w:eastAsia="仿宋"/>
          <w:b w:val="0"/>
          <w:bCs/>
          <w:sz w:val="32"/>
          <w:szCs w:val="32"/>
        </w:rPr>
      </w:pPr>
      <w:r>
        <w:rPr>
          <w:rStyle w:val="17"/>
          <w:rFonts w:hint="eastAsia" w:ascii="仿宋" w:hAnsi="仿宋" w:eastAsia="仿宋"/>
          <w:bCs/>
          <w:sz w:val="32"/>
          <w:szCs w:val="32"/>
          <w:lang w:val="en-US" w:eastAsia="zh-CN"/>
        </w:rPr>
        <w:t>1</w:t>
      </w:r>
      <w:r>
        <w:rPr>
          <w:rStyle w:val="17"/>
          <w:rFonts w:ascii="仿宋" w:hAnsi="仿宋" w:eastAsia="仿宋"/>
          <w:bCs/>
          <w:sz w:val="32"/>
          <w:szCs w:val="32"/>
        </w:rPr>
        <w:t>.</w:t>
      </w:r>
      <w:r>
        <w:rPr>
          <w:rStyle w:val="17"/>
          <w:rFonts w:hint="eastAsia" w:ascii="仿宋" w:hAnsi="仿宋" w:eastAsia="仿宋"/>
          <w:bCs/>
          <w:sz w:val="32"/>
          <w:szCs w:val="32"/>
        </w:rPr>
        <w:t>社会保障和就业（类）</w:t>
      </w:r>
      <w:r>
        <w:rPr>
          <w:rStyle w:val="17"/>
          <w:rFonts w:hint="eastAsia" w:ascii="仿宋" w:hAnsi="仿宋" w:eastAsia="仿宋"/>
          <w:bCs/>
          <w:sz w:val="32"/>
          <w:szCs w:val="32"/>
          <w:lang w:val="en-US" w:eastAsia="zh-CN"/>
        </w:rPr>
        <w:t>行政事业单位养老支出</w:t>
      </w:r>
      <w:r>
        <w:rPr>
          <w:rStyle w:val="17"/>
          <w:rFonts w:hint="eastAsia" w:ascii="仿宋" w:hAnsi="仿宋" w:eastAsia="仿宋"/>
          <w:bCs/>
          <w:sz w:val="32"/>
          <w:szCs w:val="32"/>
        </w:rPr>
        <w:t>（款）</w:t>
      </w:r>
      <w:r>
        <w:rPr>
          <w:rStyle w:val="17"/>
          <w:rFonts w:hint="eastAsia" w:ascii="仿宋" w:hAnsi="仿宋" w:eastAsia="仿宋"/>
          <w:bCs/>
          <w:sz w:val="32"/>
          <w:szCs w:val="32"/>
          <w:lang w:val="en-US" w:eastAsia="zh-CN"/>
        </w:rPr>
        <w:t>机关事业单位基本养老保险缴费支出</w:t>
      </w:r>
      <w:r>
        <w:rPr>
          <w:rStyle w:val="17"/>
          <w:rFonts w:hint="eastAsia" w:ascii="仿宋" w:hAnsi="仿宋" w:eastAsia="仿宋"/>
          <w:bCs/>
          <w:sz w:val="32"/>
          <w:szCs w:val="32"/>
        </w:rPr>
        <w:t>（项）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3.83</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600" w:lineRule="exact"/>
        <w:ind w:firstLine="643" w:firstLineChars="200"/>
        <w:rPr>
          <w:rStyle w:val="17"/>
          <w:rFonts w:hint="eastAsia" w:ascii="仿宋" w:hAnsi="仿宋" w:eastAsia="仿宋"/>
          <w:b w:val="0"/>
          <w:bCs/>
          <w:sz w:val="32"/>
          <w:szCs w:val="32"/>
          <w:lang w:eastAsia="zh-CN"/>
        </w:rPr>
      </w:pPr>
      <w:r>
        <w:rPr>
          <w:rStyle w:val="17"/>
          <w:rFonts w:hint="eastAsia" w:ascii="仿宋" w:hAnsi="仿宋" w:eastAsia="仿宋"/>
          <w:bCs/>
          <w:sz w:val="32"/>
          <w:szCs w:val="32"/>
          <w:lang w:val="en-US" w:eastAsia="zh-CN"/>
        </w:rPr>
        <w:t>2</w:t>
      </w:r>
      <w:r>
        <w:rPr>
          <w:rStyle w:val="17"/>
          <w:rFonts w:ascii="仿宋" w:hAnsi="仿宋" w:eastAsia="仿宋"/>
          <w:bCs/>
          <w:sz w:val="32"/>
          <w:szCs w:val="32"/>
        </w:rPr>
        <w:t>.</w:t>
      </w:r>
      <w:r>
        <w:rPr>
          <w:rFonts w:hint="eastAsia" w:ascii="仿宋" w:hAnsi="仿宋" w:eastAsia="仿宋"/>
          <w:b/>
          <w:bCs/>
          <w:sz w:val="32"/>
          <w:szCs w:val="32"/>
        </w:rPr>
        <w:t>卫生健康</w:t>
      </w:r>
      <w:r>
        <w:rPr>
          <w:rStyle w:val="17"/>
          <w:rFonts w:hint="eastAsia" w:ascii="仿宋" w:hAnsi="仿宋" w:eastAsia="仿宋"/>
          <w:bCs/>
          <w:sz w:val="32"/>
          <w:szCs w:val="32"/>
        </w:rPr>
        <w:t>（类）</w:t>
      </w:r>
      <w:r>
        <w:rPr>
          <w:rStyle w:val="17"/>
          <w:rFonts w:hint="eastAsia" w:ascii="仿宋" w:hAnsi="仿宋" w:eastAsia="仿宋"/>
          <w:bCs/>
          <w:sz w:val="32"/>
          <w:szCs w:val="32"/>
          <w:lang w:val="en-US" w:eastAsia="zh-CN"/>
        </w:rPr>
        <w:t>卫生健康管理事务</w:t>
      </w:r>
      <w:r>
        <w:rPr>
          <w:rStyle w:val="17"/>
          <w:rFonts w:hint="eastAsia" w:ascii="仿宋" w:hAnsi="仿宋" w:eastAsia="仿宋"/>
          <w:bCs/>
          <w:sz w:val="32"/>
          <w:szCs w:val="32"/>
        </w:rPr>
        <w:t>（款）</w:t>
      </w:r>
      <w:r>
        <w:rPr>
          <w:rStyle w:val="17"/>
          <w:rFonts w:hint="eastAsia" w:ascii="仿宋" w:hAnsi="仿宋" w:eastAsia="仿宋"/>
          <w:bCs/>
          <w:sz w:val="32"/>
          <w:szCs w:val="32"/>
          <w:lang w:val="en-US" w:eastAsia="zh-CN"/>
        </w:rPr>
        <w:t>其他卫生健康管理事务支出</w:t>
      </w:r>
      <w:r>
        <w:rPr>
          <w:rStyle w:val="17"/>
          <w:rFonts w:hint="eastAsia" w:ascii="仿宋" w:hAnsi="仿宋" w:eastAsia="仿宋"/>
          <w:bCs/>
          <w:sz w:val="32"/>
          <w:szCs w:val="32"/>
        </w:rPr>
        <w:t>（项）</w:t>
      </w:r>
      <w:r>
        <w:rPr>
          <w:rStyle w:val="17"/>
          <w:rFonts w:ascii="仿宋" w:hAnsi="仿宋" w:eastAsia="仿宋"/>
          <w:bCs/>
          <w:sz w:val="32"/>
          <w:szCs w:val="32"/>
        </w:rPr>
        <w:t>:</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1.5</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lang w:eastAsia="zh-CN"/>
        </w:rPr>
        <w:t>。</w:t>
      </w:r>
    </w:p>
    <w:p>
      <w:pPr>
        <w:pStyle w:val="2"/>
        <w:ind w:firstLine="964" w:firstLineChars="300"/>
        <w:rPr>
          <w:rStyle w:val="17"/>
          <w:rFonts w:hint="eastAsia" w:ascii="仿宋" w:hAnsi="仿宋" w:eastAsia="仿宋"/>
          <w:b w:val="0"/>
          <w:bCs/>
          <w:sz w:val="32"/>
          <w:szCs w:val="32"/>
          <w:lang w:eastAsia="zh-CN"/>
        </w:rPr>
      </w:pPr>
      <w:r>
        <w:rPr>
          <w:rFonts w:hint="eastAsia" w:ascii="仿宋" w:hAnsi="仿宋" w:eastAsia="仿宋"/>
          <w:b/>
          <w:bCs/>
          <w:sz w:val="32"/>
          <w:szCs w:val="32"/>
        </w:rPr>
        <w:t>卫生健康</w:t>
      </w:r>
      <w:r>
        <w:rPr>
          <w:rStyle w:val="17"/>
          <w:rFonts w:hint="eastAsia" w:ascii="仿宋" w:hAnsi="仿宋" w:eastAsia="仿宋"/>
          <w:bCs/>
          <w:sz w:val="32"/>
          <w:szCs w:val="32"/>
        </w:rPr>
        <w:t>（类）</w:t>
      </w:r>
      <w:r>
        <w:rPr>
          <w:rStyle w:val="17"/>
          <w:rFonts w:hint="eastAsia" w:ascii="仿宋" w:hAnsi="仿宋" w:eastAsia="仿宋"/>
          <w:bCs/>
          <w:sz w:val="32"/>
          <w:szCs w:val="32"/>
          <w:lang w:val="en-US" w:eastAsia="zh-CN"/>
        </w:rPr>
        <w:t>卫生健康管理事务</w:t>
      </w:r>
      <w:r>
        <w:rPr>
          <w:rStyle w:val="17"/>
          <w:rFonts w:hint="eastAsia" w:ascii="仿宋" w:hAnsi="仿宋" w:eastAsia="仿宋"/>
          <w:bCs/>
          <w:sz w:val="32"/>
          <w:szCs w:val="32"/>
        </w:rPr>
        <w:t>（款）</w:t>
      </w:r>
      <w:r>
        <w:rPr>
          <w:rStyle w:val="17"/>
          <w:rFonts w:hint="eastAsia" w:ascii="仿宋" w:hAnsi="仿宋" w:eastAsia="仿宋"/>
          <w:bCs/>
          <w:sz w:val="32"/>
          <w:szCs w:val="32"/>
          <w:lang w:val="en-US" w:eastAsia="zh-CN"/>
        </w:rPr>
        <w:t>乡镇卫生院（项）：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18.57</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lang w:eastAsia="zh-CN"/>
        </w:rPr>
        <w:t>。</w:t>
      </w:r>
    </w:p>
    <w:p>
      <w:pPr>
        <w:pStyle w:val="2"/>
        <w:ind w:firstLine="964" w:firstLineChars="300"/>
        <w:rPr>
          <w:rStyle w:val="17"/>
          <w:rFonts w:hint="eastAsia" w:ascii="仿宋" w:hAnsi="仿宋" w:eastAsia="仿宋"/>
          <w:b w:val="0"/>
          <w:bCs/>
          <w:sz w:val="32"/>
          <w:szCs w:val="32"/>
          <w:lang w:eastAsia="zh-CN"/>
        </w:rPr>
      </w:pPr>
      <w:r>
        <w:rPr>
          <w:rFonts w:hint="eastAsia" w:ascii="仿宋" w:hAnsi="仿宋" w:eastAsia="仿宋"/>
          <w:b/>
          <w:bCs/>
          <w:sz w:val="32"/>
          <w:szCs w:val="32"/>
        </w:rPr>
        <w:t>卫生健康</w:t>
      </w:r>
      <w:r>
        <w:rPr>
          <w:rStyle w:val="17"/>
          <w:rFonts w:hint="eastAsia" w:ascii="仿宋" w:hAnsi="仿宋" w:eastAsia="仿宋"/>
          <w:bCs/>
          <w:sz w:val="32"/>
          <w:szCs w:val="32"/>
        </w:rPr>
        <w:t>（类）</w:t>
      </w:r>
      <w:r>
        <w:rPr>
          <w:rStyle w:val="17"/>
          <w:rFonts w:hint="eastAsia" w:ascii="仿宋" w:hAnsi="仿宋" w:eastAsia="仿宋"/>
          <w:bCs/>
          <w:sz w:val="32"/>
          <w:szCs w:val="32"/>
          <w:lang w:val="en-US" w:eastAsia="zh-CN"/>
        </w:rPr>
        <w:t>卫生健康管理事务</w:t>
      </w:r>
      <w:r>
        <w:rPr>
          <w:rStyle w:val="17"/>
          <w:rFonts w:hint="eastAsia" w:ascii="仿宋" w:hAnsi="仿宋" w:eastAsia="仿宋"/>
          <w:bCs/>
          <w:sz w:val="32"/>
          <w:szCs w:val="32"/>
        </w:rPr>
        <w:t>（款）</w:t>
      </w:r>
      <w:r>
        <w:rPr>
          <w:rStyle w:val="17"/>
          <w:rFonts w:hint="eastAsia" w:ascii="仿宋" w:hAnsi="仿宋" w:eastAsia="仿宋"/>
          <w:bCs/>
          <w:sz w:val="32"/>
          <w:szCs w:val="32"/>
          <w:lang w:val="en-US" w:eastAsia="zh-CN"/>
        </w:rPr>
        <w:t>其他基层医疗卫生机构支出（项）：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6.72</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lang w:eastAsia="zh-CN"/>
        </w:rPr>
        <w:t>。</w:t>
      </w:r>
    </w:p>
    <w:p>
      <w:pPr>
        <w:pStyle w:val="2"/>
        <w:ind w:firstLine="964" w:firstLineChars="300"/>
        <w:rPr>
          <w:rStyle w:val="17"/>
          <w:rFonts w:hint="eastAsia" w:ascii="仿宋" w:hAnsi="仿宋" w:eastAsia="仿宋"/>
          <w:b w:val="0"/>
          <w:bCs/>
          <w:sz w:val="32"/>
          <w:szCs w:val="32"/>
          <w:lang w:eastAsia="zh-CN"/>
        </w:rPr>
      </w:pPr>
      <w:r>
        <w:rPr>
          <w:rFonts w:hint="eastAsia" w:ascii="仿宋" w:hAnsi="仿宋" w:eastAsia="仿宋"/>
          <w:b/>
          <w:bCs/>
          <w:sz w:val="32"/>
          <w:szCs w:val="32"/>
        </w:rPr>
        <w:t>卫生健康</w:t>
      </w:r>
      <w:r>
        <w:rPr>
          <w:rStyle w:val="17"/>
          <w:rFonts w:hint="eastAsia" w:ascii="仿宋" w:hAnsi="仿宋" w:eastAsia="仿宋"/>
          <w:bCs/>
          <w:sz w:val="32"/>
          <w:szCs w:val="32"/>
        </w:rPr>
        <w:t>（类）</w:t>
      </w:r>
      <w:r>
        <w:rPr>
          <w:rStyle w:val="17"/>
          <w:rFonts w:hint="eastAsia" w:ascii="仿宋" w:hAnsi="仿宋" w:eastAsia="仿宋"/>
          <w:bCs/>
          <w:sz w:val="32"/>
          <w:szCs w:val="32"/>
          <w:lang w:val="en-US" w:eastAsia="zh-CN"/>
        </w:rPr>
        <w:t>公共卫生</w:t>
      </w:r>
      <w:r>
        <w:rPr>
          <w:rStyle w:val="17"/>
          <w:rFonts w:hint="eastAsia" w:ascii="仿宋" w:hAnsi="仿宋" w:eastAsia="仿宋"/>
          <w:bCs/>
          <w:sz w:val="32"/>
          <w:szCs w:val="32"/>
        </w:rPr>
        <w:t>（款）</w:t>
      </w:r>
      <w:r>
        <w:rPr>
          <w:rStyle w:val="17"/>
          <w:rFonts w:hint="eastAsia" w:ascii="仿宋" w:hAnsi="仿宋" w:eastAsia="仿宋"/>
          <w:bCs/>
          <w:sz w:val="32"/>
          <w:szCs w:val="32"/>
          <w:lang w:val="en-US" w:eastAsia="zh-CN"/>
        </w:rPr>
        <w:t>基本公共卫生服务（项）：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70.76</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lang w:eastAsia="zh-CN"/>
        </w:rPr>
        <w:t>。</w:t>
      </w:r>
    </w:p>
    <w:p>
      <w:pPr>
        <w:pStyle w:val="2"/>
        <w:ind w:firstLine="964" w:firstLineChars="300"/>
        <w:rPr>
          <w:rStyle w:val="17"/>
          <w:rFonts w:hint="eastAsia" w:ascii="仿宋" w:hAnsi="仿宋" w:eastAsia="仿宋"/>
          <w:b w:val="0"/>
          <w:bCs/>
          <w:sz w:val="32"/>
          <w:szCs w:val="32"/>
          <w:lang w:eastAsia="zh-CN"/>
        </w:rPr>
      </w:pPr>
      <w:r>
        <w:rPr>
          <w:rFonts w:hint="eastAsia" w:ascii="仿宋" w:hAnsi="仿宋" w:eastAsia="仿宋"/>
          <w:b/>
          <w:bCs/>
          <w:sz w:val="32"/>
          <w:szCs w:val="32"/>
        </w:rPr>
        <w:t>卫生健康</w:t>
      </w:r>
      <w:r>
        <w:rPr>
          <w:rStyle w:val="17"/>
          <w:rFonts w:hint="eastAsia" w:ascii="仿宋" w:hAnsi="仿宋" w:eastAsia="仿宋"/>
          <w:bCs/>
          <w:sz w:val="32"/>
          <w:szCs w:val="32"/>
        </w:rPr>
        <w:t>（类）</w:t>
      </w:r>
      <w:r>
        <w:rPr>
          <w:rStyle w:val="17"/>
          <w:rFonts w:hint="eastAsia" w:ascii="仿宋" w:hAnsi="仿宋" w:eastAsia="仿宋"/>
          <w:bCs/>
          <w:sz w:val="32"/>
          <w:szCs w:val="32"/>
          <w:lang w:val="en-US" w:eastAsia="zh-CN"/>
        </w:rPr>
        <w:t>公共卫生</w:t>
      </w:r>
      <w:r>
        <w:rPr>
          <w:rStyle w:val="17"/>
          <w:rFonts w:hint="eastAsia" w:ascii="仿宋" w:hAnsi="仿宋" w:eastAsia="仿宋"/>
          <w:bCs/>
          <w:sz w:val="32"/>
          <w:szCs w:val="32"/>
        </w:rPr>
        <w:t>（款）</w:t>
      </w:r>
      <w:r>
        <w:rPr>
          <w:rStyle w:val="17"/>
          <w:rFonts w:hint="eastAsia" w:ascii="仿宋" w:hAnsi="仿宋" w:eastAsia="仿宋"/>
          <w:bCs/>
          <w:sz w:val="32"/>
          <w:szCs w:val="32"/>
          <w:lang w:val="en-US" w:eastAsia="zh-CN"/>
        </w:rPr>
        <w:t>重大公共卫生服务(项）：</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14.08</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lang w:eastAsia="zh-CN"/>
        </w:rPr>
        <w:t>。</w:t>
      </w:r>
    </w:p>
    <w:p>
      <w:pPr>
        <w:pStyle w:val="2"/>
        <w:ind w:firstLine="960" w:firstLineChars="300"/>
        <w:rPr>
          <w:rStyle w:val="17"/>
          <w:rFonts w:hint="default" w:ascii="仿宋" w:hAnsi="仿宋" w:eastAsia="仿宋"/>
          <w:b w:val="0"/>
          <w:bCs/>
          <w:sz w:val="32"/>
          <w:szCs w:val="32"/>
          <w:lang w:val="en-US" w:eastAsia="zh-CN"/>
        </w:rPr>
      </w:pPr>
    </w:p>
    <w:p>
      <w:pPr>
        <w:pStyle w:val="2"/>
        <w:ind w:firstLine="960" w:firstLineChars="300"/>
        <w:rPr>
          <w:rStyle w:val="17"/>
          <w:rFonts w:hint="default" w:ascii="仿宋" w:hAnsi="仿宋" w:eastAsia="仿宋"/>
          <w:b w:val="0"/>
          <w:bCs/>
          <w:sz w:val="32"/>
          <w:szCs w:val="32"/>
          <w:lang w:val="en-US" w:eastAsia="zh-CN"/>
        </w:rPr>
      </w:pPr>
    </w:p>
    <w:p>
      <w:pPr>
        <w:pStyle w:val="2"/>
        <w:ind w:firstLine="960" w:firstLineChars="300"/>
        <w:rPr>
          <w:rStyle w:val="17"/>
          <w:rFonts w:hint="eastAsia" w:ascii="仿宋" w:hAnsi="仿宋" w:eastAsia="仿宋"/>
          <w:b w:val="0"/>
          <w:bCs/>
          <w:sz w:val="32"/>
          <w:szCs w:val="32"/>
          <w:lang w:eastAsia="zh-CN"/>
        </w:rPr>
      </w:pPr>
    </w:p>
    <w:p>
      <w:pPr>
        <w:pStyle w:val="2"/>
        <w:ind w:firstLine="960" w:firstLineChars="300"/>
        <w:rPr>
          <w:rStyle w:val="17"/>
          <w:rFonts w:hint="default" w:ascii="仿宋" w:hAnsi="仿宋" w:eastAsia="仿宋"/>
          <w:b w:val="0"/>
          <w:bCs/>
          <w:sz w:val="32"/>
          <w:szCs w:val="32"/>
          <w:lang w:val="en-US" w:eastAsia="zh-CN"/>
        </w:rPr>
      </w:pPr>
    </w:p>
    <w:p>
      <w:pPr>
        <w:pStyle w:val="2"/>
        <w:ind w:firstLine="960" w:firstLineChars="300"/>
        <w:rPr>
          <w:rStyle w:val="17"/>
          <w:rFonts w:hint="eastAsia" w:ascii="仿宋" w:hAnsi="仿宋" w:eastAsia="仿宋"/>
          <w:b w:val="0"/>
          <w:bCs/>
          <w:sz w:val="32"/>
          <w:szCs w:val="32"/>
          <w:lang w:val="en-US" w:eastAsia="zh-CN"/>
        </w:rPr>
      </w:pP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29"/>
        </w:rPr>
      </w:pPr>
      <w:bookmarkStart w:id="30" w:name="_Toc15377214"/>
      <w:bookmarkStart w:id="31"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9"/>
          <w:rFonts w:hint="eastAsia" w:ascii="黑体" w:hAnsi="黑体" w:eastAsia="黑体"/>
          <w:b w:val="0"/>
        </w:rPr>
        <w:t>般公共预算财政拨款基本支出决算情况说明</w:t>
      </w:r>
      <w:bookmarkEnd w:id="30"/>
      <w:bookmarkEnd w:id="31"/>
      <w:r>
        <w:rPr>
          <w:rStyle w:val="29"/>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23.9</w:t>
      </w:r>
      <w:r>
        <w:rPr>
          <w:rFonts w:hint="eastAsia" w:ascii="仿宋" w:hAnsi="仿宋" w:eastAsia="仿宋"/>
          <w:sz w:val="32"/>
          <w:szCs w:val="32"/>
        </w:rPr>
        <w:t>万元，其中：</w:t>
      </w:r>
    </w:p>
    <w:p>
      <w:pPr>
        <w:spacing w:line="600" w:lineRule="exact"/>
        <w:ind w:firstLine="645"/>
        <w:rPr>
          <w:rFonts w:hint="eastAsia" w:ascii="仿宋" w:hAnsi="仿宋" w:eastAsia="仿宋"/>
          <w:sz w:val="32"/>
          <w:szCs w:val="32"/>
          <w:lang w:val="en-US" w:eastAsia="zh-CN"/>
        </w:rPr>
      </w:pPr>
      <w:r>
        <w:rPr>
          <w:rFonts w:hint="eastAsia" w:ascii="仿宋" w:hAnsi="仿宋" w:eastAsia="仿宋"/>
          <w:sz w:val="32"/>
          <w:szCs w:val="32"/>
        </w:rPr>
        <w:t>人员经费</w:t>
      </w:r>
      <w:r>
        <w:rPr>
          <w:rFonts w:hint="eastAsia" w:ascii="仿宋" w:hAnsi="仿宋" w:eastAsia="仿宋"/>
          <w:sz w:val="32"/>
          <w:szCs w:val="32"/>
          <w:lang w:val="en-US" w:eastAsia="zh-CN"/>
        </w:rPr>
        <w:t>23.9</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0</w:t>
      </w:r>
      <w:r>
        <w:rPr>
          <w:rFonts w:hint="eastAsia" w:ascii="仿宋" w:hAnsi="仿宋" w:eastAsia="仿宋"/>
          <w:sz w:val="32"/>
          <w:szCs w:val="32"/>
        </w:rPr>
        <w:t>万元</w:t>
      </w:r>
    </w:p>
    <w:p>
      <w:pPr>
        <w:spacing w:line="600" w:lineRule="exact"/>
        <w:ind w:firstLine="640"/>
        <w:outlineLvl w:val="1"/>
        <w:rPr>
          <w:rStyle w:val="29"/>
          <w:rFonts w:ascii="黑体" w:hAnsi="黑体" w:eastAsia="黑体"/>
          <w:b w:val="0"/>
        </w:rPr>
      </w:pPr>
      <w:bookmarkStart w:id="32" w:name="_Toc15377215"/>
      <w:bookmarkStart w:id="33" w:name="_Toc15396609"/>
      <w:r>
        <w:rPr>
          <w:rFonts w:hint="eastAsia" w:ascii="黑体" w:eastAsia="黑体"/>
          <w:sz w:val="32"/>
          <w:szCs w:val="32"/>
        </w:rPr>
        <w:t>七、</w:t>
      </w:r>
      <w:r>
        <w:rPr>
          <w:rStyle w:val="29"/>
          <w:rFonts w:hint="eastAsia" w:ascii="黑体" w:hAnsi="黑体" w:eastAsia="黑体"/>
          <w:b w:val="0"/>
        </w:rPr>
        <w:t>财政拨款</w:t>
      </w:r>
      <w:r>
        <w:rPr>
          <w:rStyle w:val="29"/>
          <w:rFonts w:hint="eastAsia" w:ascii="黑体" w:hAnsi="黑体" w:eastAsia="黑体"/>
        </w:rPr>
        <w:t>“</w:t>
      </w:r>
      <w:r>
        <w:rPr>
          <w:rStyle w:val="29"/>
          <w:rFonts w:hint="eastAsia" w:ascii="黑体" w:hAnsi="黑体" w:eastAsia="黑体"/>
          <w:b w:val="0"/>
        </w:rPr>
        <w:t>三公”经费支出决算情况说明</w:t>
      </w:r>
      <w:bookmarkEnd w:id="32"/>
      <w:bookmarkEnd w:id="33"/>
    </w:p>
    <w:p>
      <w:pPr>
        <w:spacing w:line="600" w:lineRule="exact"/>
        <w:ind w:firstLine="640"/>
        <w:outlineLvl w:val="2"/>
        <w:rPr>
          <w:rFonts w:ascii="仿宋" w:hAnsi="仿宋" w:eastAsia="仿宋"/>
          <w:b/>
          <w:sz w:val="32"/>
          <w:szCs w:val="32"/>
        </w:rPr>
      </w:pPr>
      <w:bookmarkStart w:id="34" w:name="_Toc15377216"/>
      <w:r>
        <w:rPr>
          <w:rFonts w:hint="eastAsia" w:ascii="仿宋" w:hAnsi="仿宋" w:eastAsia="仿宋"/>
          <w:b/>
          <w:sz w:val="32"/>
          <w:szCs w:val="32"/>
        </w:rPr>
        <w:t>（一）“三公”经费财政拨款支出决算总体情况说明</w:t>
      </w:r>
      <w:bookmarkEnd w:id="34"/>
    </w:p>
    <w:p>
      <w:pPr>
        <w:spacing w:line="600" w:lineRule="exact"/>
        <w:ind w:firstLine="640"/>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w:t>
      </w:r>
    </w:p>
    <w:p>
      <w:pPr>
        <w:spacing w:line="600" w:lineRule="exact"/>
        <w:ind w:firstLine="640"/>
        <w:outlineLvl w:val="2"/>
        <w:rPr>
          <w:rFonts w:ascii="仿宋" w:hAnsi="仿宋" w:eastAsia="仿宋"/>
          <w:b/>
          <w:sz w:val="32"/>
          <w:szCs w:val="32"/>
        </w:rPr>
      </w:pPr>
      <w:bookmarkStart w:id="35" w:name="_Toc15377217"/>
      <w:r>
        <w:rPr>
          <w:rFonts w:hint="eastAsia" w:ascii="仿宋" w:hAnsi="仿宋" w:eastAsia="仿宋"/>
          <w:b/>
          <w:sz w:val="32"/>
          <w:szCs w:val="32"/>
        </w:rPr>
        <w:t>（二）“三公”经费财政拨款支出决算具体情况说明</w:t>
      </w:r>
      <w:bookmarkEnd w:id="3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b/>
          <w:sz w:val="32"/>
          <w:szCs w:val="32"/>
          <w:lang w:val="en-US" w:eastAsia="zh-CN"/>
        </w:rPr>
        <w:t>0</w:t>
      </w:r>
      <w:r>
        <w:rPr>
          <w:rFonts w:hint="eastAsia" w:ascii="仿宋_GB2312" w:eastAsia="仿宋_GB2312"/>
          <w:sz w:val="32"/>
          <w:szCs w:val="32"/>
        </w:rPr>
        <w:t>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eastAsia="仿宋"/>
          <w:i/>
          <w:color w:val="000000"/>
          <w:sz w:val="32"/>
          <w:szCs w:val="32"/>
        </w:rPr>
      </w:pP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b/>
          <w:sz w:val="32"/>
          <w:szCs w:val="32"/>
          <w:lang w:val="en-US" w:eastAsia="zh-CN"/>
        </w:rPr>
        <w:t>0</w:t>
      </w:r>
      <w:r>
        <w:rPr>
          <w:rFonts w:hint="eastAsia" w:ascii="仿宋_GB2312" w:eastAsia="仿宋_GB2312"/>
          <w:sz w:val="32"/>
          <w:szCs w:val="32"/>
        </w:rPr>
        <w:t>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ascii="仿宋_GB2312" w:eastAsia="仿宋_GB2312"/>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b/>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万元，主要用于…。截至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pStyle w:val="2"/>
        <w:spacing w:before="93"/>
      </w:pP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b/>
          <w:sz w:val="32"/>
          <w:szCs w:val="32"/>
          <w:lang w:val="en-US" w:eastAsia="zh-CN"/>
        </w:rPr>
        <w:t>0</w:t>
      </w:r>
      <w:r>
        <w:rPr>
          <w:rFonts w:hint="eastAsia" w:ascii="仿宋_GB2312" w:eastAsia="仿宋_GB2312"/>
          <w:sz w:val="32"/>
          <w:szCs w:val="32"/>
        </w:rPr>
        <w:t>万元。主要用于</w:t>
      </w:r>
      <w:r>
        <w:rPr>
          <w:rFonts w:ascii="仿宋_GB2312" w:eastAsia="仿宋_GB2312"/>
          <w:sz w:val="32"/>
          <w:szCs w:val="32"/>
        </w:rPr>
        <w:t>…</w:t>
      </w:r>
      <w:r>
        <w:rPr>
          <w:rFonts w:hint="eastAsia" w:ascii="仿宋_GB2312" w:eastAsia="仿宋_GB2312"/>
          <w:sz w:val="32"/>
          <w:szCs w:val="32"/>
        </w:rPr>
        <w:t>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b/>
          <w:sz w:val="32"/>
          <w:szCs w:val="32"/>
          <w:lang w:val="en-US" w:eastAsia="zh-CN"/>
        </w:rPr>
        <w:t>0</w:t>
      </w:r>
      <w:r>
        <w:rPr>
          <w:rFonts w:hint="eastAsia" w:ascii="仿宋_GB2312" w:eastAsia="仿宋_GB2312"/>
          <w:sz w:val="32"/>
          <w:szCs w:val="32"/>
        </w:rPr>
        <w:t>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r>
        <w:rPr>
          <w:rFonts w:hint="eastAsia" w:ascii="仿宋" w:hAnsi="仿宋" w:eastAsia="仿宋"/>
          <w:b/>
          <w:sz w:val="32"/>
          <w:szCs w:val="32"/>
        </w:rPr>
        <w:t>国内公务接待支出</w:t>
      </w:r>
      <w:r>
        <w:rPr>
          <w:rFonts w:hint="eastAsia" w:ascii="仿宋" w:hAnsi="仿宋" w:eastAsia="仿宋"/>
          <w:b/>
          <w:sz w:val="32"/>
          <w:szCs w:val="32"/>
          <w:lang w:val="en-US" w:eastAsia="zh-CN"/>
        </w:rPr>
        <w:t>0</w:t>
      </w:r>
      <w:r>
        <w:rPr>
          <w:rFonts w:hint="eastAsia" w:ascii="仿宋_GB2312" w:eastAsia="仿宋_GB2312"/>
          <w:sz w:val="32"/>
          <w:szCs w:val="32"/>
        </w:rPr>
        <w:t>万元国内公务接待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b/>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outlineLvl w:val="1"/>
        <w:rPr>
          <w:rFonts w:ascii="黑体" w:eastAsia="黑体"/>
          <w:sz w:val="32"/>
          <w:szCs w:val="32"/>
        </w:rPr>
      </w:pPr>
      <w:bookmarkStart w:id="36" w:name="_Toc15377218"/>
      <w:bookmarkStart w:id="37" w:name="_Toc15396610"/>
    </w:p>
    <w:p>
      <w:pPr>
        <w:spacing w:line="600" w:lineRule="exact"/>
        <w:ind w:firstLine="640"/>
        <w:outlineLvl w:val="1"/>
        <w:rPr>
          <w:rStyle w:val="29"/>
          <w:rFonts w:ascii="黑体" w:hAnsi="黑体" w:eastAsia="黑体"/>
        </w:rPr>
      </w:pPr>
      <w:r>
        <w:rPr>
          <w:rFonts w:hint="eastAsia" w:ascii="黑体" w:eastAsia="黑体"/>
          <w:sz w:val="32"/>
          <w:szCs w:val="32"/>
        </w:rPr>
        <w:t>八、</w:t>
      </w:r>
      <w:r>
        <w:rPr>
          <w:rStyle w:val="29"/>
          <w:rFonts w:hint="eastAsia" w:ascii="黑体" w:hAnsi="黑体" w:eastAsia="黑体"/>
          <w:b w:val="0"/>
        </w:rPr>
        <w:t>政府性基金预算支出决算情况说明</w:t>
      </w:r>
      <w:bookmarkEnd w:id="36"/>
      <w:bookmarkEnd w:id="3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29"/>
          <w:rFonts w:ascii="黑体" w:hAnsi="黑体" w:eastAsia="黑体"/>
          <w:b w:val="0"/>
        </w:rPr>
      </w:pPr>
      <w:bookmarkStart w:id="38" w:name="_Toc15396611"/>
      <w:bookmarkStart w:id="39" w:name="_Toc15377219"/>
      <w:r>
        <w:rPr>
          <w:rStyle w:val="29"/>
          <w:rFonts w:hint="eastAsia" w:ascii="黑体" w:hAnsi="黑体" w:eastAsia="黑体"/>
          <w:b w:val="0"/>
        </w:rPr>
        <w:t>国有资本经营预算支出决算情况说明</w:t>
      </w:r>
      <w:bookmarkEnd w:id="38"/>
      <w:bookmarkEnd w:id="39"/>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29"/>
          <w:rFonts w:ascii="黑体" w:hAnsi="黑体" w:eastAsia="黑体"/>
          <w:b w:val="0"/>
        </w:rPr>
      </w:pPr>
      <w:bookmarkStart w:id="40" w:name="_Toc15377221"/>
      <w:bookmarkStart w:id="41" w:name="_Toc15396612"/>
      <w:r>
        <w:rPr>
          <w:rStyle w:val="29"/>
          <w:rFonts w:hint="eastAsia" w:ascii="黑体" w:hAnsi="黑体" w:eastAsia="黑体"/>
          <w:b w:val="0"/>
        </w:rPr>
        <w:t>其他重要事项的情况说明</w:t>
      </w:r>
      <w:bookmarkEnd w:id="40"/>
      <w:bookmarkEnd w:id="41"/>
    </w:p>
    <w:p>
      <w:pPr>
        <w:spacing w:line="600" w:lineRule="exact"/>
        <w:ind w:firstLine="643" w:firstLineChars="200"/>
        <w:outlineLvl w:val="2"/>
        <w:rPr>
          <w:rFonts w:ascii="仿宋" w:hAnsi="仿宋" w:eastAsia="仿宋"/>
          <w:sz w:val="32"/>
          <w:szCs w:val="32"/>
        </w:rPr>
      </w:pPr>
      <w:bookmarkStart w:id="42" w:name="_Toc15377222"/>
      <w:r>
        <w:rPr>
          <w:rFonts w:hint="eastAsia" w:ascii="仿宋" w:hAnsi="仿宋" w:eastAsia="仿宋"/>
          <w:b/>
          <w:sz w:val="32"/>
          <w:szCs w:val="32"/>
        </w:rPr>
        <w:t>（一）机关运行经费支出情况</w:t>
      </w:r>
      <w:bookmarkEnd w:id="42"/>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22年，机关运行经费支出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3" w:name="_Toc15377223"/>
      <w:r>
        <w:rPr>
          <w:rFonts w:hint="eastAsia" w:ascii="仿宋" w:hAnsi="仿宋" w:eastAsia="仿宋"/>
          <w:b/>
          <w:sz w:val="32"/>
          <w:szCs w:val="32"/>
        </w:rPr>
        <w:t>（二）政府采购支出情况</w:t>
      </w:r>
      <w:bookmarkEnd w:id="43"/>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中和场镇卫生院</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万元。主要用于</w:t>
      </w:r>
      <w:r>
        <w:rPr>
          <w:rFonts w:ascii="仿宋_GB2312" w:eastAsia="仿宋_GB2312"/>
          <w:sz w:val="32"/>
          <w:szCs w:val="32"/>
        </w:rPr>
        <w:t>…</w:t>
      </w:r>
      <w:r>
        <w:rPr>
          <w:rFonts w:hint="eastAsia" w:ascii="仿宋_GB2312" w:eastAsia="仿宋_GB2312"/>
          <w:sz w:val="32"/>
          <w:szCs w:val="32"/>
        </w:rPr>
        <w:t>。授予中小企业合同金额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4" w:name="_Toc15377224"/>
      <w:r>
        <w:rPr>
          <w:rFonts w:hint="eastAsia" w:ascii="仿宋" w:hAnsi="仿宋" w:eastAsia="仿宋"/>
          <w:b/>
          <w:sz w:val="32"/>
          <w:szCs w:val="32"/>
        </w:rPr>
        <w:t>（三）国有资产占有使用情况</w:t>
      </w:r>
      <w:bookmarkEnd w:id="44"/>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val="en-US" w:eastAsia="zh-CN"/>
        </w:rPr>
        <w:t>中和场镇卫生院</w:t>
      </w:r>
      <w:r>
        <w:rPr>
          <w:rFonts w:hint="eastAsia" w:ascii="仿宋_GB2312" w:eastAsia="仿宋_GB2312"/>
          <w:sz w:val="32"/>
          <w:szCs w:val="32"/>
        </w:rPr>
        <w:t>共有车辆</w:t>
      </w:r>
      <w:r>
        <w:rPr>
          <w:rFonts w:hint="eastAsia" w:ascii="仿宋_GB2312" w:eastAsia="仿宋_GB2312"/>
          <w:sz w:val="32"/>
          <w:szCs w:val="32"/>
          <w:lang w:val="en-US" w:eastAsia="zh-CN"/>
        </w:rPr>
        <w:t>1</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1</w:t>
      </w:r>
      <w:r>
        <w:rPr>
          <w:rFonts w:hint="eastAsia" w:ascii="仿宋_GB2312" w:eastAsia="仿宋_GB2312"/>
          <w:sz w:val="32"/>
          <w:szCs w:val="32"/>
        </w:rPr>
        <w:t>辆，其他用车主要是用</w:t>
      </w:r>
      <w:r>
        <w:rPr>
          <w:rFonts w:hint="eastAsia" w:ascii="仿宋_GB2312" w:eastAsia="仿宋_GB2312"/>
          <w:sz w:val="32"/>
          <w:szCs w:val="32"/>
          <w:lang w:val="en-US" w:eastAsia="zh-CN"/>
        </w:rPr>
        <w:t>于救护车</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根据预算绩效管理要求，本部门在2022年度预算编制阶段，组织对项目（</w:t>
      </w:r>
      <w:r>
        <w:rPr>
          <w:rFonts w:hint="eastAsia" w:ascii="仿宋_GB2312" w:hAnsi="仿宋_GB2312" w:eastAsia="仿宋_GB2312" w:cs="仿宋_GB2312"/>
          <w:sz w:val="32"/>
          <w:szCs w:val="32"/>
          <w:lang w:val="en-US" w:eastAsia="zh-CN"/>
        </w:rPr>
        <w:t>疫情防控经费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个项目开展了预算事前绩效评估，</w:t>
      </w:r>
      <w:r>
        <w:rPr>
          <w:rFonts w:hint="eastAsia" w:ascii="仿宋_GB2312" w:hAnsi="仿宋_GB2312" w:eastAsia="仿宋_GB2312" w:cs="仿宋_GB2312"/>
          <w:sz w:val="32"/>
          <w:szCs w:val="32"/>
          <w:lang w:val="en-US" w:eastAsia="zh-CN"/>
        </w:rPr>
        <w:t>等3</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个项目开展绩效监控。</w:t>
      </w:r>
    </w:p>
    <w:p>
      <w:pPr>
        <w:pStyle w:val="2"/>
        <w:spacing w:before="93"/>
      </w:pPr>
      <w:r>
        <w:rPr>
          <w:rFonts w:hint="eastAsia" w:ascii="仿宋_GB2312" w:hAnsi="仿宋_GB2312" w:eastAsia="仿宋_GB2312" w:cs="仿宋_GB2312"/>
          <w:sz w:val="32"/>
          <w:szCs w:val="32"/>
        </w:rPr>
        <w:t>组织对2022年度</w:t>
      </w:r>
      <w:r>
        <w:rPr>
          <w:rFonts w:hint="eastAsia" w:hAnsi="仿宋_GB2312" w:cs="仿宋_GB2312"/>
          <w:sz w:val="32"/>
          <w:szCs w:val="32"/>
          <w:lang w:val="en-US" w:eastAsia="zh-CN"/>
        </w:rPr>
        <w:t>疫情防控工作经费、基本公共卫生服务专项工作、基本药物制度补助资金</w:t>
      </w:r>
      <w:r>
        <w:rPr>
          <w:rFonts w:hint="eastAsia" w:ascii="仿宋_GB2312" w:hAnsi="仿宋_GB2312" w:eastAsia="仿宋_GB2312" w:cs="仿宋_GB2312"/>
          <w:sz w:val="32"/>
          <w:szCs w:val="32"/>
        </w:rPr>
        <w:t>等全面开展绩效自评报告</w:t>
      </w:r>
      <w:r>
        <w:rPr>
          <w:rFonts w:hint="eastAsia" w:hAnsi="仿宋_GB2312" w:cs="仿宋_GB2312"/>
          <w:sz w:val="32"/>
          <w:szCs w:val="32"/>
          <w:lang w:eastAsia="zh-CN"/>
        </w:rPr>
        <w:t>，</w:t>
      </w:r>
      <w:r>
        <w:rPr>
          <w:rFonts w:hint="eastAsia" w:ascii="仿宋_GB2312" w:hAnsi="仿宋_GB2312" w:eastAsia="仿宋_GB2312" w:cs="仿宋_GB2312"/>
          <w:sz w:val="32"/>
          <w:szCs w:val="32"/>
        </w:rPr>
        <w:t>绩效自评报告详见附件。</w:t>
      </w:r>
    </w:p>
    <w:p>
      <w:pPr>
        <w:pStyle w:val="2"/>
        <w:spacing w:before="93"/>
      </w:pPr>
    </w:p>
    <w:p>
      <w:pPr>
        <w:pStyle w:val="2"/>
        <w:spacing w:before="93"/>
      </w:pPr>
    </w:p>
    <w:p>
      <w:pPr>
        <w:numPr>
          <w:ilvl w:val="0"/>
          <w:numId w:val="4"/>
        </w:numPr>
        <w:spacing w:line="600" w:lineRule="exact"/>
        <w:ind w:firstLine="660" w:firstLineChars="150"/>
        <w:jc w:val="center"/>
        <w:outlineLvl w:val="0"/>
        <w:rPr>
          <w:rStyle w:val="28"/>
          <w:rFonts w:ascii="黑体" w:hAnsi="黑体" w:eastAsia="黑体"/>
          <w:b w:val="0"/>
        </w:rPr>
      </w:pPr>
      <w:bookmarkStart w:id="45" w:name="_Toc15377225"/>
      <w:bookmarkStart w:id="46" w:name="_Toc15396613"/>
      <w:r>
        <w:rPr>
          <w:rFonts w:hint="eastAsia" w:ascii="黑体" w:hAnsi="黑体" w:eastAsia="黑体"/>
          <w:sz w:val="44"/>
          <w:szCs w:val="44"/>
        </w:rPr>
        <w:t>名</w:t>
      </w:r>
      <w:r>
        <w:rPr>
          <w:rStyle w:val="28"/>
          <w:rFonts w:hint="eastAsia" w:ascii="黑体" w:hAnsi="黑体" w:eastAsia="黑体"/>
          <w:b w:val="0"/>
        </w:rPr>
        <w:t>词解释</w:t>
      </w:r>
      <w:bookmarkEnd w:id="45"/>
      <w:bookmarkEnd w:id="46"/>
    </w:p>
    <w:p>
      <w:pPr>
        <w:spacing w:line="600" w:lineRule="exact"/>
        <w:jc w:val="left"/>
        <w:rPr>
          <w:rFonts w:ascii="宋体"/>
          <w:b/>
          <w:sz w:val="44"/>
          <w:szCs w:val="44"/>
        </w:rPr>
      </w:pPr>
    </w:p>
    <w:p>
      <w:pPr>
        <w:pStyle w:val="2"/>
      </w:pP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事业收入：指事业单位开展专业业务活动及辅助活动取得的收入。如…（二级预算单位事业收入情况）等。</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经营收入：指事业单位在专业业务活动及其辅助活动之外开展非独立核算经营活动取得的收入。如…（二级预算单位经营收入情况）等。</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其他收入：指单位取得的除上述收入以外的各项收入。主要是…（收入类型）等。</w:t>
      </w:r>
      <w:r>
        <w:rPr>
          <w:rFonts w:ascii="仿宋_GB2312" w:eastAsia="仿宋_GB2312"/>
          <w:color w:val="auto"/>
          <w:sz w:val="32"/>
          <w:szCs w:val="32"/>
        </w:rPr>
        <w:t xml:space="preserve"> </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hint="eastAsia" w:ascii="仿宋_GB2312" w:eastAsia="仿宋_GB2312"/>
          <w:sz w:val="32"/>
          <w:szCs w:val="32"/>
          <w:lang w:val="en-US" w:eastAsia="zh-CN"/>
        </w:rPr>
        <w:t>9</w:t>
      </w:r>
      <w:r>
        <w:rPr>
          <w:rFonts w:ascii="仿宋_GB2312" w:eastAsia="仿宋_GB2312"/>
          <w:sz w:val="32"/>
          <w:szCs w:val="32"/>
        </w:rPr>
        <w:t>.</w:t>
      </w:r>
      <w:r>
        <w:rPr>
          <w:rFonts w:hint="eastAsia" w:ascii="仿宋_GB2312" w:eastAsia="仿宋_GB2312"/>
          <w:sz w:val="32"/>
          <w:szCs w:val="32"/>
        </w:rPr>
        <w:t>社会保障和就业（类）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（项）：指</w:t>
      </w:r>
      <w:r>
        <w:rPr>
          <w:rFonts w:hint="eastAsia" w:ascii="仿宋_GB2312" w:eastAsia="仿宋_GB2312"/>
          <w:sz w:val="32"/>
          <w:szCs w:val="32"/>
          <w:lang w:val="en-US" w:eastAsia="zh-CN"/>
        </w:rPr>
        <w:t>养老保险待遇支出、转移支出、补助下级支出、上解上级支出、其他支出</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10</w:t>
      </w:r>
      <w:r>
        <w:rPr>
          <w:rFonts w:ascii="仿宋_GB2312" w:eastAsia="仿宋_GB2312"/>
          <w:sz w:val="32"/>
          <w:szCs w:val="32"/>
        </w:rPr>
        <w:t>.</w:t>
      </w:r>
      <w:r>
        <w:rPr>
          <w:rFonts w:hint="eastAsia" w:ascii="仿宋_GB2312" w:eastAsia="仿宋_GB2312"/>
          <w:sz w:val="32"/>
          <w:szCs w:val="32"/>
        </w:rPr>
        <w:t>卫生健康（类）</w:t>
      </w:r>
      <w:r>
        <w:rPr>
          <w:rFonts w:hint="eastAsia" w:ascii="仿宋_GB2312" w:eastAsia="仿宋_GB2312"/>
          <w:sz w:val="32"/>
          <w:szCs w:val="32"/>
          <w:lang w:val="en-US" w:eastAsia="zh-CN"/>
        </w:rPr>
        <w:t>卫生健康管理事务</w:t>
      </w:r>
      <w:r>
        <w:rPr>
          <w:rFonts w:hint="eastAsia" w:ascii="仿宋_GB2312" w:eastAsia="仿宋_GB2312"/>
          <w:sz w:val="32"/>
          <w:szCs w:val="32"/>
        </w:rPr>
        <w:t>（款）</w:t>
      </w:r>
      <w:r>
        <w:rPr>
          <w:rFonts w:hint="eastAsia" w:ascii="仿宋_GB2312" w:eastAsia="仿宋_GB2312"/>
          <w:sz w:val="32"/>
          <w:szCs w:val="32"/>
          <w:lang w:val="en-US" w:eastAsia="zh-CN"/>
        </w:rPr>
        <w:t>其他卫生健康管理事务</w:t>
      </w:r>
      <w:r>
        <w:rPr>
          <w:rFonts w:hint="eastAsia" w:ascii="仿宋_GB2312" w:eastAsia="仿宋_GB2312"/>
          <w:sz w:val="32"/>
          <w:szCs w:val="32"/>
        </w:rPr>
        <w:t>（项）：指</w:t>
      </w:r>
      <w:r>
        <w:rPr>
          <w:rFonts w:hint="eastAsia" w:ascii="仿宋_GB2312" w:eastAsia="仿宋_GB2312"/>
          <w:sz w:val="32"/>
          <w:szCs w:val="32"/>
          <w:lang w:eastAsia="zh-CN"/>
        </w:rPr>
        <w:t>：</w:t>
      </w:r>
      <w:r>
        <w:rPr>
          <w:rFonts w:hint="eastAsia" w:ascii="仿宋_GB2312" w:eastAsia="仿宋_GB2312"/>
          <w:sz w:val="32"/>
          <w:szCs w:val="32"/>
          <w:lang w:val="en-US" w:eastAsia="zh-CN"/>
        </w:rPr>
        <w:t>卫生用品，维护人力等</w:t>
      </w:r>
      <w:r>
        <w:rPr>
          <w:rFonts w:hint="eastAsia" w:ascii="仿宋_GB2312" w:eastAsia="仿宋_GB2312"/>
          <w:sz w:val="32"/>
          <w:szCs w:val="32"/>
        </w:rPr>
        <w:t>。</w:t>
      </w:r>
    </w:p>
    <w:p>
      <w:pPr>
        <w:pStyle w:val="26"/>
        <w:spacing w:line="56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11. 卫生健康（类）卫生健康管理事务（款）乡镇卫生院（项）：指：指乡镇卫生院职工工资，保险及年终目标绩效经费</w:t>
      </w:r>
    </w:p>
    <w:p>
      <w:pPr>
        <w:pStyle w:val="26"/>
        <w:spacing w:line="56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12. 卫生健康（类）卫生健康管理事务（款）其他基层医疗卫生机构支出（项）指：支出决算为：607.82万元，完成预算97.8%，决算数小于预算数。</w:t>
      </w:r>
    </w:p>
    <w:p>
      <w:pPr>
        <w:pStyle w:val="26"/>
        <w:spacing w:line="56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13.卫生健康（类）公共卫生（款）基本公共卫生服务（项）：指：乡镇卫生院基本公共卫生服务资金</w:t>
      </w:r>
    </w:p>
    <w:p>
      <w:pPr>
        <w:pStyle w:val="26"/>
        <w:spacing w:line="56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14.卫生健康（类）公共卫生（款）重大公共卫生服务(项）：指：两癌筛选、妇幼专项及中医馆服务能力建设等资金</w:t>
      </w:r>
    </w:p>
    <w:p>
      <w:pPr>
        <w:pStyle w:val="26"/>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ascii="仿宋_GB2312" w:eastAsia="仿宋_GB2312"/>
          <w:color w:val="auto"/>
          <w:sz w:val="32"/>
          <w:szCs w:val="32"/>
        </w:rPr>
        <w:t>5.</w:t>
      </w:r>
      <w:r>
        <w:rPr>
          <w:rFonts w:hint="eastAsia" w:ascii="仿宋_GB2312" w:eastAsia="仿宋_GB2312"/>
          <w:color w:val="auto"/>
          <w:sz w:val="32"/>
          <w:szCs w:val="32"/>
        </w:rPr>
        <w:t>住房保障（类）</w:t>
      </w:r>
      <w:r>
        <w:rPr>
          <w:rFonts w:hint="eastAsia" w:ascii="仿宋_GB2312" w:eastAsia="仿宋_GB2312"/>
          <w:color w:val="auto"/>
          <w:sz w:val="32"/>
          <w:szCs w:val="32"/>
          <w:lang w:val="en-US" w:eastAsia="zh-CN"/>
        </w:rPr>
        <w:t>住房改革支出</w:t>
      </w:r>
      <w:r>
        <w:rPr>
          <w:rFonts w:hint="eastAsia" w:ascii="仿宋_GB2312" w:eastAsia="仿宋_GB2312"/>
          <w:color w:val="auto"/>
          <w:sz w:val="32"/>
          <w:szCs w:val="32"/>
        </w:rPr>
        <w:t>（款）</w:t>
      </w:r>
      <w:r>
        <w:rPr>
          <w:rFonts w:hint="eastAsia" w:ascii="仿宋_GB2312" w:eastAsia="仿宋_GB2312"/>
          <w:color w:val="auto"/>
          <w:sz w:val="32"/>
          <w:szCs w:val="32"/>
          <w:lang w:val="en-US" w:eastAsia="zh-CN"/>
        </w:rPr>
        <w:t>住房公积金</w:t>
      </w:r>
      <w:r>
        <w:rPr>
          <w:rFonts w:hint="eastAsia" w:ascii="仿宋_GB2312" w:eastAsia="仿宋_GB2312"/>
          <w:color w:val="auto"/>
          <w:sz w:val="32"/>
          <w:szCs w:val="32"/>
        </w:rPr>
        <w:t>（项）：指</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卫健局缴纳的单位职工住房公积金</w:t>
      </w:r>
      <w:r>
        <w:rPr>
          <w:rFonts w:hint="eastAsia" w:ascii="仿宋_GB2312" w:eastAsia="仿宋_GB2312"/>
          <w:color w:val="auto"/>
          <w:sz w:val="32"/>
          <w:szCs w:val="32"/>
        </w:rPr>
        <w:t>。</w:t>
      </w:r>
    </w:p>
    <w:p>
      <w:pPr>
        <w:ind w:firstLine="640" w:firstLineChars="200"/>
        <w:rPr>
          <w:rFonts w:ascii="仿宋_GB2312" w:eastAsia="仿宋_GB2312"/>
          <w:sz w:val="32"/>
          <w:szCs w:val="32"/>
        </w:rPr>
      </w:pPr>
      <w:r>
        <w:rPr>
          <w:rFonts w:hint="eastAsia" w:ascii="仿宋_GB2312" w:eastAsia="仿宋_GB2312"/>
          <w:sz w:val="32"/>
          <w:szCs w:val="32"/>
          <w:lang w:val="en-US" w:eastAsia="zh-CN"/>
        </w:rPr>
        <w:t>16</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17</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color w:val="auto"/>
          <w:sz w:val="32"/>
          <w:szCs w:val="32"/>
        </w:rPr>
      </w:pPr>
      <w:r>
        <w:rPr>
          <w:rFonts w:hint="eastAsia" w:ascii="仿宋_GB2312" w:eastAsia="仿宋_GB2312"/>
          <w:sz w:val="32"/>
          <w:szCs w:val="32"/>
          <w:lang w:val="en-US" w:eastAsia="zh-CN"/>
        </w:rPr>
        <w:t>18</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6"/>
        <w:spacing w:line="560" w:lineRule="exact"/>
        <w:ind w:firstLine="640" w:firstLineChars="200"/>
        <w:rPr>
          <w:rFonts w:ascii="仿宋_GB2312" w:eastAsia="仿宋_GB2312" w:cs="黑体"/>
          <w:color w:val="auto"/>
          <w:sz w:val="32"/>
          <w:szCs w:val="32"/>
        </w:rPr>
      </w:pPr>
    </w:p>
    <w:p>
      <w:pPr>
        <w:numPr>
          <w:ilvl w:val="0"/>
          <w:numId w:val="4"/>
        </w:numPr>
        <w:spacing w:line="600" w:lineRule="exact"/>
        <w:ind w:left="0" w:leftChars="0" w:firstLine="663" w:firstLineChars="150"/>
        <w:jc w:val="center"/>
        <w:outlineLvl w:val="0"/>
        <w:rPr>
          <w:rStyle w:val="28"/>
          <w:rFonts w:hint="eastAsia" w:ascii="黑体" w:hAnsi="黑体" w:eastAsia="黑体"/>
          <w:b w:val="0"/>
        </w:rPr>
      </w:pPr>
      <w:bookmarkStart w:id="47" w:name="_Toc15377226"/>
      <w:r>
        <w:rPr>
          <w:rFonts w:ascii="宋体"/>
          <w:b/>
          <w:sz w:val="44"/>
          <w:szCs w:val="44"/>
        </w:rPr>
        <w:br w:type="page"/>
      </w:r>
      <w:bookmarkStart w:id="48" w:name="_Toc15396618"/>
      <w:r>
        <w:rPr>
          <w:rStyle w:val="28"/>
          <w:rFonts w:hint="eastAsia" w:ascii="黑体" w:hAnsi="黑体" w:eastAsia="黑体"/>
          <w:b w:val="0"/>
        </w:rPr>
        <w:t>附表</w:t>
      </w:r>
      <w:bookmarkEnd w:id="47"/>
      <w:bookmarkEnd w:id="48"/>
      <w:bookmarkStart w:id="49" w:name="_Toc15396619"/>
    </w:p>
    <w:p>
      <w:pPr>
        <w:pStyle w:val="2"/>
        <w:numPr>
          <w:numId w:val="0"/>
        </w:numPr>
        <w:ind w:leftChars="150"/>
        <w:rPr>
          <w:rFonts w:hint="default" w:eastAsia="仿宋"/>
          <w:lang w:val="en-US" w:eastAsia="zh-CN"/>
        </w:rPr>
      </w:pPr>
      <w:r>
        <w:rPr>
          <w:rFonts w:hint="eastAsia" w:ascii="仿宋" w:hAnsi="仿宋" w:eastAsia="仿宋"/>
          <w:b w:val="0"/>
        </w:rPr>
        <w:t>一、</w:t>
      </w:r>
      <w:r>
        <w:rPr>
          <w:rFonts w:hint="eastAsia" w:ascii="仿宋" w:hAnsi="仿宋" w:eastAsia="仿宋"/>
          <w:b w:val="0"/>
          <w:lang w:val="en-US" w:eastAsia="zh-CN"/>
        </w:rPr>
        <w:t>绩效自评报告</w:t>
      </w:r>
    </w:p>
    <w:p>
      <w:pPr>
        <w:pStyle w:val="4"/>
        <w:rPr>
          <w:rFonts w:hint="eastAsia" w:ascii="仿宋" w:hAnsi="仿宋" w:eastAsia="仿宋"/>
          <w:b w:val="0"/>
        </w:rPr>
      </w:pPr>
    </w:p>
    <w:p>
      <w:pPr>
        <w:pStyle w:val="4"/>
        <w:rPr>
          <w:rFonts w:hint="eastAsia" w:ascii="仿宋" w:hAnsi="仿宋" w:eastAsia="仿宋"/>
          <w:b w:val="0"/>
        </w:rPr>
      </w:pPr>
    </w:p>
    <w:p>
      <w:pPr>
        <w:pStyle w:val="4"/>
        <w:ind w:firstLine="3092" w:firstLineChars="700"/>
        <w:rPr>
          <w:rFonts w:hint="eastAsia" w:ascii="仿宋" w:hAnsi="仿宋" w:eastAsia="仿宋"/>
          <w:b w:val="0"/>
        </w:rPr>
      </w:pPr>
      <w:r>
        <w:rPr>
          <w:rFonts w:hint="eastAsia" w:ascii="黑体" w:hAnsi="黑体" w:eastAsia="黑体"/>
          <w:sz w:val="44"/>
          <w:szCs w:val="44"/>
        </w:rPr>
        <w:t>第</w:t>
      </w:r>
      <w:r>
        <w:rPr>
          <w:rFonts w:hint="eastAsia" w:ascii="黑体" w:hAnsi="黑体" w:eastAsia="黑体"/>
          <w:sz w:val="44"/>
          <w:szCs w:val="44"/>
          <w:lang w:val="en-US" w:eastAsia="zh-CN"/>
        </w:rPr>
        <w:t>五</w:t>
      </w:r>
      <w:r>
        <w:rPr>
          <w:rStyle w:val="28"/>
          <w:rFonts w:hint="eastAsia" w:ascii="黑体" w:hAnsi="黑体" w:eastAsia="黑体"/>
          <w:b w:val="0"/>
          <w:bCs/>
        </w:rPr>
        <w:t>部分 附表</w:t>
      </w:r>
    </w:p>
    <w:p>
      <w:pPr>
        <w:pStyle w:val="4"/>
        <w:rPr>
          <w:rFonts w:ascii="仿宋" w:hAnsi="仿宋" w:eastAsia="仿宋"/>
        </w:rPr>
      </w:pPr>
      <w:r>
        <w:rPr>
          <w:rFonts w:hint="eastAsia" w:ascii="仿宋" w:hAnsi="仿宋" w:eastAsia="仿宋"/>
          <w:b w:val="0"/>
        </w:rPr>
        <w:t>一、收</w:t>
      </w:r>
      <w:r>
        <w:rPr>
          <w:rStyle w:val="29"/>
          <w:rFonts w:hint="eastAsia" w:ascii="仿宋" w:hAnsi="仿宋" w:eastAsia="仿宋"/>
          <w:b w:val="0"/>
          <w:bCs w:val="0"/>
        </w:rPr>
        <w:t>入支出决算总表</w:t>
      </w:r>
      <w:bookmarkEnd w:id="49"/>
    </w:p>
    <w:p>
      <w:pPr>
        <w:pStyle w:val="4"/>
        <w:rPr>
          <w:rFonts w:ascii="仿宋" w:hAnsi="仿宋" w:eastAsia="仿宋"/>
        </w:rPr>
      </w:pPr>
      <w:bookmarkStart w:id="50" w:name="_Toc15396620"/>
      <w:r>
        <w:rPr>
          <w:rFonts w:hint="eastAsia" w:ascii="仿宋" w:hAnsi="仿宋" w:eastAsia="仿宋"/>
          <w:b w:val="0"/>
        </w:rPr>
        <w:t>二、收</w:t>
      </w:r>
      <w:r>
        <w:rPr>
          <w:rStyle w:val="29"/>
          <w:rFonts w:hint="eastAsia" w:ascii="仿宋" w:hAnsi="仿宋" w:eastAsia="仿宋"/>
          <w:b w:val="0"/>
          <w:bCs w:val="0"/>
        </w:rPr>
        <w:t>入决算表</w:t>
      </w:r>
      <w:bookmarkEnd w:id="50"/>
    </w:p>
    <w:p>
      <w:pPr>
        <w:pStyle w:val="4"/>
        <w:rPr>
          <w:rFonts w:ascii="仿宋" w:hAnsi="仿宋" w:eastAsia="仿宋"/>
        </w:rPr>
      </w:pPr>
      <w:bookmarkStart w:id="51" w:name="_Toc15396621"/>
      <w:r>
        <w:rPr>
          <w:rStyle w:val="29"/>
          <w:rFonts w:hint="eastAsia" w:ascii="仿宋" w:hAnsi="仿宋" w:eastAsia="仿宋"/>
          <w:b w:val="0"/>
          <w:bCs w:val="0"/>
        </w:rPr>
        <w:t>三、</w:t>
      </w:r>
      <w:r>
        <w:rPr>
          <w:rFonts w:hint="eastAsia" w:ascii="仿宋" w:hAnsi="仿宋" w:eastAsia="仿宋"/>
          <w:b w:val="0"/>
        </w:rPr>
        <w:t>支</w:t>
      </w:r>
      <w:r>
        <w:rPr>
          <w:rStyle w:val="29"/>
          <w:rFonts w:hint="eastAsia" w:ascii="仿宋" w:hAnsi="仿宋" w:eastAsia="仿宋"/>
          <w:b w:val="0"/>
          <w:bCs w:val="0"/>
        </w:rPr>
        <w:t>出决算表</w:t>
      </w:r>
      <w:bookmarkEnd w:id="51"/>
    </w:p>
    <w:p>
      <w:pPr>
        <w:pStyle w:val="4"/>
        <w:rPr>
          <w:rFonts w:ascii="仿宋" w:hAnsi="仿宋" w:eastAsia="仿宋"/>
          <w:b w:val="0"/>
        </w:rPr>
      </w:pPr>
      <w:bookmarkStart w:id="52" w:name="_Toc15396622"/>
      <w:r>
        <w:rPr>
          <w:rStyle w:val="29"/>
          <w:rFonts w:hint="eastAsia" w:ascii="仿宋" w:hAnsi="仿宋" w:eastAsia="仿宋"/>
          <w:b w:val="0"/>
          <w:bCs w:val="0"/>
        </w:rPr>
        <w:t>四、</w:t>
      </w:r>
      <w:r>
        <w:rPr>
          <w:rFonts w:hint="eastAsia" w:ascii="仿宋" w:hAnsi="仿宋" w:eastAsia="仿宋"/>
          <w:b w:val="0"/>
        </w:rPr>
        <w:t>财</w:t>
      </w:r>
      <w:r>
        <w:rPr>
          <w:rStyle w:val="29"/>
          <w:rFonts w:hint="eastAsia" w:ascii="仿宋" w:hAnsi="仿宋" w:eastAsia="仿宋"/>
          <w:b w:val="0"/>
          <w:bCs w:val="0"/>
        </w:rPr>
        <w:t>政拨款收入支出决算总表</w:t>
      </w:r>
      <w:bookmarkEnd w:id="52"/>
    </w:p>
    <w:p>
      <w:pPr>
        <w:pStyle w:val="4"/>
        <w:rPr>
          <w:rStyle w:val="29"/>
          <w:rFonts w:ascii="仿宋" w:hAnsi="仿宋" w:eastAsia="仿宋"/>
          <w:b w:val="0"/>
          <w:bCs w:val="0"/>
        </w:rPr>
      </w:pPr>
      <w:bookmarkStart w:id="53" w:name="_Toc15396623"/>
      <w:r>
        <w:rPr>
          <w:rStyle w:val="29"/>
          <w:rFonts w:hint="eastAsia" w:ascii="仿宋" w:hAnsi="仿宋" w:eastAsia="仿宋"/>
          <w:b w:val="0"/>
          <w:bCs w:val="0"/>
        </w:rPr>
        <w:t>五、</w:t>
      </w:r>
      <w:r>
        <w:rPr>
          <w:rFonts w:hint="eastAsia" w:ascii="仿宋" w:hAnsi="仿宋" w:eastAsia="仿宋"/>
          <w:b w:val="0"/>
        </w:rPr>
        <w:t>财</w:t>
      </w:r>
      <w:r>
        <w:rPr>
          <w:rStyle w:val="29"/>
          <w:rFonts w:hint="eastAsia" w:ascii="仿宋" w:hAnsi="仿宋" w:eastAsia="仿宋"/>
          <w:b w:val="0"/>
          <w:bCs w:val="0"/>
        </w:rPr>
        <w:t>政拨款支出决算明细表</w:t>
      </w:r>
      <w:bookmarkEnd w:id="53"/>
      <w:bookmarkStart w:id="54" w:name="_Toc15396624"/>
    </w:p>
    <w:p>
      <w:pPr>
        <w:pStyle w:val="4"/>
        <w:rPr>
          <w:rFonts w:ascii="仿宋" w:hAnsi="仿宋" w:eastAsia="仿宋"/>
        </w:rPr>
      </w:pPr>
      <w:r>
        <w:rPr>
          <w:rStyle w:val="29"/>
          <w:rFonts w:hint="eastAsia" w:ascii="仿宋" w:hAnsi="仿宋" w:eastAsia="仿宋"/>
          <w:b w:val="0"/>
          <w:bCs w:val="0"/>
        </w:rPr>
        <w:t>六、</w:t>
      </w:r>
      <w:r>
        <w:rPr>
          <w:rFonts w:hint="eastAsia" w:ascii="仿宋" w:hAnsi="仿宋" w:eastAsia="仿宋"/>
          <w:b w:val="0"/>
        </w:rPr>
        <w:t>一</w:t>
      </w:r>
      <w:r>
        <w:rPr>
          <w:rStyle w:val="29"/>
          <w:rFonts w:hint="eastAsia" w:ascii="仿宋" w:hAnsi="仿宋" w:eastAsia="仿宋"/>
          <w:b w:val="0"/>
          <w:bCs w:val="0"/>
        </w:rPr>
        <w:t>般公共预算财政拨款支出决算表</w:t>
      </w:r>
      <w:bookmarkEnd w:id="54"/>
    </w:p>
    <w:p>
      <w:pPr>
        <w:pStyle w:val="4"/>
        <w:rPr>
          <w:rFonts w:ascii="仿宋" w:hAnsi="仿宋" w:eastAsia="仿宋"/>
        </w:rPr>
      </w:pPr>
      <w:bookmarkStart w:id="55" w:name="_Toc15396625"/>
      <w:r>
        <w:rPr>
          <w:rStyle w:val="29"/>
          <w:rFonts w:hint="eastAsia" w:ascii="仿宋" w:hAnsi="仿宋" w:eastAsia="仿宋"/>
          <w:b w:val="0"/>
          <w:bCs w:val="0"/>
        </w:rPr>
        <w:t>七、</w:t>
      </w:r>
      <w:r>
        <w:rPr>
          <w:rFonts w:hint="eastAsia" w:ascii="仿宋" w:hAnsi="仿宋" w:eastAsia="仿宋"/>
          <w:b w:val="0"/>
        </w:rPr>
        <w:t>一</w:t>
      </w:r>
      <w:r>
        <w:rPr>
          <w:rStyle w:val="29"/>
          <w:rFonts w:hint="eastAsia" w:ascii="仿宋" w:hAnsi="仿宋" w:eastAsia="仿宋"/>
          <w:b w:val="0"/>
          <w:bCs w:val="0"/>
        </w:rPr>
        <w:t>般公共预算财政拨款支出决算明细表</w:t>
      </w:r>
      <w:bookmarkEnd w:id="55"/>
    </w:p>
    <w:p>
      <w:pPr>
        <w:pStyle w:val="4"/>
        <w:rPr>
          <w:rFonts w:ascii="仿宋" w:hAnsi="仿宋" w:eastAsia="仿宋"/>
        </w:rPr>
      </w:pPr>
      <w:bookmarkStart w:id="56" w:name="_Toc15396626"/>
      <w:r>
        <w:rPr>
          <w:rStyle w:val="29"/>
          <w:rFonts w:hint="eastAsia" w:ascii="仿宋" w:hAnsi="仿宋" w:eastAsia="仿宋"/>
          <w:b w:val="0"/>
          <w:bCs w:val="0"/>
        </w:rPr>
        <w:t>八、</w:t>
      </w:r>
      <w:r>
        <w:rPr>
          <w:rFonts w:hint="eastAsia" w:ascii="仿宋" w:hAnsi="仿宋" w:eastAsia="仿宋"/>
          <w:b w:val="0"/>
        </w:rPr>
        <w:t>一</w:t>
      </w:r>
      <w:r>
        <w:rPr>
          <w:rStyle w:val="29"/>
          <w:rFonts w:hint="eastAsia" w:ascii="仿宋" w:hAnsi="仿宋" w:eastAsia="仿宋"/>
          <w:b w:val="0"/>
          <w:bCs w:val="0"/>
        </w:rPr>
        <w:t>般公共预算财政拨款基本支出决算表</w:t>
      </w:r>
      <w:bookmarkEnd w:id="56"/>
    </w:p>
    <w:p>
      <w:pPr>
        <w:pStyle w:val="4"/>
        <w:rPr>
          <w:rFonts w:ascii="仿宋" w:hAnsi="仿宋" w:eastAsia="仿宋"/>
        </w:rPr>
      </w:pPr>
      <w:bookmarkStart w:id="57" w:name="_Toc15396627"/>
      <w:r>
        <w:rPr>
          <w:rStyle w:val="29"/>
          <w:rFonts w:hint="eastAsia" w:ascii="仿宋" w:hAnsi="仿宋" w:eastAsia="仿宋"/>
          <w:b w:val="0"/>
          <w:bCs w:val="0"/>
        </w:rPr>
        <w:t>九、</w:t>
      </w:r>
      <w:r>
        <w:rPr>
          <w:rFonts w:hint="eastAsia" w:ascii="仿宋" w:hAnsi="仿宋" w:eastAsia="仿宋"/>
          <w:b w:val="0"/>
        </w:rPr>
        <w:t>一</w:t>
      </w:r>
      <w:r>
        <w:rPr>
          <w:rStyle w:val="29"/>
          <w:rFonts w:hint="eastAsia" w:ascii="仿宋" w:hAnsi="仿宋" w:eastAsia="仿宋"/>
          <w:b w:val="0"/>
          <w:bCs w:val="0"/>
        </w:rPr>
        <w:t>般公共预算财政拨款项目支出决算表</w:t>
      </w:r>
      <w:bookmarkEnd w:id="57"/>
    </w:p>
    <w:p>
      <w:pPr>
        <w:pStyle w:val="4"/>
        <w:rPr>
          <w:rFonts w:ascii="仿宋" w:hAnsi="仿宋" w:eastAsia="仿宋"/>
        </w:rPr>
      </w:pPr>
      <w:bookmarkStart w:id="58" w:name="_Toc15396628"/>
      <w:r>
        <w:rPr>
          <w:rStyle w:val="29"/>
          <w:rFonts w:hint="eastAsia" w:ascii="仿宋" w:hAnsi="仿宋" w:eastAsia="仿宋"/>
          <w:b w:val="0"/>
          <w:bCs w:val="0"/>
        </w:rPr>
        <w:t>十、</w:t>
      </w:r>
      <w:bookmarkEnd w:id="58"/>
      <w:r>
        <w:rPr>
          <w:rFonts w:hint="eastAsia" w:ascii="仿宋" w:hAnsi="仿宋" w:eastAsia="仿宋"/>
          <w:b w:val="0"/>
        </w:rPr>
        <w:t>政</w:t>
      </w:r>
      <w:r>
        <w:rPr>
          <w:rStyle w:val="29"/>
          <w:rFonts w:hint="eastAsia" w:ascii="仿宋" w:hAnsi="仿宋" w:eastAsia="仿宋"/>
          <w:b w:val="0"/>
          <w:bCs w:val="0"/>
        </w:rPr>
        <w:t>府性基金预算财政拨款收入支出决算表</w:t>
      </w:r>
    </w:p>
    <w:p>
      <w:pPr>
        <w:pStyle w:val="4"/>
        <w:rPr>
          <w:rFonts w:ascii="仿宋" w:hAnsi="仿宋" w:eastAsia="仿宋"/>
        </w:rPr>
      </w:pPr>
      <w:bookmarkStart w:id="59" w:name="_Toc15396629"/>
      <w:r>
        <w:rPr>
          <w:rStyle w:val="29"/>
          <w:rFonts w:hint="eastAsia" w:ascii="仿宋" w:hAnsi="仿宋" w:eastAsia="仿宋"/>
          <w:b w:val="0"/>
          <w:bCs w:val="0"/>
        </w:rPr>
        <w:t>十一、</w:t>
      </w:r>
      <w:bookmarkEnd w:id="59"/>
      <w:r>
        <w:rPr>
          <w:rFonts w:hint="eastAsia" w:ascii="仿宋" w:hAnsi="仿宋" w:eastAsia="仿宋"/>
          <w:b w:val="0"/>
        </w:rPr>
        <w:t>国</w:t>
      </w:r>
      <w:r>
        <w:rPr>
          <w:rStyle w:val="29"/>
          <w:rFonts w:hint="eastAsia" w:ascii="仿宋" w:hAnsi="仿宋" w:eastAsia="仿宋"/>
          <w:b w:val="0"/>
          <w:bCs w:val="0"/>
        </w:rPr>
        <w:t>有资本经营预算财政拨款收入支出决算表</w:t>
      </w:r>
    </w:p>
    <w:p>
      <w:pPr>
        <w:pStyle w:val="4"/>
        <w:rPr>
          <w:rFonts w:ascii="仿宋" w:hAnsi="仿宋" w:eastAsia="仿宋"/>
        </w:rPr>
      </w:pPr>
      <w:bookmarkStart w:id="60" w:name="_Toc15396630"/>
      <w:r>
        <w:rPr>
          <w:rStyle w:val="29"/>
          <w:rFonts w:hint="eastAsia" w:ascii="仿宋" w:hAnsi="仿宋" w:eastAsia="仿宋"/>
          <w:b w:val="0"/>
          <w:bCs w:val="0"/>
        </w:rPr>
        <w:t>十二、</w:t>
      </w:r>
      <w:bookmarkEnd w:id="60"/>
      <w:r>
        <w:rPr>
          <w:rStyle w:val="29"/>
          <w:rFonts w:hint="eastAsia" w:ascii="仿宋" w:hAnsi="仿宋" w:eastAsia="仿宋"/>
          <w:b w:val="0"/>
          <w:bCs w:val="0"/>
        </w:rPr>
        <w:t>国有资本经营预算财政拨款支出决算表</w:t>
      </w:r>
    </w:p>
    <w:p>
      <w:pPr>
        <w:pStyle w:val="4"/>
        <w:rPr>
          <w:rFonts w:eastAsia="仿宋"/>
        </w:rPr>
      </w:pPr>
      <w:bookmarkStart w:id="61" w:name="_Toc15396631"/>
      <w:r>
        <w:rPr>
          <w:rStyle w:val="29"/>
          <w:rFonts w:hint="eastAsia" w:ascii="仿宋" w:hAnsi="仿宋" w:eastAsia="仿宋"/>
          <w:b w:val="0"/>
          <w:bCs w:val="0"/>
        </w:rPr>
        <w:t>十三、</w:t>
      </w:r>
      <w:bookmarkEnd w:id="61"/>
      <w:r>
        <w:rPr>
          <w:rStyle w:val="29"/>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xNjE2Nzk3YzY3YjE2NzdkMWRlOGU1NTc5ODczYjY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37B7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C2F09"/>
    <w:rsid w:val="004E0A2D"/>
    <w:rsid w:val="004E206B"/>
    <w:rsid w:val="004E6DF7"/>
    <w:rsid w:val="004F0FBD"/>
    <w:rsid w:val="00505A47"/>
    <w:rsid w:val="00512FDA"/>
    <w:rsid w:val="00520DA0"/>
    <w:rsid w:val="005516C4"/>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0F30"/>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A026C"/>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24C7"/>
    <w:rsid w:val="008B768C"/>
    <w:rsid w:val="008C4DB1"/>
    <w:rsid w:val="008C4EAF"/>
    <w:rsid w:val="008C5176"/>
    <w:rsid w:val="008C7FD0"/>
    <w:rsid w:val="008E1DE7"/>
    <w:rsid w:val="008E707C"/>
    <w:rsid w:val="008F3C39"/>
    <w:rsid w:val="008F6DF2"/>
    <w:rsid w:val="00900B08"/>
    <w:rsid w:val="00902155"/>
    <w:rsid w:val="00902FA3"/>
    <w:rsid w:val="00923564"/>
    <w:rsid w:val="0092392E"/>
    <w:rsid w:val="009315F9"/>
    <w:rsid w:val="00933499"/>
    <w:rsid w:val="00935C98"/>
    <w:rsid w:val="00946945"/>
    <w:rsid w:val="00951248"/>
    <w:rsid w:val="0095152F"/>
    <w:rsid w:val="00954C49"/>
    <w:rsid w:val="00955E37"/>
    <w:rsid w:val="00956BA6"/>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1678"/>
    <w:rsid w:val="00A422EB"/>
    <w:rsid w:val="00A45BB7"/>
    <w:rsid w:val="00A56DF2"/>
    <w:rsid w:val="00A56E6E"/>
    <w:rsid w:val="00A67AB5"/>
    <w:rsid w:val="00A733B2"/>
    <w:rsid w:val="00A741C2"/>
    <w:rsid w:val="00A91760"/>
    <w:rsid w:val="00A93B00"/>
    <w:rsid w:val="00A93C21"/>
    <w:rsid w:val="00AA609D"/>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E164C"/>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1547"/>
    <w:rsid w:val="00CE44F6"/>
    <w:rsid w:val="00CE49DA"/>
    <w:rsid w:val="00CE7B61"/>
    <w:rsid w:val="00D00095"/>
    <w:rsid w:val="00D114F0"/>
    <w:rsid w:val="00D20620"/>
    <w:rsid w:val="00D2523B"/>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3B3F"/>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E7D16"/>
    <w:rsid w:val="00EF4C34"/>
    <w:rsid w:val="00EF77C6"/>
    <w:rsid w:val="00F05438"/>
    <w:rsid w:val="00F1361C"/>
    <w:rsid w:val="00F156F0"/>
    <w:rsid w:val="00F160C7"/>
    <w:rsid w:val="00F2408F"/>
    <w:rsid w:val="00F240E9"/>
    <w:rsid w:val="00F36D8F"/>
    <w:rsid w:val="00F417B1"/>
    <w:rsid w:val="00F45853"/>
    <w:rsid w:val="00F5047E"/>
    <w:rsid w:val="00F602DF"/>
    <w:rsid w:val="00F754A1"/>
    <w:rsid w:val="00F81FD9"/>
    <w:rsid w:val="00F841AA"/>
    <w:rsid w:val="00F84A94"/>
    <w:rsid w:val="00F87E96"/>
    <w:rsid w:val="00FA23E8"/>
    <w:rsid w:val="00FD3CC1"/>
    <w:rsid w:val="00FF1E02"/>
    <w:rsid w:val="00FF30B4"/>
    <w:rsid w:val="015975B8"/>
    <w:rsid w:val="02143E91"/>
    <w:rsid w:val="066E0107"/>
    <w:rsid w:val="07996F6E"/>
    <w:rsid w:val="09EF5765"/>
    <w:rsid w:val="0A2032A3"/>
    <w:rsid w:val="0BD771C9"/>
    <w:rsid w:val="0F98263C"/>
    <w:rsid w:val="101860EC"/>
    <w:rsid w:val="10C055FF"/>
    <w:rsid w:val="118107EC"/>
    <w:rsid w:val="13D50BC4"/>
    <w:rsid w:val="16BB723D"/>
    <w:rsid w:val="1BE8440E"/>
    <w:rsid w:val="1D155CEE"/>
    <w:rsid w:val="1FF35744"/>
    <w:rsid w:val="23860B96"/>
    <w:rsid w:val="240371BF"/>
    <w:rsid w:val="29FD04D3"/>
    <w:rsid w:val="2C8A61B5"/>
    <w:rsid w:val="2DF04E50"/>
    <w:rsid w:val="2F040D46"/>
    <w:rsid w:val="31836563"/>
    <w:rsid w:val="319F7F4E"/>
    <w:rsid w:val="3304709D"/>
    <w:rsid w:val="36AA5135"/>
    <w:rsid w:val="376D39B2"/>
    <w:rsid w:val="37E16F03"/>
    <w:rsid w:val="38D469F0"/>
    <w:rsid w:val="3D98207C"/>
    <w:rsid w:val="3E78745D"/>
    <w:rsid w:val="44E268DA"/>
    <w:rsid w:val="4A627F82"/>
    <w:rsid w:val="4B0E749A"/>
    <w:rsid w:val="4B4F25DA"/>
    <w:rsid w:val="4BE068DB"/>
    <w:rsid w:val="4D577224"/>
    <w:rsid w:val="4EAB630A"/>
    <w:rsid w:val="4ECE2238"/>
    <w:rsid w:val="537E6D0A"/>
    <w:rsid w:val="5AF92295"/>
    <w:rsid w:val="5CD71FC4"/>
    <w:rsid w:val="602674AA"/>
    <w:rsid w:val="607D73BE"/>
    <w:rsid w:val="696E4655"/>
    <w:rsid w:val="6C4A05C8"/>
    <w:rsid w:val="6E7E3605"/>
    <w:rsid w:val="6FF5CC65"/>
    <w:rsid w:val="706305CE"/>
    <w:rsid w:val="715C0E4B"/>
    <w:rsid w:val="72734D90"/>
    <w:rsid w:val="73AD73D5"/>
    <w:rsid w:val="73B6EB34"/>
    <w:rsid w:val="744731E5"/>
    <w:rsid w:val="76E3355F"/>
    <w:rsid w:val="778769C8"/>
    <w:rsid w:val="79EE5BA4"/>
    <w:rsid w:val="7A894339"/>
    <w:rsid w:val="7CB805AB"/>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Body Text"/>
    <w:basedOn w:val="1"/>
    <w:link w:val="25"/>
    <w:qFormat/>
    <w:uiPriority w:val="99"/>
    <w:pPr>
      <w:spacing w:beforeLines="30"/>
    </w:pPr>
    <w:rPr>
      <w:rFonts w:ascii="仿宋_GB2312" w:eastAsia="仿宋_GB2312"/>
      <w:kern w:val="0"/>
      <w:sz w:val="30"/>
    </w:rPr>
  </w:style>
  <w:style w:type="paragraph" w:styleId="6">
    <w:name w:val="annotation text"/>
    <w:basedOn w:val="1"/>
    <w:semiHidden/>
    <w:unhideWhenUsed/>
    <w:qFormat/>
    <w:uiPriority w:val="99"/>
    <w:pPr>
      <w:jc w:val="left"/>
    </w:pPr>
  </w:style>
  <w:style w:type="paragraph" w:styleId="7">
    <w:name w:val="Body Text Indent"/>
    <w:basedOn w:val="1"/>
    <w:qFormat/>
    <w:uiPriority w:val="0"/>
    <w:pPr>
      <w:spacing w:after="120"/>
      <w:ind w:left="200"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1"/>
    <w:semiHidden/>
    <w:unhideWhenUsed/>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Body Text First Indent 2"/>
    <w:basedOn w:val="7"/>
    <w:unhideWhenUsed/>
    <w:qFormat/>
    <w:uiPriority w:val="99"/>
    <w:pPr>
      <w:ind w:firstLine="420" w:firstLine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paragraph" w:customStyle="1" w:styleId="19">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0">
    <w:name w:val="Header Char"/>
    <w:basedOn w:val="16"/>
    <w:semiHidden/>
    <w:qFormat/>
    <w:uiPriority w:val="99"/>
    <w:rPr>
      <w:rFonts w:ascii="Times New Roman" w:hAnsi="Times New Roman"/>
      <w:sz w:val="18"/>
      <w:szCs w:val="18"/>
    </w:rPr>
  </w:style>
  <w:style w:type="character" w:customStyle="1" w:styleId="21">
    <w:name w:val="页眉 字符"/>
    <w:link w:val="11"/>
    <w:semiHidden/>
    <w:qFormat/>
    <w:locked/>
    <w:uiPriority w:val="99"/>
    <w:rPr>
      <w:sz w:val="18"/>
    </w:rPr>
  </w:style>
  <w:style w:type="character" w:customStyle="1" w:styleId="22">
    <w:name w:val="Footer Char"/>
    <w:basedOn w:val="16"/>
    <w:semiHidden/>
    <w:qFormat/>
    <w:uiPriority w:val="99"/>
    <w:rPr>
      <w:rFonts w:ascii="Times New Roman" w:hAnsi="Times New Roman"/>
      <w:sz w:val="18"/>
      <w:szCs w:val="18"/>
    </w:rPr>
  </w:style>
  <w:style w:type="character" w:customStyle="1" w:styleId="23">
    <w:name w:val="页脚 字符"/>
    <w:link w:val="10"/>
    <w:qFormat/>
    <w:locked/>
    <w:uiPriority w:val="99"/>
    <w:rPr>
      <w:sz w:val="18"/>
    </w:rPr>
  </w:style>
  <w:style w:type="character" w:customStyle="1" w:styleId="24">
    <w:name w:val="Body Text Char"/>
    <w:basedOn w:val="16"/>
    <w:semiHidden/>
    <w:qFormat/>
    <w:uiPriority w:val="99"/>
    <w:rPr>
      <w:rFonts w:ascii="Times New Roman" w:hAnsi="Times New Roman"/>
      <w:szCs w:val="24"/>
    </w:rPr>
  </w:style>
  <w:style w:type="character" w:customStyle="1" w:styleId="25">
    <w:name w:val="正文文本 字符"/>
    <w:link w:val="2"/>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字符"/>
    <w:basedOn w:val="16"/>
    <w:link w:val="3"/>
    <w:qFormat/>
    <w:uiPriority w:val="9"/>
    <w:rPr>
      <w:rFonts w:ascii="Times New Roman" w:hAnsi="Times New Roman"/>
      <w:b/>
      <w:bCs/>
      <w:kern w:val="44"/>
      <w:sz w:val="44"/>
      <w:szCs w:val="44"/>
    </w:rPr>
  </w:style>
  <w:style w:type="character" w:customStyle="1" w:styleId="29">
    <w:name w:val="标题 2 字符"/>
    <w:basedOn w:val="16"/>
    <w:link w:val="4"/>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字符"/>
    <w:basedOn w:val="16"/>
    <w:link w:val="9"/>
    <w:semiHidden/>
    <w:qFormat/>
    <w:uiPriority w:val="99"/>
    <w:rPr>
      <w:rFonts w:ascii="Times New Roman" w:hAnsi="Times New Roman"/>
      <w:kern w:val="2"/>
      <w:sz w:val="18"/>
      <w:szCs w:val="18"/>
    </w:rPr>
  </w:style>
  <w:style w:type="character" w:customStyle="1" w:styleId="32">
    <w:name w:val="标题 3 字符"/>
    <w:basedOn w:val="16"/>
    <w:link w:val="5"/>
    <w:qFormat/>
    <w:uiPriority w:val="9"/>
    <w:rPr>
      <w:rFonts w:ascii="Times New Roman" w:hAnsi="Times New Roman"/>
      <w:b/>
      <w:bCs/>
      <w:kern w:val="2"/>
      <w:sz w:val="32"/>
      <w:szCs w:val="32"/>
    </w:rPr>
  </w:style>
  <w:style w:type="paragraph" w:customStyle="1" w:styleId="33">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四号正文"/>
    <w:basedOn w:val="1"/>
    <w:qFormat/>
    <w:uiPriority w:val="0"/>
    <w:pPr>
      <w:spacing w:line="360" w:lineRule="auto"/>
    </w:pPr>
    <w:rPr>
      <w:rFonts w:ascii="??" w:hAnsi="??"/>
      <w:color w:val="000000"/>
      <w:kern w:val="0"/>
      <w:sz w:val="28"/>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tx>
            <c:strRef>
              <c:f>Sheet1!$B$1</c:f>
              <c:strCache>
                <c:ptCount val="1"/>
                <c:pt idx="0">
                  <c:v>本年收入合计</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一般公共预算财政拨款收入</c:v>
                </c:pt>
                <c:pt idx="1">
                  <c:v>事业收入</c:v>
                </c:pt>
                <c:pt idx="2">
                  <c:v>其他收入</c:v>
                </c:pt>
              </c:strCache>
            </c:strRef>
          </c:cat>
          <c:val>
            <c:numRef>
              <c:f>Sheet1!$B$2:$B$4</c:f>
              <c:numCache>
                <c:formatCode>General</c:formatCode>
                <c:ptCount val="3"/>
                <c:pt idx="0">
                  <c:v>115.46</c:v>
                </c:pt>
                <c:pt idx="1">
                  <c:v>462.21</c:v>
                </c:pt>
                <c:pt idx="2">
                  <c:v>16.62</c:v>
                </c:pt>
              </c:numCache>
            </c:numRef>
          </c:val>
        </c:ser>
        <c:dLbls>
          <c:showLegendKey val="0"/>
          <c:showVal val="0"/>
          <c:showCatName val="1"/>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支出决算机构图</a:t>
            </a:r>
          </a:p>
        </c:rich>
      </c:tx>
      <c:layout/>
      <c:overlay val="0"/>
      <c:spPr>
        <a:noFill/>
        <a:ln>
          <a:noFill/>
        </a:ln>
        <a:effectLst/>
      </c:spPr>
    </c:title>
    <c:autoTitleDeleted val="0"/>
    <c:plotArea>
      <c:layout/>
      <c:pieChart>
        <c:varyColors val="1"/>
        <c:ser>
          <c:idx val="0"/>
          <c:order val="0"/>
          <c:tx>
            <c:strRef>
              <c:f>Sheet1!$B$1</c:f>
              <c:strCache>
                <c:ptCount val="1"/>
                <c:pt idx="0">
                  <c:v>本年支出合计</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strCache>
            </c:strRef>
          </c:cat>
          <c:val>
            <c:numRef>
              <c:f>Sheet1!$B$2:$B$5</c:f>
              <c:numCache>
                <c:formatCode>General</c:formatCode>
                <c:ptCount val="4"/>
                <c:pt idx="0">
                  <c:v>488.58</c:v>
                </c:pt>
                <c:pt idx="1">
                  <c:v>105.71</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r"/>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财政拨款收支总计</c:v>
                </c:pt>
              </c:strCache>
            </c:strRef>
          </c:tx>
          <c:spPr>
            <a:solidFill>
              <a:schemeClr val="accent1"/>
            </a:solidFill>
            <a:ln>
              <a:noFill/>
            </a:ln>
            <a:effectLst/>
          </c:spPr>
          <c:invertIfNegative val="0"/>
          <c:dLbls>
            <c:delete val="1"/>
          </c:dLbls>
          <c:cat>
            <c:numRef>
              <c:f>Sheet1!$A$2:$A$5</c:f>
              <c:numCache>
                <c:formatCode>General</c:formatCode>
                <c:ptCount val="4"/>
                <c:pt idx="0">
                  <c:v>2021</c:v>
                </c:pt>
                <c:pt idx="1">
                  <c:v>2022</c:v>
                </c:pt>
              </c:numCache>
            </c:numRef>
          </c:cat>
          <c:val>
            <c:numRef>
              <c:f>Sheet1!$B$2:$B$5</c:f>
              <c:numCache>
                <c:formatCode>General</c:formatCode>
                <c:ptCount val="4"/>
                <c:pt idx="0">
                  <c:v>340</c:v>
                </c:pt>
                <c:pt idx="1">
                  <c:v>230.92</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numRef>
              <c:f>Sheet1!$A$2:$A$5</c:f>
              <c:numCache>
                <c:formatCode>General</c:formatCode>
                <c:ptCount val="4"/>
                <c:pt idx="0">
                  <c:v>2021</c:v>
                </c:pt>
                <c:pt idx="1">
                  <c:v>2022</c:v>
                </c:pt>
              </c:numCache>
            </c:num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numRef>
              <c:f>Sheet1!$A$2:$A$5</c:f>
              <c:numCache>
                <c:formatCode>General</c:formatCode>
                <c:ptCount val="4"/>
                <c:pt idx="0">
                  <c:v>2021</c:v>
                </c:pt>
                <c:pt idx="1">
                  <c:v>2022</c:v>
                </c:pt>
              </c:numCache>
            </c:numRef>
          </c:cat>
          <c:val>
            <c:numRef>
              <c:f>Sheet1!$D$2:$D$5</c:f>
              <c:numCache>
                <c:formatCode>General</c:formatCode>
                <c:ptCount val="4"/>
              </c:numCache>
            </c:numRef>
          </c:val>
        </c:ser>
        <c:dLbls>
          <c:showLegendKey val="0"/>
          <c:showVal val="1"/>
          <c:showCatName val="0"/>
          <c:showSerName val="0"/>
          <c:showPercent val="0"/>
          <c:showBubbleSize val="0"/>
        </c:dLbls>
        <c:gapWidth val="150"/>
        <c:overlap val="0"/>
        <c:axId val="692746836"/>
        <c:axId val="338481620"/>
      </c:barChart>
      <c:catAx>
        <c:axId val="6927468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8481620"/>
        <c:crosses val="autoZero"/>
        <c:auto val="1"/>
        <c:lblAlgn val="ctr"/>
        <c:lblOffset val="100"/>
        <c:noMultiLvlLbl val="0"/>
      </c:catAx>
      <c:valAx>
        <c:axId val="338481620"/>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746836"/>
        <c:crosses val="autoZero"/>
        <c:crossBetween val="between"/>
      </c:valAx>
      <c:spPr>
        <a:noFill/>
        <a:ln>
          <a:noFill/>
        </a:ln>
        <a:effectLst/>
      </c:spPr>
    </c:plotArea>
    <c:legend>
      <c:legendPos val="r"/>
      <c:legendEntry>
        <c:idx val="1"/>
        <c:delete val="1"/>
      </c:legendEntry>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manualLayout>
          <c:layoutTarget val="inner"/>
          <c:xMode val="edge"/>
          <c:yMode val="edge"/>
          <c:x val="0.0650640251268422"/>
          <c:y val="0.161920951976201"/>
          <c:w val="0.628219376661029"/>
          <c:h val="0.75019124521887"/>
        </c:manualLayout>
      </c:layout>
      <c:barChart>
        <c:barDir val="col"/>
        <c:grouping val="clustered"/>
        <c:varyColors val="0"/>
        <c:ser>
          <c:idx val="0"/>
          <c:order val="0"/>
          <c:tx>
            <c:strRef>
              <c:f>Sheet1!$B$1</c:f>
              <c:strCache>
                <c:ptCount val="1"/>
                <c:pt idx="0">
                  <c:v>一般公共预算财政拨款支出</c:v>
                </c:pt>
              </c:strCache>
            </c:strRef>
          </c:tx>
          <c:spPr>
            <a:solidFill>
              <a:schemeClr val="accent1"/>
            </a:solidFill>
            <a:ln>
              <a:noFill/>
            </a:ln>
            <a:effectLst/>
          </c:spPr>
          <c:invertIfNegative val="0"/>
          <c:dLbls>
            <c:delete val="1"/>
          </c:dLbls>
          <c:cat>
            <c:numRef>
              <c:f>Sheet1!$A$2:$A$5</c:f>
              <c:numCache>
                <c:formatCode>General</c:formatCode>
                <c:ptCount val="4"/>
                <c:pt idx="0">
                  <c:v>2021</c:v>
                </c:pt>
                <c:pt idx="1">
                  <c:v>2022</c:v>
                </c:pt>
              </c:numCache>
            </c:numRef>
          </c:cat>
          <c:val>
            <c:numRef>
              <c:f>Sheet1!$B$2:$B$5</c:f>
              <c:numCache>
                <c:formatCode>General</c:formatCode>
                <c:ptCount val="4"/>
                <c:pt idx="0">
                  <c:v>170</c:v>
                </c:pt>
                <c:pt idx="1">
                  <c:v>115.46</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numRef>
              <c:f>Sheet1!$A$2:$A$5</c:f>
              <c:numCache>
                <c:formatCode>General</c:formatCode>
                <c:ptCount val="4"/>
                <c:pt idx="0">
                  <c:v>2021</c:v>
                </c:pt>
                <c:pt idx="1">
                  <c:v>2022</c:v>
                </c:pt>
              </c:numCache>
            </c:num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numRef>
              <c:f>Sheet1!$A$2:$A$5</c:f>
              <c:numCache>
                <c:formatCode>General</c:formatCode>
                <c:ptCount val="4"/>
                <c:pt idx="0">
                  <c:v>2021</c:v>
                </c:pt>
                <c:pt idx="1">
                  <c:v>2022</c:v>
                </c:pt>
              </c:numCache>
            </c:numRef>
          </c:cat>
          <c:val>
            <c:numRef>
              <c:f>Sheet1!$D$2:$D$5</c:f>
              <c:numCache>
                <c:formatCode>General</c:formatCode>
                <c:ptCount val="4"/>
              </c:numCache>
            </c:numRef>
          </c:val>
        </c:ser>
        <c:dLbls>
          <c:showLegendKey val="0"/>
          <c:showVal val="0"/>
          <c:showCatName val="0"/>
          <c:showSerName val="0"/>
          <c:showPercent val="0"/>
          <c:showBubbleSize val="0"/>
        </c:dLbls>
        <c:gapWidth val="150"/>
        <c:overlap val="0"/>
        <c:axId val="391114060"/>
        <c:axId val="558847103"/>
      </c:barChart>
      <c:catAx>
        <c:axId val="3911140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8847103"/>
        <c:crosses val="autoZero"/>
        <c:auto val="1"/>
        <c:lblAlgn val="ctr"/>
        <c:lblOffset val="100"/>
        <c:noMultiLvlLbl val="0"/>
      </c:catAx>
      <c:valAx>
        <c:axId val="558847103"/>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1114060"/>
        <c:crosses val="autoZero"/>
        <c:crossBetween val="between"/>
      </c:valAx>
      <c:spPr>
        <a:noFill/>
        <a:ln>
          <a:noFill/>
        </a:ln>
        <a:effectLst/>
      </c:spPr>
    </c:plotArea>
    <c:legend>
      <c:legendPos val="r"/>
      <c:legendEntry>
        <c:idx val="1"/>
        <c:delete val="1"/>
      </c:legendEntry>
      <c:legendEntry>
        <c:idx val="2"/>
        <c:delete val="1"/>
      </c:legendEntry>
      <c:layout>
        <c:manualLayout>
          <c:xMode val="edge"/>
          <c:yMode val="edge"/>
          <c:x val="0.691108963517758"/>
          <c:y val="0.45144496387590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社会保障和就业支出</c:v>
                </c:pt>
                <c:pt idx="1">
                  <c:v>卫生健康支出</c:v>
                </c:pt>
              </c:strCache>
            </c:strRef>
          </c:cat>
          <c:val>
            <c:numRef>
              <c:f>Sheet1!$B$2:$B$5</c:f>
              <c:numCache>
                <c:formatCode>General</c:formatCode>
                <c:ptCount val="4"/>
                <c:pt idx="0">
                  <c:v>3.83</c:v>
                </c:pt>
                <c:pt idx="1">
                  <c:v>111.63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4">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cs:styleClr val="auto"/>
    </cs:fontRef>
    <cs:defRPr sz="1000" b="1" i="0" u="none" strike="noStrike" kern="1200" spc="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21</Pages>
  <Words>1189</Words>
  <Characters>6781</Characters>
  <Lines>56</Lines>
  <Paragraphs>15</Paragraphs>
  <TotalTime>7</TotalTime>
  <ScaleCrop>false</ScaleCrop>
  <LinksUpToDate>false</LinksUpToDate>
  <CharactersWithSpaces>7955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2023-07-31T02:35:00Z</cp:lastPrinted>
  <dcterms:modified xsi:type="dcterms:W3CDTF">2023-10-31T11:51:19Z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71F0EF330ED54E32BB48287FFC48AED5_13</vt:lpwstr>
  </property>
</Properties>
</file>