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eastAsia="方正小标宋简体"/>
          <w:sz w:val="44"/>
          <w:szCs w:val="44"/>
          <w:lang w:eastAsia="zh-CN"/>
        </w:rPr>
      </w:pPr>
      <w:r>
        <w:rPr>
          <w:rFonts w:hint="eastAsia" w:eastAsia="方正小标宋简体"/>
          <w:sz w:val="44"/>
          <w:szCs w:val="44"/>
          <w:lang w:val="en-US" w:eastAsia="zh-CN"/>
        </w:rPr>
        <w:t xml:space="preserve"> </w:t>
      </w:r>
      <w:bookmarkStart w:id="0" w:name="_GoBack"/>
      <w:bookmarkEnd w:id="0"/>
      <w:r>
        <w:rPr>
          <w:rFonts w:hint="eastAsia" w:eastAsia="方正小标宋简体"/>
          <w:sz w:val="44"/>
          <w:szCs w:val="44"/>
        </w:rPr>
        <w:t>乐至县</w:t>
      </w:r>
      <w:r>
        <w:rPr>
          <w:rFonts w:hint="eastAsia" w:eastAsia="方正小标宋简体"/>
          <w:sz w:val="44"/>
          <w:szCs w:val="44"/>
          <w:lang w:eastAsia="zh-CN"/>
        </w:rPr>
        <w:t>中天镇卫生院</w:t>
      </w:r>
    </w:p>
    <w:p>
      <w:pPr>
        <w:spacing w:line="580" w:lineRule="exact"/>
        <w:jc w:val="center"/>
        <w:rPr>
          <w:rFonts w:hint="eastAsia" w:eastAsia="方正小标宋简体"/>
          <w:sz w:val="44"/>
          <w:szCs w:val="44"/>
        </w:rPr>
      </w:pPr>
      <w:r>
        <w:rPr>
          <w:rFonts w:hint="eastAsia" w:eastAsia="方正小标宋简体"/>
          <w:sz w:val="44"/>
          <w:szCs w:val="44"/>
        </w:rPr>
        <w:t>20</w:t>
      </w:r>
      <w:r>
        <w:rPr>
          <w:rFonts w:eastAsia="方正小标宋简体"/>
          <w:sz w:val="44"/>
          <w:szCs w:val="44"/>
        </w:rPr>
        <w:t>2</w:t>
      </w:r>
      <w:r>
        <w:rPr>
          <w:rFonts w:hint="eastAsia" w:eastAsia="方正小标宋简体"/>
          <w:sz w:val="44"/>
          <w:szCs w:val="44"/>
          <w:lang w:val="en-US" w:eastAsia="zh-CN"/>
        </w:rPr>
        <w:t>3</w:t>
      </w:r>
      <w:r>
        <w:rPr>
          <w:rFonts w:hint="eastAsia" w:eastAsia="方正小标宋简体"/>
          <w:sz w:val="44"/>
          <w:szCs w:val="44"/>
        </w:rPr>
        <w:t>年</w:t>
      </w:r>
      <w:r>
        <w:rPr>
          <w:rFonts w:hint="eastAsia" w:eastAsia="方正小标宋简体"/>
          <w:sz w:val="44"/>
          <w:szCs w:val="44"/>
          <w:lang w:val="en-US" w:eastAsia="zh-CN"/>
        </w:rPr>
        <w:t>单位</w:t>
      </w:r>
      <w:r>
        <w:rPr>
          <w:rFonts w:hint="eastAsia" w:eastAsia="方正小标宋简体"/>
          <w:sz w:val="44"/>
          <w:szCs w:val="44"/>
        </w:rPr>
        <w:t>预算编制说明</w:t>
      </w:r>
    </w:p>
    <w:p>
      <w:pPr>
        <w:spacing w:line="640" w:lineRule="exact"/>
        <w:jc w:val="center"/>
        <w:rPr>
          <w:rFonts w:hint="eastAsia" w:ascii="方正小标宋简体" w:eastAsia="方正小标宋简体"/>
          <w:sz w:val="44"/>
          <w:szCs w:val="44"/>
        </w:rPr>
      </w:pPr>
    </w:p>
    <w:p>
      <w:pPr>
        <w:spacing w:line="580" w:lineRule="exact"/>
        <w:ind w:firstLine="640" w:firstLineChars="200"/>
        <w:rPr>
          <w:rFonts w:hint="eastAsia" w:eastAsia="方正黑体简体"/>
          <w:sz w:val="32"/>
          <w:szCs w:val="32"/>
          <w:lang w:val="en-US" w:eastAsia="zh-CN"/>
        </w:rPr>
      </w:pPr>
      <w:r>
        <w:rPr>
          <w:rFonts w:hint="eastAsia" w:eastAsia="方正黑体简体"/>
          <w:sz w:val="32"/>
          <w:szCs w:val="32"/>
          <w:lang w:val="en-US" w:eastAsia="zh-CN"/>
        </w:rPr>
        <w:t>一、单位概况</w:t>
      </w:r>
    </w:p>
    <w:p>
      <w:pPr>
        <w:spacing w:line="580" w:lineRule="exact"/>
        <w:ind w:firstLine="643" w:firstLineChars="200"/>
        <w:rPr>
          <w:rFonts w:hint="default" w:eastAsia="方正楷体简体"/>
          <w:b/>
          <w:sz w:val="32"/>
          <w:szCs w:val="32"/>
          <w:lang w:val="en-US" w:eastAsia="zh-CN"/>
        </w:rPr>
      </w:pPr>
      <w:r>
        <w:rPr>
          <w:rFonts w:hint="eastAsia" w:eastAsia="方正楷体简体"/>
          <w:b/>
          <w:sz w:val="32"/>
          <w:szCs w:val="32"/>
          <w:lang w:eastAsia="zh-CN"/>
        </w:rPr>
        <w:t>（</w:t>
      </w:r>
      <w:r>
        <w:rPr>
          <w:rFonts w:hint="eastAsia" w:eastAsia="方正楷体简体"/>
          <w:b/>
          <w:sz w:val="32"/>
          <w:szCs w:val="32"/>
          <w:lang w:val="en-US" w:eastAsia="zh-CN"/>
        </w:rPr>
        <w:t>一</w:t>
      </w:r>
      <w:r>
        <w:rPr>
          <w:rFonts w:hint="eastAsia" w:eastAsia="方正楷体简体"/>
          <w:b/>
          <w:sz w:val="32"/>
          <w:szCs w:val="32"/>
          <w:lang w:eastAsia="zh-CN"/>
        </w:rPr>
        <w:t>）</w:t>
      </w:r>
      <w:r>
        <w:rPr>
          <w:rFonts w:hint="eastAsia" w:eastAsia="方正楷体简体"/>
          <w:b/>
          <w:sz w:val="32"/>
          <w:szCs w:val="32"/>
          <w:lang w:val="en-US" w:eastAsia="zh-CN"/>
        </w:rPr>
        <w:t>机构设置及人员情况</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乐至县中天镇卫生院</w:t>
      </w:r>
      <w:r>
        <w:rPr>
          <w:rFonts w:hint="eastAsia" w:ascii="仿宋" w:hAnsi="仿宋" w:eastAsia="仿宋" w:cs="仿宋"/>
          <w:sz w:val="32"/>
          <w:szCs w:val="32"/>
        </w:rPr>
        <w:t>是财政</w:t>
      </w:r>
      <w:r>
        <w:rPr>
          <w:rFonts w:hint="eastAsia" w:ascii="仿宋" w:hAnsi="仿宋" w:eastAsia="仿宋" w:cs="仿宋"/>
          <w:sz w:val="32"/>
          <w:szCs w:val="32"/>
          <w:lang w:eastAsia="zh-CN"/>
        </w:rPr>
        <w:t>差</w:t>
      </w:r>
      <w:r>
        <w:rPr>
          <w:rFonts w:hint="eastAsia" w:ascii="仿宋" w:hAnsi="仿宋" w:eastAsia="仿宋" w:cs="仿宋"/>
          <w:sz w:val="32"/>
          <w:szCs w:val="32"/>
        </w:rPr>
        <w:t>额拨款的</w:t>
      </w:r>
      <w:r>
        <w:rPr>
          <w:rFonts w:hint="eastAsia" w:ascii="仿宋" w:hAnsi="仿宋" w:eastAsia="仿宋" w:cs="仿宋"/>
          <w:sz w:val="32"/>
          <w:szCs w:val="32"/>
          <w:lang w:eastAsia="zh-CN"/>
        </w:rPr>
        <w:t>事业</w:t>
      </w:r>
      <w:r>
        <w:rPr>
          <w:rFonts w:hint="eastAsia" w:ascii="仿宋" w:hAnsi="仿宋" w:eastAsia="仿宋" w:cs="仿宋"/>
          <w:sz w:val="32"/>
          <w:szCs w:val="32"/>
        </w:rPr>
        <w:t>单位。单位总编制人数</w:t>
      </w:r>
      <w:r>
        <w:rPr>
          <w:rFonts w:hint="eastAsia" w:ascii="仿宋" w:hAnsi="仿宋" w:eastAsia="仿宋" w:cs="仿宋"/>
          <w:sz w:val="32"/>
          <w:szCs w:val="32"/>
          <w:lang w:val="en-US" w:eastAsia="zh-CN"/>
        </w:rPr>
        <w:t>25</w:t>
      </w:r>
      <w:r>
        <w:rPr>
          <w:rFonts w:hint="eastAsia" w:ascii="仿宋" w:hAnsi="仿宋" w:eastAsia="仿宋" w:cs="仿宋"/>
          <w:sz w:val="32"/>
          <w:szCs w:val="32"/>
        </w:rPr>
        <w:t>人，其中：</w:t>
      </w:r>
      <w:r>
        <w:rPr>
          <w:rFonts w:hint="eastAsia" w:ascii="仿宋" w:hAnsi="仿宋" w:eastAsia="仿宋" w:cs="仿宋"/>
          <w:sz w:val="32"/>
          <w:szCs w:val="32"/>
          <w:lang w:val="en-US" w:eastAsia="zh-CN"/>
        </w:rPr>
        <w:t>事业技术岗</w:t>
      </w:r>
      <w:r>
        <w:rPr>
          <w:rFonts w:hint="eastAsia" w:ascii="仿宋" w:hAnsi="仿宋" w:eastAsia="仿宋" w:cs="仿宋"/>
          <w:sz w:val="32"/>
          <w:szCs w:val="32"/>
        </w:rPr>
        <w:t>编制</w:t>
      </w:r>
      <w:r>
        <w:rPr>
          <w:rFonts w:hint="eastAsia" w:ascii="仿宋" w:hAnsi="仿宋" w:eastAsia="仿宋" w:cs="仿宋"/>
          <w:sz w:val="32"/>
          <w:szCs w:val="32"/>
          <w:lang w:val="en-US" w:eastAsia="zh-CN"/>
        </w:rPr>
        <w:t>24</w:t>
      </w:r>
      <w:r>
        <w:rPr>
          <w:rFonts w:hint="eastAsia" w:ascii="仿宋" w:hAnsi="仿宋" w:eastAsia="仿宋" w:cs="仿宋"/>
          <w:sz w:val="32"/>
          <w:szCs w:val="32"/>
        </w:rPr>
        <w:t>人，事业管理岗编制</w:t>
      </w:r>
      <w:r>
        <w:rPr>
          <w:rFonts w:hint="eastAsia" w:ascii="仿宋" w:hAnsi="仿宋" w:eastAsia="仿宋" w:cs="仿宋"/>
          <w:sz w:val="32"/>
          <w:szCs w:val="32"/>
          <w:lang w:val="en-US" w:eastAsia="zh-CN"/>
        </w:rPr>
        <w:t>1</w:t>
      </w:r>
      <w:r>
        <w:rPr>
          <w:rFonts w:hint="eastAsia" w:ascii="仿宋" w:hAnsi="仿宋" w:eastAsia="仿宋" w:cs="仿宋"/>
          <w:sz w:val="32"/>
          <w:szCs w:val="32"/>
        </w:rPr>
        <w:t>人；实有在职</w:t>
      </w:r>
      <w:r>
        <w:rPr>
          <w:rFonts w:hint="eastAsia" w:ascii="仿宋" w:hAnsi="仿宋" w:eastAsia="仿宋" w:cs="仿宋"/>
          <w:sz w:val="32"/>
          <w:szCs w:val="32"/>
          <w:lang w:val="en-US" w:eastAsia="zh-CN"/>
        </w:rPr>
        <w:t>人员22人，其中：事业技术岗</w:t>
      </w:r>
      <w:r>
        <w:rPr>
          <w:rFonts w:hint="eastAsia" w:ascii="仿宋" w:hAnsi="仿宋" w:eastAsia="仿宋" w:cs="仿宋"/>
          <w:sz w:val="32"/>
          <w:szCs w:val="32"/>
        </w:rPr>
        <w:t>人员</w:t>
      </w:r>
      <w:r>
        <w:rPr>
          <w:rFonts w:hint="eastAsia" w:ascii="仿宋" w:hAnsi="仿宋" w:eastAsia="仿宋" w:cs="仿宋"/>
          <w:sz w:val="32"/>
          <w:szCs w:val="32"/>
          <w:lang w:val="en-US" w:eastAsia="zh-CN"/>
        </w:rPr>
        <w:t>21</w:t>
      </w:r>
      <w:r>
        <w:rPr>
          <w:rFonts w:hint="eastAsia" w:ascii="仿宋" w:hAnsi="仿宋" w:eastAsia="仿宋" w:cs="仿宋"/>
          <w:sz w:val="32"/>
          <w:szCs w:val="32"/>
        </w:rPr>
        <w:t>人、行政工勤编制</w:t>
      </w:r>
      <w:r>
        <w:rPr>
          <w:rFonts w:hint="eastAsia" w:ascii="仿宋" w:hAnsi="仿宋" w:eastAsia="仿宋" w:cs="仿宋"/>
          <w:sz w:val="32"/>
          <w:szCs w:val="32"/>
          <w:lang w:val="en-US" w:eastAsia="zh-CN"/>
        </w:rPr>
        <w:t>0</w:t>
      </w:r>
      <w:r>
        <w:rPr>
          <w:rFonts w:hint="eastAsia" w:ascii="仿宋" w:hAnsi="仿宋" w:eastAsia="仿宋" w:cs="仿宋"/>
          <w:sz w:val="32"/>
          <w:szCs w:val="32"/>
        </w:rPr>
        <w:t>人，事业管理岗人员</w:t>
      </w:r>
      <w:r>
        <w:rPr>
          <w:rFonts w:hint="eastAsia" w:ascii="仿宋" w:hAnsi="仿宋" w:eastAsia="仿宋" w:cs="仿宋"/>
          <w:sz w:val="32"/>
          <w:szCs w:val="32"/>
          <w:lang w:val="en-US" w:eastAsia="zh-CN"/>
        </w:rPr>
        <w:t>1</w:t>
      </w:r>
      <w:r>
        <w:rPr>
          <w:rFonts w:hint="eastAsia" w:ascii="仿宋" w:hAnsi="仿宋" w:eastAsia="仿宋" w:cs="仿宋"/>
          <w:sz w:val="32"/>
          <w:szCs w:val="32"/>
        </w:rPr>
        <w:t>人；离退休人员</w:t>
      </w:r>
      <w:r>
        <w:rPr>
          <w:rFonts w:hint="eastAsia" w:ascii="仿宋" w:hAnsi="仿宋" w:eastAsia="仿宋" w:cs="仿宋"/>
          <w:sz w:val="32"/>
          <w:szCs w:val="32"/>
          <w:lang w:val="en-US" w:eastAsia="zh-CN"/>
        </w:rPr>
        <w:t>2</w:t>
      </w:r>
      <w:r>
        <w:rPr>
          <w:rFonts w:hint="eastAsia" w:ascii="仿宋" w:hAnsi="仿宋" w:eastAsia="仿宋" w:cs="仿宋"/>
          <w:sz w:val="32"/>
          <w:szCs w:val="32"/>
        </w:rPr>
        <w:t>人。</w:t>
      </w:r>
    </w:p>
    <w:p>
      <w:pPr>
        <w:spacing w:line="580" w:lineRule="exact"/>
        <w:ind w:firstLine="643" w:firstLineChars="200"/>
        <w:rPr>
          <w:rFonts w:eastAsia="方正楷体简体"/>
          <w:b/>
          <w:sz w:val="32"/>
          <w:szCs w:val="32"/>
        </w:rPr>
      </w:pPr>
      <w:r>
        <w:rPr>
          <w:rFonts w:eastAsia="方正楷体简体"/>
          <w:b/>
          <w:sz w:val="32"/>
          <w:szCs w:val="32"/>
        </w:rPr>
        <w:t>（</w:t>
      </w:r>
      <w:r>
        <w:rPr>
          <w:rFonts w:hint="eastAsia" w:eastAsia="方正楷体简体"/>
          <w:b/>
          <w:sz w:val="32"/>
          <w:szCs w:val="32"/>
          <w:lang w:val="en-US" w:eastAsia="zh-CN"/>
        </w:rPr>
        <w:t>二</w:t>
      </w:r>
      <w:r>
        <w:rPr>
          <w:rFonts w:eastAsia="方正楷体简体"/>
          <w:b/>
          <w:sz w:val="32"/>
          <w:szCs w:val="32"/>
        </w:rPr>
        <w:t>）职能简介</w:t>
      </w:r>
    </w:p>
    <w:p>
      <w:pPr>
        <w:spacing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乐至县中天镇卫生院主要负责中天镇医药卫生体制改革以及落实全镇疾病预防控制规划、免疫规划以及严重危害人民健康的艾滋病等重大传染病、寄生虫病、地方病等公共卫生问题的干预措施等一系列卫生及计划生育政策要求，积极做好城镇居民医疗的服务、指导、康复等工作；普及疾病预防和卫生保健知识，指导群众改善居住、饮食、饮水和环境卫生条件，引导和帮助居民建立良好卫生习惯。</w:t>
      </w:r>
    </w:p>
    <w:p>
      <w:pPr>
        <w:spacing w:line="580" w:lineRule="exact"/>
        <w:ind w:firstLine="640" w:firstLineChars="200"/>
        <w:rPr>
          <w:rFonts w:hint="eastAsia" w:eastAsia="方正黑体简体"/>
          <w:sz w:val="32"/>
          <w:szCs w:val="32"/>
          <w:lang w:val="en-US" w:eastAsia="zh-CN"/>
        </w:rPr>
      </w:pPr>
      <w:r>
        <w:rPr>
          <w:rFonts w:hint="eastAsia" w:eastAsia="方正黑体简体"/>
          <w:sz w:val="32"/>
          <w:szCs w:val="32"/>
          <w:lang w:val="en-US" w:eastAsia="zh-CN"/>
        </w:rPr>
        <w:t>二、2023年重点工作</w:t>
      </w:r>
    </w:p>
    <w:p>
      <w:pPr>
        <w:spacing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1.国家基本公共卫生服务项目工作。单位主要负责人亲自安排、亲自部署，以家庭医生签约团队为抓手、以基本公卫为平台、以基本医疗基础统一推进。本项工作今年继续实施当量法考核，按照“保基本、强基层、建机制”的总体要求，坚持“质量兼顾、多劳多得、奖优罚劣”的原则，将基本公共卫生服务项目补助资金与任务量和评价结果挂钩，完善基本公共卫生服务项目。</w:t>
      </w:r>
    </w:p>
    <w:p>
      <w:pPr>
        <w:spacing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2.临床医疗工作。严格质量关，重视医疗安全和业务技术水平的提升，重视人才培养，狠抓医疗质量，发现问题及时通报和整改，保证医疗安全。在努力提高业务同时，进一步加强了医联体和双向转诊工作，和上级医院密切协作、上下联动，把家庭医生签约、公共卫生服务融入一体，为辖区百姓的健康保驾护航。</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3.新冠肺炎疫情工作。单位疫情防控积极做好医务人员新冠肺炎的知识学习和相关培训，加强应急物质储备。严格落实发热稍点诊室，预检分诊制度。持续做好新冠肺炎疫情防控工作常态化开展。</w:t>
      </w:r>
    </w:p>
    <w:p>
      <w:pPr>
        <w:spacing w:line="580" w:lineRule="exact"/>
        <w:ind w:firstLine="640" w:firstLineChars="200"/>
        <w:rPr>
          <w:rFonts w:hint="default" w:eastAsia="方正黑体简体"/>
          <w:sz w:val="32"/>
          <w:szCs w:val="32"/>
          <w:lang w:val="en-US" w:eastAsia="zh-CN"/>
        </w:rPr>
      </w:pPr>
      <w:r>
        <w:rPr>
          <w:rFonts w:hint="eastAsia" w:eastAsia="方正黑体简体"/>
          <w:sz w:val="32"/>
          <w:szCs w:val="32"/>
          <w:lang w:val="en-US" w:eastAsia="zh-CN"/>
        </w:rPr>
        <w:t>三、收支预算情况说明</w:t>
      </w:r>
    </w:p>
    <w:p>
      <w:pPr>
        <w:spacing w:line="580" w:lineRule="exact"/>
        <w:ind w:firstLine="643" w:firstLineChars="200"/>
        <w:rPr>
          <w:rFonts w:hint="eastAsia" w:eastAsia="方正楷体简体"/>
          <w:b/>
          <w:sz w:val="32"/>
          <w:szCs w:val="32"/>
        </w:rPr>
      </w:pPr>
      <w:r>
        <w:rPr>
          <w:rFonts w:hint="eastAsia" w:eastAsia="方正楷体简体"/>
          <w:b/>
          <w:sz w:val="32"/>
          <w:szCs w:val="32"/>
        </w:rPr>
        <w:t>（一）收入预算情况</w:t>
      </w:r>
    </w:p>
    <w:p>
      <w:pPr>
        <w:spacing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乐至县中天镇卫生院</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年收入预算</w:t>
      </w:r>
      <w:r>
        <w:rPr>
          <w:rFonts w:hint="eastAsia" w:ascii="仿宋" w:hAnsi="仿宋" w:eastAsia="仿宋" w:cs="仿宋"/>
          <w:sz w:val="32"/>
          <w:szCs w:val="32"/>
          <w:lang w:val="en-US" w:eastAsia="zh-CN"/>
        </w:rPr>
        <w:t>619.83</w:t>
      </w:r>
      <w:r>
        <w:rPr>
          <w:rFonts w:hint="eastAsia" w:ascii="仿宋" w:hAnsi="仿宋" w:eastAsia="仿宋" w:cs="仿宋"/>
          <w:sz w:val="32"/>
          <w:szCs w:val="32"/>
          <w:lang w:eastAsia="zh-CN"/>
        </w:rPr>
        <w:t>万元，较2022年</w:t>
      </w:r>
      <w:r>
        <w:rPr>
          <w:rFonts w:hint="eastAsia" w:ascii="仿宋" w:hAnsi="仿宋" w:eastAsia="仿宋" w:cs="仿宋"/>
          <w:sz w:val="32"/>
          <w:szCs w:val="32"/>
          <w:lang w:val="en-US" w:eastAsia="zh-CN"/>
        </w:rPr>
        <w:t>单位</w:t>
      </w:r>
      <w:r>
        <w:rPr>
          <w:rFonts w:hint="eastAsia" w:ascii="仿宋" w:hAnsi="仿宋" w:eastAsia="仿宋" w:cs="仿宋"/>
          <w:sz w:val="32"/>
          <w:szCs w:val="32"/>
          <w:lang w:eastAsia="zh-CN"/>
        </w:rPr>
        <w:t>预算收入总数</w:t>
      </w:r>
      <w:r>
        <w:rPr>
          <w:rFonts w:hint="eastAsia" w:ascii="仿宋" w:hAnsi="仿宋" w:eastAsia="仿宋" w:cs="仿宋"/>
          <w:sz w:val="32"/>
          <w:szCs w:val="32"/>
          <w:lang w:val="en-US" w:eastAsia="zh-CN"/>
        </w:rPr>
        <w:t>582.73</w:t>
      </w:r>
      <w:r>
        <w:rPr>
          <w:rFonts w:hint="eastAsia" w:ascii="仿宋" w:hAnsi="仿宋" w:eastAsia="仿宋" w:cs="仿宋"/>
          <w:sz w:val="32"/>
          <w:szCs w:val="32"/>
          <w:lang w:eastAsia="zh-CN"/>
        </w:rPr>
        <w:t>万元，增加</w:t>
      </w:r>
      <w:r>
        <w:rPr>
          <w:rFonts w:hint="eastAsia" w:ascii="仿宋" w:hAnsi="仿宋" w:eastAsia="仿宋" w:cs="仿宋"/>
          <w:sz w:val="32"/>
          <w:szCs w:val="32"/>
          <w:lang w:val="en-US" w:eastAsia="zh-CN"/>
        </w:rPr>
        <w:t>37.1</w:t>
      </w:r>
      <w:r>
        <w:rPr>
          <w:rFonts w:hint="eastAsia" w:ascii="仿宋" w:hAnsi="仿宋" w:eastAsia="仿宋" w:cs="仿宋"/>
          <w:sz w:val="32"/>
          <w:szCs w:val="32"/>
          <w:lang w:eastAsia="zh-CN"/>
        </w:rPr>
        <w:t>万元，增长</w:t>
      </w:r>
      <w:r>
        <w:rPr>
          <w:rFonts w:hint="eastAsia" w:ascii="仿宋" w:hAnsi="仿宋" w:eastAsia="仿宋" w:cs="仿宋"/>
          <w:sz w:val="32"/>
          <w:szCs w:val="32"/>
          <w:lang w:val="en-US" w:eastAsia="zh-CN"/>
        </w:rPr>
        <w:t>6.37</w:t>
      </w:r>
      <w:r>
        <w:rPr>
          <w:rFonts w:hint="eastAsia" w:ascii="仿宋" w:hAnsi="仿宋" w:eastAsia="仿宋" w:cs="仿宋"/>
          <w:sz w:val="32"/>
          <w:szCs w:val="32"/>
          <w:lang w:eastAsia="zh-CN"/>
        </w:rPr>
        <w:t>%。其中：一般公共预算拨款收入</w:t>
      </w:r>
      <w:r>
        <w:rPr>
          <w:rFonts w:hint="eastAsia" w:ascii="仿宋" w:hAnsi="仿宋" w:eastAsia="仿宋" w:cs="仿宋"/>
          <w:sz w:val="32"/>
          <w:szCs w:val="32"/>
          <w:lang w:val="en-US" w:eastAsia="zh-CN"/>
        </w:rPr>
        <w:t>174.32</w:t>
      </w:r>
      <w:r>
        <w:rPr>
          <w:rFonts w:hint="eastAsia" w:ascii="仿宋" w:hAnsi="仿宋" w:eastAsia="仿宋" w:cs="仿宋"/>
          <w:sz w:val="32"/>
          <w:szCs w:val="32"/>
          <w:lang w:eastAsia="zh-CN"/>
        </w:rPr>
        <w:t>万元，占</w:t>
      </w:r>
      <w:r>
        <w:rPr>
          <w:rFonts w:hint="eastAsia" w:ascii="仿宋" w:hAnsi="仿宋" w:eastAsia="仿宋" w:cs="仿宋"/>
          <w:sz w:val="32"/>
          <w:szCs w:val="32"/>
          <w:lang w:val="en-US" w:eastAsia="zh-CN"/>
        </w:rPr>
        <w:t>28.12</w:t>
      </w:r>
      <w:r>
        <w:rPr>
          <w:rFonts w:hint="eastAsia" w:ascii="仿宋" w:hAnsi="仿宋" w:eastAsia="仿宋" w:cs="仿宋"/>
          <w:sz w:val="32"/>
          <w:szCs w:val="32"/>
          <w:lang w:eastAsia="zh-CN"/>
        </w:rPr>
        <w:t>%，事业收入</w:t>
      </w:r>
      <w:r>
        <w:rPr>
          <w:rFonts w:hint="eastAsia" w:ascii="仿宋" w:hAnsi="仿宋" w:eastAsia="仿宋" w:cs="仿宋"/>
          <w:sz w:val="32"/>
          <w:szCs w:val="32"/>
          <w:lang w:val="en-US" w:eastAsia="zh-CN"/>
        </w:rPr>
        <w:t>445.51</w:t>
      </w:r>
      <w:r>
        <w:rPr>
          <w:rFonts w:hint="eastAsia" w:ascii="仿宋" w:hAnsi="仿宋" w:eastAsia="仿宋" w:cs="仿宋"/>
          <w:sz w:val="32"/>
          <w:szCs w:val="32"/>
          <w:lang w:eastAsia="zh-CN"/>
        </w:rPr>
        <w:t>万元，占</w:t>
      </w:r>
      <w:r>
        <w:rPr>
          <w:rFonts w:hint="eastAsia" w:ascii="仿宋" w:hAnsi="仿宋" w:eastAsia="仿宋" w:cs="仿宋"/>
          <w:sz w:val="32"/>
          <w:szCs w:val="32"/>
          <w:lang w:val="en-US" w:eastAsia="zh-CN"/>
        </w:rPr>
        <w:t>71.88</w:t>
      </w:r>
      <w:r>
        <w:rPr>
          <w:rFonts w:hint="eastAsia" w:ascii="仿宋" w:hAnsi="仿宋" w:eastAsia="仿宋" w:cs="仿宋"/>
          <w:sz w:val="32"/>
          <w:szCs w:val="32"/>
          <w:lang w:eastAsia="zh-CN"/>
        </w:rPr>
        <w:t>%。</w:t>
      </w:r>
    </w:p>
    <w:p>
      <w:pPr>
        <w:spacing w:line="580" w:lineRule="exact"/>
        <w:ind w:firstLine="643" w:firstLineChars="200"/>
        <w:rPr>
          <w:rFonts w:hint="eastAsia" w:eastAsia="方正楷体简体"/>
          <w:b/>
          <w:sz w:val="32"/>
          <w:szCs w:val="32"/>
        </w:rPr>
      </w:pPr>
      <w:r>
        <w:rPr>
          <w:rFonts w:hint="eastAsia" w:eastAsia="方正楷体简体"/>
          <w:b/>
          <w:sz w:val="32"/>
          <w:szCs w:val="32"/>
        </w:rPr>
        <w:t>（二）支出预算情况</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乐至县中天镇卫生院2023年支出预算619.83万元，较2022年单位预算支出总数582.73万元，增长6.37%。（主要原因是人员经费支出增加）其中：基本支出530.32万元，占85.56%；项目支出89.51万元，占14.44%。</w:t>
      </w:r>
    </w:p>
    <w:p>
      <w:pPr>
        <w:spacing w:line="580" w:lineRule="exact"/>
        <w:ind w:firstLine="643" w:firstLineChars="200"/>
        <w:rPr>
          <w:rFonts w:hint="eastAsia" w:eastAsia="方正楷体简体"/>
          <w:b/>
          <w:sz w:val="32"/>
          <w:szCs w:val="32"/>
        </w:rPr>
      </w:pPr>
      <w:r>
        <w:rPr>
          <w:rFonts w:hint="eastAsia" w:eastAsia="方正楷体简体"/>
          <w:b/>
          <w:sz w:val="32"/>
          <w:szCs w:val="32"/>
          <w:lang w:val="en-US" w:eastAsia="zh-CN"/>
        </w:rPr>
        <w:t>（三）</w:t>
      </w:r>
      <w:r>
        <w:rPr>
          <w:rFonts w:hint="eastAsia" w:eastAsia="方正楷体简体"/>
          <w:b/>
          <w:sz w:val="32"/>
          <w:szCs w:val="32"/>
        </w:rPr>
        <w:t>专项资金说明</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2023年单位预算专项支出89.51万元（含上级转移支付资金69.30万元）。其中：</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1.基本公共卫生项目79.45万元，主要用于全镇人民基本公共卫生服务。</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2.基层基药和村卫生室基药补助10.06万元，主要用于中天镇卫生院药品实行零差率补助以及村卫生室药品实行零差率补助。</w:t>
      </w:r>
    </w:p>
    <w:p>
      <w:pPr>
        <w:spacing w:line="580" w:lineRule="exact"/>
        <w:ind w:firstLine="643" w:firstLineChars="200"/>
        <w:rPr>
          <w:rFonts w:hint="eastAsia" w:eastAsia="方正楷体简体"/>
          <w:b/>
          <w:sz w:val="32"/>
          <w:szCs w:val="32"/>
          <w:lang w:val="en-US" w:eastAsia="zh-CN"/>
        </w:rPr>
      </w:pPr>
      <w:r>
        <w:rPr>
          <w:rFonts w:hint="eastAsia" w:eastAsia="方正楷体简体"/>
          <w:b/>
          <w:sz w:val="32"/>
          <w:szCs w:val="32"/>
          <w:lang w:val="en-US" w:eastAsia="zh-CN"/>
        </w:rPr>
        <w:t>（四）“三公”经费财政拨款预算安排情况说明</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乐至县中天镇卫生院2023年“三公”经费财政拨款预算数0万元，其中：因公出国（境）经费0万元，公务接待费0万元，公务用车购置及运行维护费0万元。</w:t>
      </w:r>
    </w:p>
    <w:p>
      <w:pPr>
        <w:spacing w:line="580" w:lineRule="exact"/>
        <w:ind w:firstLine="643" w:firstLineChars="200"/>
        <w:rPr>
          <w:rFonts w:hint="eastAsia" w:eastAsia="方正楷体简体"/>
          <w:b/>
          <w:sz w:val="32"/>
          <w:szCs w:val="32"/>
        </w:rPr>
      </w:pPr>
      <w:r>
        <w:rPr>
          <w:rFonts w:hint="eastAsia" w:eastAsia="方正楷体简体"/>
          <w:b/>
          <w:sz w:val="32"/>
          <w:szCs w:val="32"/>
          <w:lang w:val="en-US" w:eastAsia="zh-CN"/>
        </w:rPr>
        <w:t>1.</w:t>
      </w:r>
      <w:r>
        <w:rPr>
          <w:rFonts w:eastAsia="方正楷体简体"/>
          <w:b/>
          <w:sz w:val="32"/>
          <w:szCs w:val="32"/>
        </w:rPr>
        <w:t>因公出国（境）经费较20</w:t>
      </w:r>
      <w:r>
        <w:rPr>
          <w:rFonts w:hint="eastAsia" w:eastAsia="方正楷体简体"/>
          <w:b/>
          <w:sz w:val="32"/>
          <w:szCs w:val="32"/>
        </w:rPr>
        <w:t>2</w:t>
      </w:r>
      <w:r>
        <w:rPr>
          <w:rFonts w:hint="eastAsia" w:eastAsia="方正楷体简体"/>
          <w:b/>
          <w:sz w:val="32"/>
          <w:szCs w:val="32"/>
          <w:lang w:val="en-US" w:eastAsia="zh-CN"/>
        </w:rPr>
        <w:t>2</w:t>
      </w:r>
      <w:r>
        <w:rPr>
          <w:rFonts w:eastAsia="方正楷体简体"/>
          <w:b/>
          <w:sz w:val="32"/>
          <w:szCs w:val="32"/>
        </w:rPr>
        <w:t>年预算持平。</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本年度拟安排出国（境）0人次</w:t>
      </w:r>
    </w:p>
    <w:p>
      <w:pPr>
        <w:spacing w:line="580" w:lineRule="exact"/>
        <w:ind w:firstLine="643" w:firstLineChars="200"/>
        <w:rPr>
          <w:rFonts w:hint="eastAsia" w:eastAsia="方正楷体简体"/>
          <w:b/>
          <w:sz w:val="32"/>
          <w:szCs w:val="32"/>
        </w:rPr>
      </w:pPr>
      <w:r>
        <w:rPr>
          <w:rFonts w:hint="eastAsia" w:eastAsia="方正楷体简体"/>
          <w:b/>
          <w:sz w:val="32"/>
          <w:szCs w:val="32"/>
          <w:lang w:val="en-US" w:eastAsia="zh-CN"/>
        </w:rPr>
        <w:t>2.</w:t>
      </w:r>
      <w:r>
        <w:rPr>
          <w:rFonts w:eastAsia="方正楷体简体"/>
          <w:b/>
          <w:sz w:val="32"/>
          <w:szCs w:val="32"/>
        </w:rPr>
        <w:t>公务接待费较20</w:t>
      </w:r>
      <w:r>
        <w:rPr>
          <w:rFonts w:hint="eastAsia" w:eastAsia="方正楷体简体"/>
          <w:b/>
          <w:sz w:val="32"/>
          <w:szCs w:val="32"/>
        </w:rPr>
        <w:t>2</w:t>
      </w:r>
      <w:r>
        <w:rPr>
          <w:rFonts w:hint="eastAsia" w:eastAsia="方正楷体简体"/>
          <w:b/>
          <w:sz w:val="32"/>
          <w:szCs w:val="32"/>
          <w:lang w:val="en-US" w:eastAsia="zh-CN"/>
        </w:rPr>
        <w:t>2</w:t>
      </w:r>
      <w:r>
        <w:rPr>
          <w:rFonts w:eastAsia="方正楷体简体"/>
          <w:b/>
          <w:sz w:val="32"/>
          <w:szCs w:val="32"/>
        </w:rPr>
        <w:t>年预算下降</w:t>
      </w:r>
      <w:r>
        <w:rPr>
          <w:rFonts w:hint="eastAsia" w:eastAsia="方正楷体简体"/>
          <w:b/>
          <w:sz w:val="32"/>
          <w:szCs w:val="32"/>
          <w:lang w:val="en-US" w:eastAsia="zh-CN"/>
        </w:rPr>
        <w:t>100</w:t>
      </w:r>
      <w:r>
        <w:rPr>
          <w:rFonts w:eastAsia="方正楷体简体"/>
          <w:b/>
          <w:sz w:val="32"/>
          <w:szCs w:val="32"/>
        </w:rPr>
        <w:t>%。</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2023年公务接待费计划用于上级单位来院开展检查工作接待费用等。 </w:t>
      </w:r>
    </w:p>
    <w:p>
      <w:pPr>
        <w:spacing w:line="580" w:lineRule="exact"/>
        <w:ind w:firstLine="643" w:firstLineChars="200"/>
        <w:rPr>
          <w:rFonts w:eastAsia="方正楷体简体"/>
          <w:b/>
          <w:sz w:val="32"/>
          <w:szCs w:val="32"/>
        </w:rPr>
      </w:pPr>
      <w:r>
        <w:rPr>
          <w:rFonts w:hint="eastAsia" w:eastAsia="方正楷体简体"/>
          <w:b/>
          <w:sz w:val="32"/>
          <w:szCs w:val="32"/>
          <w:lang w:val="en-US" w:eastAsia="zh-CN"/>
        </w:rPr>
        <w:t>3.</w:t>
      </w:r>
      <w:r>
        <w:rPr>
          <w:rFonts w:hint="eastAsia" w:eastAsia="方正楷体简体"/>
          <w:b/>
          <w:sz w:val="32"/>
          <w:szCs w:val="32"/>
        </w:rPr>
        <w:t>公务用车购置及运行维护费较202</w:t>
      </w:r>
      <w:r>
        <w:rPr>
          <w:rFonts w:hint="eastAsia" w:eastAsia="方正楷体简体"/>
          <w:b/>
          <w:sz w:val="32"/>
          <w:szCs w:val="32"/>
          <w:lang w:val="en-US" w:eastAsia="zh-CN"/>
        </w:rPr>
        <w:t>2</w:t>
      </w:r>
      <w:r>
        <w:rPr>
          <w:rFonts w:hint="eastAsia" w:eastAsia="方正楷体简体"/>
          <w:b/>
          <w:sz w:val="32"/>
          <w:szCs w:val="32"/>
        </w:rPr>
        <w:t>年预算</w:t>
      </w:r>
      <w:r>
        <w:rPr>
          <w:rFonts w:hint="eastAsia" w:eastAsia="方正楷体简体"/>
          <w:b/>
          <w:sz w:val="32"/>
          <w:szCs w:val="32"/>
          <w:lang w:eastAsia="zh-CN"/>
        </w:rPr>
        <w:t>持平</w:t>
      </w:r>
      <w:r>
        <w:rPr>
          <w:rFonts w:hint="eastAsia" w:eastAsia="方正楷体简体"/>
          <w:b/>
          <w:sz w:val="32"/>
          <w:szCs w:val="32"/>
        </w:rPr>
        <w:t>。</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单位现有公务用车0辆，其中：轿车0辆，越野车0辆，多功能乘用车0辆。</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公务用车购置费0万元，较2022年预算持平。</w:t>
      </w:r>
    </w:p>
    <w:p>
      <w:pPr>
        <w:spacing w:line="58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公务用车运行维护费0万元，较2022年预算持平。</w:t>
      </w:r>
    </w:p>
    <w:p>
      <w:pPr>
        <w:spacing w:line="580" w:lineRule="exact"/>
        <w:ind w:firstLine="640" w:firstLineChars="200"/>
        <w:rPr>
          <w:rFonts w:hint="eastAsia" w:ascii="仿宋" w:hAnsi="仿宋" w:eastAsia="仿宋" w:cs="仿宋"/>
          <w:sz w:val="32"/>
          <w:szCs w:val="32"/>
          <w:lang w:val="en-US" w:eastAsia="zh-CN"/>
        </w:rPr>
      </w:pPr>
    </w:p>
    <w:sectPr>
      <w:headerReference r:id="rId3" w:type="default"/>
      <w:pgSz w:w="11906" w:h="16838"/>
      <w:pgMar w:top="1701" w:right="1247" w:bottom="1418" w:left="175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embedRegular r:id="rId1" w:fontKey="{66BBEB46-C222-41DB-944C-E4D0CFCF17E6}"/>
  </w:font>
  <w:font w:name="方正黑体简体">
    <w:altName w:val="微软雅黑"/>
    <w:panose1 w:val="02010601030101010101"/>
    <w:charset w:val="86"/>
    <w:family w:val="auto"/>
    <w:pitch w:val="default"/>
    <w:sig w:usb0="00000000" w:usb1="00000000" w:usb2="00000000" w:usb3="00000000" w:csb0="00040000" w:csb1="00000000"/>
    <w:embedRegular r:id="rId2" w:fontKey="{AF6EB58C-2F00-4D09-B566-E1DA1B850208}"/>
  </w:font>
  <w:font w:name="方正楷体简体">
    <w:altName w:val="宋体"/>
    <w:panose1 w:val="02010601030101010101"/>
    <w:charset w:val="86"/>
    <w:family w:val="auto"/>
    <w:pitch w:val="default"/>
    <w:sig w:usb0="00000000" w:usb1="00000000" w:usb2="00000000" w:usb3="00000000" w:csb0="00040000" w:csb1="00000000"/>
    <w:embedRegular r:id="rId3" w:fontKey="{B0C07F68-14E7-4161-AF42-ACDFB718D904}"/>
  </w:font>
  <w:font w:name="仿宋">
    <w:panose1 w:val="02010609060101010101"/>
    <w:charset w:val="86"/>
    <w:family w:val="auto"/>
    <w:pitch w:val="default"/>
    <w:sig w:usb0="800002BF" w:usb1="38CF7CFA" w:usb2="00000016" w:usb3="00000000" w:csb0="00040001" w:csb1="00000000"/>
    <w:embedRegular r:id="rId4" w:fontKey="{6B754785-AB84-48CE-8DEB-8EBF8AB8205D}"/>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kNTAzNzIwYWRmNzdhYjZjYzgzNDg3ODVkOTY5YWQifQ=="/>
  </w:docVars>
  <w:rsids>
    <w:rsidRoot w:val="00000000"/>
    <w:rsid w:val="644D2A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1286</Words>
  <Characters>1429</Characters>
  <Lines>0</Lines>
  <Paragraphs>0</Paragraphs>
  <TotalTime>2</TotalTime>
  <ScaleCrop>false</ScaleCrop>
  <LinksUpToDate>false</LinksUpToDate>
  <CharactersWithSpaces>1430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2022-12-07T09:28:00Z</dcterms:created>
  <dc:creator>Brave</dc:creator>
  <cp:lastModifiedBy>Sunshine1414413390</cp:lastModifiedBy>
  <cp:lastPrinted>2022-12-07T10:45:00Z</cp:lastPrinted>
  <dcterms:modified xsi:type="dcterms:W3CDTF">2023-03-31T04:01:15Z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8D2AF2F51FF0466FBDA52D7046864B8A</vt:lpwstr>
  </property>
</Properties>
</file>