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80"/>
        </w:tabs>
        <w:spacing w:line="580" w:lineRule="exact"/>
        <w:rPr>
          <w:rFonts w:hint="eastAsia" w:eastAsia="方正黑体简体"/>
          <w:sz w:val="32"/>
          <w:szCs w:val="32"/>
        </w:rPr>
      </w:pPr>
      <w:r>
        <w:rPr>
          <w:rFonts w:hint="eastAsia" w:eastAsia="方正黑体简体"/>
          <w:sz w:val="32"/>
          <w:szCs w:val="32"/>
        </w:rPr>
        <w:t>附件2</w:t>
      </w:r>
    </w:p>
    <w:p>
      <w:pPr>
        <w:spacing w:line="580" w:lineRule="exact"/>
        <w:ind w:firstLine="640" w:firstLineChars="200"/>
        <w:rPr>
          <w:rFonts w:hint="eastAsia" w:eastAsia="方正仿宋简体"/>
          <w:sz w:val="32"/>
          <w:szCs w:val="32"/>
        </w:rPr>
      </w:pPr>
    </w:p>
    <w:p>
      <w:pPr>
        <w:spacing w:line="580" w:lineRule="exact"/>
        <w:jc w:val="center"/>
        <w:rPr>
          <w:rFonts w:hint="eastAsia" w:eastAsia="方正黑体简体"/>
          <w:sz w:val="48"/>
          <w:szCs w:val="48"/>
          <w:lang w:val="en-US" w:eastAsia="zh-CN"/>
        </w:rPr>
      </w:pPr>
      <w:r>
        <w:rPr>
          <w:rFonts w:hint="eastAsia" w:eastAsia="方正黑体简体"/>
          <w:sz w:val="48"/>
          <w:szCs w:val="48"/>
        </w:rPr>
        <w:t>乐至县</w:t>
      </w:r>
      <w:r>
        <w:rPr>
          <w:rFonts w:hint="eastAsia" w:eastAsia="方正黑体简体"/>
          <w:sz w:val="48"/>
          <w:szCs w:val="48"/>
          <w:lang w:val="en-US" w:eastAsia="zh-CN"/>
        </w:rPr>
        <w:t>文化广播电视和旅游局</w:t>
      </w:r>
    </w:p>
    <w:p>
      <w:pPr>
        <w:spacing w:line="580" w:lineRule="exact"/>
        <w:jc w:val="center"/>
        <w:rPr>
          <w:rFonts w:hint="eastAsia" w:eastAsia="方正黑体简体"/>
          <w:sz w:val="48"/>
          <w:szCs w:val="48"/>
        </w:rPr>
      </w:pPr>
      <w:r>
        <w:rPr>
          <w:rFonts w:hint="eastAsia" w:eastAsia="方正黑体简体"/>
          <w:sz w:val="48"/>
          <w:szCs w:val="48"/>
        </w:rPr>
        <w:t>202</w:t>
      </w:r>
      <w:r>
        <w:rPr>
          <w:rFonts w:hint="eastAsia" w:eastAsia="方正黑体简体"/>
          <w:sz w:val="48"/>
          <w:szCs w:val="48"/>
          <w:lang w:val="en-US" w:eastAsia="zh-CN"/>
        </w:rPr>
        <w:t>3</w:t>
      </w:r>
      <w:r>
        <w:rPr>
          <w:rFonts w:hint="eastAsia" w:eastAsia="方正黑体简体"/>
          <w:sz w:val="48"/>
          <w:szCs w:val="48"/>
        </w:rPr>
        <w:t>年单位预算编制说明</w:t>
      </w:r>
    </w:p>
    <w:p>
      <w:pPr>
        <w:spacing w:line="580" w:lineRule="exact"/>
        <w:ind w:firstLine="640" w:firstLineChars="200"/>
        <w:rPr>
          <w:rFonts w:hint="eastAsia" w:eastAsia="方正黑体简体"/>
          <w:sz w:val="32"/>
          <w:szCs w:val="32"/>
        </w:rPr>
      </w:pPr>
    </w:p>
    <w:p>
      <w:pPr>
        <w:spacing w:line="580" w:lineRule="exact"/>
        <w:ind w:firstLine="640" w:firstLineChars="200"/>
        <w:rPr>
          <w:rFonts w:hint="eastAsia" w:eastAsia="方正黑体简体"/>
          <w:sz w:val="32"/>
          <w:szCs w:val="32"/>
          <w:lang w:val="en-US" w:eastAsia="zh-CN"/>
        </w:rPr>
      </w:pPr>
      <w:r>
        <w:rPr>
          <w:rFonts w:eastAsia="方正黑体简体"/>
          <w:sz w:val="32"/>
          <w:szCs w:val="32"/>
        </w:rPr>
        <w:t>一、基本职能及主要工作</w:t>
      </w:r>
    </w:p>
    <w:p>
      <w:pPr>
        <w:spacing w:line="580" w:lineRule="exact"/>
        <w:ind w:firstLine="643" w:firstLineChars="200"/>
        <w:rPr>
          <w:rFonts w:eastAsia="方正楷体简体"/>
          <w:b/>
          <w:sz w:val="32"/>
          <w:szCs w:val="32"/>
        </w:rPr>
      </w:pPr>
      <w:r>
        <w:rPr>
          <w:rFonts w:eastAsia="方正楷体简体"/>
          <w:b/>
          <w:sz w:val="32"/>
          <w:szCs w:val="32"/>
        </w:rPr>
        <w:t>（一）职能简介</w:t>
      </w:r>
    </w:p>
    <w:p>
      <w:pPr>
        <w:autoSpaceDE w:val="0"/>
        <w:autoSpaceDN w:val="0"/>
        <w:spacing w:line="240" w:lineRule="auto"/>
        <w:ind w:firstLine="480" w:firstLineChars="150"/>
        <w:rPr>
          <w:rFonts w:ascii="仿宋_GB2312" w:hAnsi="仿宋" w:eastAsia="仿宋_GB2312"/>
          <w:sz w:val="32"/>
          <w:szCs w:val="32"/>
        </w:rPr>
      </w:pPr>
      <w:r>
        <w:rPr>
          <w:rFonts w:ascii="仿宋_GB2312" w:hAnsi="仿宋" w:eastAsia="仿宋_GB2312"/>
          <w:sz w:val="32"/>
          <w:szCs w:val="32"/>
        </w:rPr>
        <w:t>（一）拟订全县文化事业和产业、文物事业、广播电视事业和产业、旅游业发展规划，指导、协调文化事业和产业、文物和博物馆事业、广播电视事业和产业、旅游业融合发展，推进全县文化、文物、广播电视和旅游领域的体制机制改革。</w:t>
      </w:r>
    </w:p>
    <w:p>
      <w:pPr>
        <w:autoSpaceDE w:val="0"/>
        <w:autoSpaceDN w:val="0"/>
        <w:spacing w:line="240" w:lineRule="auto"/>
        <w:ind w:firstLine="320" w:firstLineChars="100"/>
        <w:rPr>
          <w:rFonts w:ascii="仿宋_GB2312" w:hAnsi="仿宋" w:eastAsia="仿宋_GB2312"/>
          <w:sz w:val="32"/>
          <w:szCs w:val="32"/>
        </w:rPr>
      </w:pPr>
      <w:r>
        <w:rPr>
          <w:rFonts w:ascii="仿宋_GB2312" w:hAnsi="仿宋" w:eastAsia="仿宋_GB2312"/>
          <w:sz w:val="32"/>
          <w:szCs w:val="32"/>
        </w:rPr>
        <w:t>（二）管理全县重大文化、文物、广播电视和旅游活动，</w:t>
      </w:r>
    </w:p>
    <w:p>
      <w:pPr>
        <w:autoSpaceDE w:val="0"/>
        <w:autoSpaceDN w:val="0"/>
        <w:spacing w:line="240" w:lineRule="auto"/>
        <w:rPr>
          <w:rFonts w:ascii="仿宋_GB2312" w:hAnsi="仿宋" w:eastAsia="仿宋_GB2312"/>
          <w:sz w:val="32"/>
          <w:szCs w:val="32"/>
        </w:rPr>
      </w:pPr>
      <w:r>
        <w:rPr>
          <w:rFonts w:ascii="仿宋_GB2312" w:hAnsi="仿宋" w:eastAsia="仿宋_GB2312"/>
          <w:sz w:val="32"/>
          <w:szCs w:val="32"/>
        </w:rPr>
        <w:t>指导全县重点文化、文物、广播电视和旅游基础设施建设，组织全县文化、文物、广播电视、旅游整体形象推广，促进全县文化产业和旅游产业对外合作和国内国际市场推广，制定旅游市场开发战略并组织实施，推进全域旅游。</w:t>
      </w:r>
    </w:p>
    <w:p>
      <w:pPr>
        <w:autoSpaceDE w:val="0"/>
        <w:autoSpaceDN w:val="0"/>
        <w:spacing w:line="240" w:lineRule="auto"/>
        <w:ind w:firstLine="320" w:firstLineChars="100"/>
        <w:rPr>
          <w:rFonts w:ascii="仿宋_GB2312" w:hAnsi="仿宋" w:eastAsia="仿宋_GB2312"/>
          <w:sz w:val="32"/>
          <w:szCs w:val="32"/>
        </w:rPr>
      </w:pPr>
      <w:r>
        <w:rPr>
          <w:rFonts w:ascii="仿宋_GB2312" w:hAnsi="仿宋" w:eastAsia="仿宋_GB2312"/>
          <w:sz w:val="32"/>
          <w:szCs w:val="32"/>
        </w:rPr>
        <w:t>（三）管理全县文艺事业，把握正确的舆论导向和创作导</w:t>
      </w:r>
    </w:p>
    <w:p>
      <w:pPr>
        <w:autoSpaceDE w:val="0"/>
        <w:autoSpaceDN w:val="0"/>
        <w:spacing w:line="240" w:lineRule="auto"/>
        <w:rPr>
          <w:rFonts w:ascii="仿宋_GB2312" w:hAnsi="仿宋" w:eastAsia="仿宋_GB2312"/>
          <w:sz w:val="32"/>
          <w:szCs w:val="32"/>
        </w:rPr>
      </w:pPr>
      <w:r>
        <w:rPr>
          <w:rFonts w:ascii="仿宋_GB2312" w:hAnsi="仿宋" w:eastAsia="仿宋_GB2312"/>
          <w:sz w:val="32"/>
          <w:szCs w:val="32"/>
        </w:rPr>
        <w:t>向，指导、推进全县艺术、广播电视创作生产，扶持体现社会主义核心价值观、具有导向性代表性示范性的文艺作品，推动各门类艺术、各艺术品种发展，推动中华优秀传统文化和乐至特色文化传承发展。</w:t>
      </w:r>
    </w:p>
    <w:p>
      <w:pPr>
        <w:autoSpaceDE w:val="0"/>
        <w:autoSpaceDN w:val="0"/>
        <w:spacing w:line="240" w:lineRule="auto"/>
        <w:ind w:firstLine="320" w:firstLineChars="100"/>
        <w:rPr>
          <w:rFonts w:ascii="仿宋_GB2312" w:hAnsi="仿宋" w:eastAsia="仿宋_GB2312"/>
          <w:sz w:val="32"/>
          <w:szCs w:val="32"/>
        </w:rPr>
      </w:pPr>
      <w:r>
        <w:rPr>
          <w:rFonts w:ascii="仿宋_GB2312" w:hAnsi="仿宋" w:eastAsia="仿宋_GB2312"/>
          <w:sz w:val="32"/>
          <w:szCs w:val="32"/>
        </w:rPr>
        <w:t>（四）组织推进全县文化、文物、广播电视和旅游公共服</w:t>
      </w:r>
    </w:p>
    <w:p>
      <w:pPr>
        <w:autoSpaceDE w:val="0"/>
        <w:autoSpaceDN w:val="0"/>
        <w:spacing w:line="240" w:lineRule="auto"/>
        <w:rPr>
          <w:rFonts w:ascii="仿宋_GB2312" w:hAnsi="仿宋" w:eastAsia="仿宋_GB2312"/>
          <w:sz w:val="32"/>
          <w:szCs w:val="32"/>
        </w:rPr>
      </w:pPr>
      <w:r>
        <w:rPr>
          <w:rFonts w:ascii="仿宋_GB2312" w:hAnsi="仿宋" w:eastAsia="仿宋_GB2312"/>
          <w:sz w:val="32"/>
          <w:szCs w:val="32"/>
        </w:rPr>
        <w:t>务体系建设，深入实施文化惠民工程，统筹推进全县文化、文物、广播电视和旅游基本公共服务标准化、均等化。</w:t>
      </w:r>
    </w:p>
    <w:p>
      <w:pPr>
        <w:autoSpaceDE w:val="0"/>
        <w:autoSpaceDN w:val="0"/>
        <w:spacing w:line="240" w:lineRule="auto"/>
        <w:ind w:firstLine="320" w:firstLineChars="100"/>
        <w:rPr>
          <w:rFonts w:ascii="仿宋_GB2312" w:hAnsi="仿宋" w:eastAsia="仿宋_GB2312"/>
          <w:sz w:val="32"/>
          <w:szCs w:val="32"/>
        </w:rPr>
      </w:pPr>
      <w:r>
        <w:rPr>
          <w:rFonts w:ascii="仿宋_GB2312" w:hAnsi="仿宋" w:eastAsia="仿宋_GB2312"/>
          <w:sz w:val="32"/>
          <w:szCs w:val="32"/>
        </w:rPr>
        <w:t>（五）推进全县文化、文物、广播电视和旅游科技创新发</w:t>
      </w:r>
    </w:p>
    <w:p>
      <w:pPr>
        <w:autoSpaceDE w:val="0"/>
        <w:autoSpaceDN w:val="0"/>
        <w:spacing w:line="240" w:lineRule="auto"/>
        <w:rPr>
          <w:rFonts w:ascii="仿宋_GB2312" w:hAnsi="仿宋" w:eastAsia="仿宋_GB2312"/>
          <w:sz w:val="32"/>
          <w:szCs w:val="32"/>
        </w:rPr>
      </w:pPr>
      <w:r>
        <w:rPr>
          <w:rFonts w:ascii="仿宋_GB2312" w:hAnsi="仿宋" w:eastAsia="仿宋_GB2312"/>
          <w:sz w:val="32"/>
          <w:szCs w:val="32"/>
        </w:rPr>
        <w:t>展，推进文化、文物、广播电视和旅游行业信息化、标准化建设，推进广播电视和新媒体新技术新业态融合发展，推动广电网与电信网、互联网三网融合。</w:t>
      </w:r>
    </w:p>
    <w:p>
      <w:pPr>
        <w:autoSpaceDE w:val="0"/>
        <w:autoSpaceDN w:val="0"/>
        <w:spacing w:line="240" w:lineRule="auto"/>
        <w:ind w:firstLine="320" w:firstLineChars="100"/>
        <w:rPr>
          <w:rFonts w:ascii="仿宋_GB2312" w:hAnsi="仿宋" w:eastAsia="仿宋_GB2312"/>
          <w:sz w:val="32"/>
          <w:szCs w:val="32"/>
        </w:rPr>
      </w:pPr>
      <w:r>
        <w:rPr>
          <w:rFonts w:ascii="仿宋_GB2312" w:hAnsi="仿宋" w:eastAsia="仿宋_GB2312"/>
          <w:sz w:val="32"/>
          <w:szCs w:val="32"/>
        </w:rPr>
        <w:t>（六）管理和指导全县文物保护利用与考古工作。组织开</w:t>
      </w:r>
    </w:p>
    <w:p>
      <w:pPr>
        <w:autoSpaceDE w:val="0"/>
        <w:autoSpaceDN w:val="0"/>
        <w:spacing w:line="240" w:lineRule="auto"/>
        <w:rPr>
          <w:rFonts w:ascii="仿宋_GB2312" w:hAnsi="仿宋" w:eastAsia="仿宋_GB2312"/>
          <w:sz w:val="32"/>
          <w:szCs w:val="32"/>
        </w:rPr>
      </w:pPr>
      <w:r>
        <w:rPr>
          <w:rFonts w:ascii="仿宋_GB2312" w:hAnsi="仿宋" w:eastAsia="仿宋_GB2312"/>
          <w:sz w:val="32"/>
          <w:szCs w:val="32"/>
        </w:rPr>
        <w:t>展文物资源调查、登记、建档。负责组织遴选、申报县级以上文物保护单位，组织协调重大文物保护、考古项目的实施，组织管理基本建设涉及文物保护相关工作，组织文物保护宣传工作，协调、指导和监督文物安全工作。</w:t>
      </w:r>
    </w:p>
    <w:p>
      <w:pPr>
        <w:autoSpaceDE w:val="0"/>
        <w:autoSpaceDN w:val="0"/>
        <w:spacing w:line="240" w:lineRule="auto"/>
        <w:ind w:firstLine="320" w:firstLineChars="100"/>
        <w:rPr>
          <w:rFonts w:ascii="仿宋_GB2312" w:hAnsi="仿宋" w:eastAsia="仿宋_GB2312"/>
          <w:sz w:val="32"/>
          <w:szCs w:val="32"/>
        </w:rPr>
      </w:pPr>
      <w:r>
        <w:rPr>
          <w:rFonts w:ascii="仿宋_GB2312" w:hAnsi="仿宋" w:eastAsia="仿宋_GB2312"/>
          <w:sz w:val="32"/>
          <w:szCs w:val="32"/>
        </w:rPr>
        <w:t>（七）负责全县非物质文化遗产保护，推动非物质文化遗</w:t>
      </w:r>
    </w:p>
    <w:p>
      <w:pPr>
        <w:autoSpaceDE w:val="0"/>
        <w:autoSpaceDN w:val="0"/>
        <w:spacing w:line="240" w:lineRule="auto"/>
        <w:rPr>
          <w:rFonts w:ascii="仿宋_GB2312" w:hAnsi="仿宋" w:eastAsia="仿宋_GB2312"/>
          <w:sz w:val="32"/>
          <w:szCs w:val="32"/>
        </w:rPr>
      </w:pPr>
      <w:r>
        <w:rPr>
          <w:rFonts w:ascii="仿宋_GB2312" w:hAnsi="仿宋" w:eastAsia="仿宋_GB2312"/>
          <w:sz w:val="32"/>
          <w:szCs w:val="32"/>
        </w:rPr>
        <w:t>产的传承、普及、弘扬和振兴。组织开展非物质文化遗产项目申报工作，协同相关部门负责文化和自然遗产、历史文化名城（镇、村）申报和监督管理工作。</w:t>
      </w:r>
    </w:p>
    <w:p>
      <w:pPr>
        <w:spacing w:line="580" w:lineRule="exact"/>
        <w:ind w:firstLine="643" w:firstLineChars="200"/>
        <w:rPr>
          <w:rFonts w:eastAsia="方正楷体简体"/>
          <w:b/>
          <w:sz w:val="32"/>
          <w:szCs w:val="32"/>
        </w:rPr>
      </w:pPr>
      <w:r>
        <w:rPr>
          <w:rFonts w:eastAsia="方正楷体简体"/>
          <w:b/>
          <w:sz w:val="32"/>
          <w:szCs w:val="32"/>
        </w:rPr>
        <w:t>（二）202</w:t>
      </w:r>
      <w:r>
        <w:rPr>
          <w:rFonts w:hint="eastAsia" w:eastAsia="方正楷体简体"/>
          <w:b/>
          <w:sz w:val="32"/>
          <w:szCs w:val="32"/>
          <w:lang w:val="en-US" w:eastAsia="zh-CN"/>
        </w:rPr>
        <w:t>3</w:t>
      </w:r>
      <w:r>
        <w:rPr>
          <w:rFonts w:eastAsia="方正楷体简体"/>
          <w:b/>
          <w:sz w:val="32"/>
          <w:szCs w:val="32"/>
        </w:rPr>
        <w:t>年重点工作</w:t>
      </w:r>
    </w:p>
    <w:p>
      <w:pPr>
        <w:keepNext w:val="0"/>
        <w:keepLines w:val="0"/>
        <w:pageBreakBefore w:val="0"/>
        <w:widowControl/>
        <w:kinsoku/>
        <w:wordWrap/>
        <w:overflowPunct/>
        <w:topLinePunct w:val="0"/>
        <w:autoSpaceDE/>
        <w:autoSpaceDN/>
        <w:bidi w:val="0"/>
        <w:adjustRightInd w:val="0"/>
        <w:snapToGrid w:val="0"/>
        <w:spacing w:after="0" w:line="590" w:lineRule="exact"/>
        <w:ind w:right="0" w:firstLine="660" w:firstLineChars="200"/>
        <w:textAlignment w:val="auto"/>
        <w:rPr>
          <w:rFonts w:hint="eastAsia" w:ascii="Times New Roman" w:hAnsi="Times New Roman" w:eastAsia="华文仿宋" w:cs="华文仿宋"/>
          <w:color w:val="auto"/>
          <w:sz w:val="33"/>
          <w:szCs w:val="33"/>
          <w:lang w:val="en-US" w:eastAsia="zh-CN"/>
        </w:rPr>
      </w:pPr>
      <w:r>
        <w:rPr>
          <w:rFonts w:hint="eastAsia" w:ascii="Times New Roman" w:hAnsi="Times New Roman" w:eastAsia="华文仿宋" w:cs="华文仿宋"/>
          <w:color w:val="auto"/>
          <w:sz w:val="33"/>
          <w:szCs w:val="33"/>
          <w:lang w:val="en-US" w:eastAsia="zh-CN"/>
        </w:rPr>
        <w:t>以习近平总书记新时代中国特色社会主义思想为指导，围绕党的二十大等会议精神和国省市县相关部署要求，以建设全国红色文化旅游目的地、巴蜀美丽乡村旅游目的地为目标，</w:t>
      </w:r>
      <w:r>
        <w:rPr>
          <w:rFonts w:hint="eastAsia" w:ascii="Times New Roman" w:hAnsi="Times New Roman" w:eastAsia="仿宋" w:cs="仿宋"/>
          <w:color w:val="auto"/>
          <w:sz w:val="33"/>
          <w:szCs w:val="33"/>
          <w:lang w:val="en-US" w:eastAsia="zh-CN"/>
        </w:rPr>
        <w:t>积极融入成渝地区双城经济圈文旅建设，融入巴蜀文化旅游走廊建设，</w:t>
      </w:r>
      <w:r>
        <w:rPr>
          <w:rFonts w:hint="eastAsia" w:ascii="Times New Roman" w:hAnsi="Times New Roman" w:eastAsia="华文仿宋" w:cs="华文仿宋"/>
          <w:color w:val="auto"/>
          <w:sz w:val="33"/>
          <w:szCs w:val="33"/>
          <w:lang w:val="en-US" w:eastAsia="zh-CN"/>
        </w:rPr>
        <w:t>推动文旅事业产业高质量发展。</w:t>
      </w:r>
    </w:p>
    <w:p>
      <w:pPr>
        <w:keepNext w:val="0"/>
        <w:keepLines w:val="0"/>
        <w:pageBreakBefore w:val="0"/>
        <w:widowControl/>
        <w:kinsoku/>
        <w:wordWrap/>
        <w:overflowPunct/>
        <w:topLinePunct w:val="0"/>
        <w:autoSpaceDE/>
        <w:autoSpaceDN/>
        <w:bidi w:val="0"/>
        <w:adjustRightInd w:val="0"/>
        <w:snapToGrid w:val="0"/>
        <w:spacing w:after="0" w:line="590" w:lineRule="exact"/>
        <w:ind w:right="0" w:firstLine="663" w:firstLineChars="200"/>
        <w:textAlignment w:val="auto"/>
        <w:rPr>
          <w:rFonts w:hint="eastAsia" w:ascii="Times New Roman" w:hAnsi="Times New Roman" w:eastAsia="楷体" w:cs="楷体"/>
          <w:b/>
          <w:bCs/>
          <w:color w:val="auto"/>
          <w:sz w:val="33"/>
          <w:szCs w:val="33"/>
          <w:lang w:val="en-US" w:eastAsia="zh-CN"/>
        </w:rPr>
      </w:pPr>
      <w:r>
        <w:rPr>
          <w:rFonts w:hint="eastAsia" w:ascii="Times New Roman" w:hAnsi="Times New Roman" w:eastAsia="楷体" w:cs="楷体"/>
          <w:b/>
          <w:bCs/>
          <w:color w:val="auto"/>
          <w:sz w:val="33"/>
          <w:szCs w:val="33"/>
          <w:lang w:val="en-US" w:eastAsia="zh-CN"/>
        </w:rPr>
        <w:t>一、筑牢党建思想引领作用。</w:t>
      </w:r>
    </w:p>
    <w:p>
      <w:pPr>
        <w:keepNext w:val="0"/>
        <w:keepLines w:val="0"/>
        <w:pageBreakBefore w:val="0"/>
        <w:widowControl/>
        <w:kinsoku/>
        <w:wordWrap/>
        <w:overflowPunct/>
        <w:topLinePunct w:val="0"/>
        <w:autoSpaceDE/>
        <w:autoSpaceDN/>
        <w:bidi w:val="0"/>
        <w:adjustRightInd w:val="0"/>
        <w:snapToGrid w:val="0"/>
        <w:spacing w:after="0" w:line="590" w:lineRule="exact"/>
        <w:ind w:right="0" w:firstLine="663" w:firstLineChars="200"/>
        <w:textAlignment w:val="auto"/>
        <w:rPr>
          <w:rFonts w:hint="default"/>
          <w:lang w:val="en-US" w:eastAsia="zh-CN"/>
        </w:rPr>
      </w:pPr>
      <w:r>
        <w:rPr>
          <w:rFonts w:hint="eastAsia" w:ascii="Times New Roman" w:hAnsi="Times New Roman" w:eastAsia="楷体" w:cs="楷体"/>
          <w:b/>
          <w:bCs/>
          <w:color w:val="auto"/>
          <w:sz w:val="33"/>
          <w:szCs w:val="33"/>
          <w:lang w:val="en-US" w:eastAsia="zh-CN"/>
        </w:rPr>
        <w:t>二、</w:t>
      </w:r>
      <w:r>
        <w:rPr>
          <w:rFonts w:hint="eastAsia" w:ascii="Times New Roman" w:hAnsi="Times New Roman" w:eastAsia="楷体" w:cs="楷体"/>
          <w:b/>
          <w:bCs/>
          <w:color w:val="auto"/>
          <w:sz w:val="33"/>
          <w:szCs w:val="33"/>
          <w:lang w:val="zh-CN" w:eastAsia="zh-CN"/>
        </w:rPr>
        <w:t>推动文旅产业高质量发展</w:t>
      </w:r>
      <w:r>
        <w:rPr>
          <w:rFonts w:hint="eastAsia" w:ascii="Times New Roman" w:hAnsi="Times New Roman" w:eastAsia="楷体" w:cs="楷体"/>
          <w:b/>
          <w:bCs/>
          <w:color w:val="auto"/>
          <w:sz w:val="33"/>
          <w:szCs w:val="33"/>
          <w:lang w:val="en-US" w:eastAsia="zh-CN"/>
        </w:rPr>
        <w:t>。</w:t>
      </w:r>
    </w:p>
    <w:p>
      <w:pPr>
        <w:pStyle w:val="2"/>
        <w:numPr>
          <w:ilvl w:val="0"/>
          <w:numId w:val="0"/>
        </w:numPr>
        <w:ind w:firstLine="663" w:firstLineChars="200"/>
        <w:rPr>
          <w:rFonts w:hint="eastAsia" w:ascii="Times New Roman" w:hAnsi="Times New Roman" w:eastAsia="仿宋" w:cs="仿宋"/>
          <w:color w:val="auto"/>
          <w:sz w:val="33"/>
          <w:szCs w:val="33"/>
          <w:lang w:val="zh-CN" w:eastAsia="zh-CN"/>
        </w:rPr>
      </w:pPr>
      <w:r>
        <w:rPr>
          <w:rFonts w:hint="eastAsia" w:ascii="Times New Roman" w:hAnsi="Times New Roman" w:eastAsia="楷体" w:cs="楷体"/>
          <w:b/>
          <w:bCs/>
          <w:color w:val="auto"/>
          <w:sz w:val="33"/>
          <w:szCs w:val="33"/>
          <w:lang w:val="en-US" w:eastAsia="zh-CN"/>
        </w:rPr>
        <w:t>三、推动</w:t>
      </w:r>
      <w:r>
        <w:rPr>
          <w:rFonts w:hint="eastAsia" w:ascii="Times New Roman" w:hAnsi="Times New Roman" w:eastAsia="楷体" w:cs="楷体"/>
          <w:b/>
          <w:bCs/>
          <w:color w:val="auto"/>
          <w:sz w:val="33"/>
          <w:szCs w:val="33"/>
          <w:lang w:val="zh-CN" w:eastAsia="zh-CN"/>
        </w:rPr>
        <w:t>文旅品牌走出去。</w:t>
      </w:r>
    </w:p>
    <w:p>
      <w:pPr>
        <w:keepNext w:val="0"/>
        <w:keepLines w:val="0"/>
        <w:pageBreakBefore w:val="0"/>
        <w:widowControl/>
        <w:kinsoku/>
        <w:wordWrap/>
        <w:overflowPunct/>
        <w:topLinePunct w:val="0"/>
        <w:autoSpaceDE/>
        <w:autoSpaceDN/>
        <w:bidi w:val="0"/>
        <w:adjustRightInd w:val="0"/>
        <w:snapToGrid w:val="0"/>
        <w:spacing w:after="0" w:line="590" w:lineRule="exact"/>
        <w:ind w:right="0" w:firstLine="663" w:firstLineChars="200"/>
        <w:textAlignment w:val="auto"/>
        <w:rPr>
          <w:rFonts w:hint="eastAsia" w:ascii="Times New Roman" w:hAnsi="Times New Roman" w:eastAsia="楷体" w:cs="楷体"/>
          <w:b/>
          <w:bCs/>
          <w:color w:val="auto"/>
          <w:sz w:val="33"/>
          <w:szCs w:val="33"/>
          <w:lang w:val="en-US" w:eastAsia="zh-CN"/>
        </w:rPr>
      </w:pPr>
      <w:r>
        <w:rPr>
          <w:rFonts w:hint="eastAsia" w:ascii="Times New Roman" w:hAnsi="Times New Roman" w:eastAsia="楷体" w:cs="楷体"/>
          <w:b/>
          <w:bCs/>
          <w:color w:val="auto"/>
          <w:sz w:val="33"/>
          <w:szCs w:val="33"/>
          <w:lang w:val="en-US" w:eastAsia="zh-CN"/>
        </w:rPr>
        <w:t>四、推进公共文化服务体系建设。</w:t>
      </w:r>
    </w:p>
    <w:p>
      <w:pPr>
        <w:keepNext w:val="0"/>
        <w:keepLines w:val="0"/>
        <w:pageBreakBefore w:val="0"/>
        <w:widowControl/>
        <w:kinsoku/>
        <w:wordWrap/>
        <w:overflowPunct/>
        <w:topLinePunct w:val="0"/>
        <w:autoSpaceDE/>
        <w:autoSpaceDN/>
        <w:bidi w:val="0"/>
        <w:adjustRightInd w:val="0"/>
        <w:snapToGrid w:val="0"/>
        <w:spacing w:after="0" w:line="590" w:lineRule="exact"/>
        <w:ind w:right="0" w:firstLine="663" w:firstLineChars="200"/>
        <w:textAlignment w:val="auto"/>
        <w:rPr>
          <w:rFonts w:hint="eastAsia" w:ascii="Times New Roman" w:hAnsi="Times New Roman" w:eastAsia="楷体" w:cs="楷体"/>
          <w:b/>
          <w:bCs/>
          <w:color w:val="auto"/>
          <w:sz w:val="33"/>
          <w:szCs w:val="33"/>
          <w:lang w:val="en-US" w:eastAsia="zh-CN"/>
        </w:rPr>
      </w:pPr>
      <w:r>
        <w:rPr>
          <w:rFonts w:hint="eastAsia" w:ascii="Times New Roman" w:hAnsi="Times New Roman" w:eastAsia="楷体" w:cs="楷体"/>
          <w:b/>
          <w:bCs/>
          <w:color w:val="auto"/>
          <w:sz w:val="33"/>
          <w:szCs w:val="33"/>
          <w:lang w:val="en-US" w:eastAsia="zh-CN"/>
        </w:rPr>
        <w:t>五、推进文化遗产保护传承。</w:t>
      </w:r>
    </w:p>
    <w:p>
      <w:pPr>
        <w:keepNext w:val="0"/>
        <w:keepLines w:val="0"/>
        <w:pageBreakBefore w:val="0"/>
        <w:widowControl/>
        <w:kinsoku/>
        <w:wordWrap/>
        <w:overflowPunct/>
        <w:topLinePunct w:val="0"/>
        <w:autoSpaceDE/>
        <w:autoSpaceDN/>
        <w:bidi w:val="0"/>
        <w:adjustRightInd w:val="0"/>
        <w:snapToGrid w:val="0"/>
        <w:spacing w:after="0" w:line="590" w:lineRule="exact"/>
        <w:ind w:right="0" w:firstLine="663" w:firstLineChars="200"/>
        <w:textAlignment w:val="auto"/>
      </w:pPr>
      <w:r>
        <w:rPr>
          <w:rFonts w:hint="eastAsia" w:ascii="Times New Roman" w:hAnsi="Times New Roman" w:eastAsia="楷体" w:cs="楷体"/>
          <w:b/>
          <w:bCs/>
          <w:color w:val="auto"/>
          <w:sz w:val="33"/>
          <w:szCs w:val="33"/>
          <w:lang w:val="en-US" w:eastAsia="zh-CN"/>
        </w:rPr>
        <w:t>六、推动区域文旅交流合作。</w:t>
      </w:r>
      <w:bookmarkStart w:id="0" w:name="_GoBack"/>
      <w:bookmarkEnd w:id="0"/>
    </w:p>
    <w:p>
      <w:pPr>
        <w:spacing w:line="580" w:lineRule="exact"/>
        <w:ind w:firstLine="640" w:firstLineChars="200"/>
        <w:rPr>
          <w:rFonts w:eastAsia="方正黑体简体"/>
          <w:sz w:val="32"/>
          <w:szCs w:val="32"/>
        </w:rPr>
      </w:pPr>
      <w:r>
        <w:rPr>
          <w:rFonts w:eastAsia="方正黑体简体"/>
          <w:sz w:val="32"/>
          <w:szCs w:val="32"/>
        </w:rPr>
        <w:t>二、收支预算情况</w:t>
      </w:r>
      <w:r>
        <w:rPr>
          <w:rFonts w:hint="eastAsia" w:eastAsia="方正黑体简体"/>
          <w:sz w:val="32"/>
          <w:szCs w:val="32"/>
        </w:rPr>
        <w:t>说明</w:t>
      </w:r>
    </w:p>
    <w:p>
      <w:pPr>
        <w:autoSpaceDE w:val="0"/>
        <w:autoSpaceDN w:val="0"/>
        <w:spacing w:line="240" w:lineRule="auto"/>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按照综合预算的原则，</w:t>
      </w:r>
      <w:r>
        <w:rPr>
          <w:rFonts w:hint="eastAsia" w:ascii="仿宋_GB2312" w:hAnsi="仿宋" w:eastAsia="仿宋_GB2312"/>
          <w:sz w:val="32"/>
          <w:szCs w:val="32"/>
          <w:lang w:val="en-US" w:eastAsia="zh-CN"/>
        </w:rPr>
        <w:t>乐至县文化广播电视和旅游局</w:t>
      </w:r>
      <w:r>
        <w:rPr>
          <w:rFonts w:hint="eastAsia" w:ascii="仿宋_GB2312" w:hAnsi="仿宋" w:eastAsia="仿宋_GB2312"/>
          <w:sz w:val="32"/>
          <w:szCs w:val="32"/>
        </w:rPr>
        <w:t>所有收入和支出均纳入单位预算管理。收入包括：一般公共预算拨款收入；支出包括：</w:t>
      </w:r>
      <w:r>
        <w:rPr>
          <w:rFonts w:hint="eastAsia" w:ascii="仿宋_GB2312" w:hAnsi="仿宋" w:eastAsia="仿宋_GB2312"/>
          <w:sz w:val="32"/>
          <w:szCs w:val="32"/>
          <w:lang w:val="en-US" w:eastAsia="zh-CN"/>
        </w:rPr>
        <w:t>文化旅游体育与传媒支出</w:t>
      </w:r>
      <w:r>
        <w:rPr>
          <w:rFonts w:hint="eastAsia" w:ascii="仿宋_GB2312" w:hAnsi="仿宋" w:eastAsia="仿宋_GB2312"/>
          <w:sz w:val="32"/>
          <w:szCs w:val="32"/>
        </w:rPr>
        <w:t>行政运行</w:t>
      </w:r>
      <w:r>
        <w:rPr>
          <w:rFonts w:hint="eastAsia" w:ascii="仿宋_GB2312" w:hAnsi="仿宋" w:eastAsia="仿宋_GB2312"/>
          <w:sz w:val="32"/>
          <w:szCs w:val="32"/>
          <w:lang w:eastAsia="zh-CN"/>
        </w:rPr>
        <w:t>、机关服务、群众文化、文物保护、公共文化服务体系建设、广播电视支出、</w:t>
      </w:r>
      <w:r>
        <w:rPr>
          <w:rFonts w:hint="eastAsia" w:ascii="仿宋_GB2312" w:hAnsi="仿宋" w:eastAsia="仿宋_GB2312"/>
          <w:sz w:val="32"/>
          <w:szCs w:val="32"/>
        </w:rPr>
        <w:t>机关事业单位基本养老保险缴费支出</w:t>
      </w:r>
      <w:r>
        <w:rPr>
          <w:rFonts w:hint="eastAsia" w:ascii="仿宋_GB2312" w:hAnsi="仿宋" w:eastAsia="仿宋_GB2312"/>
          <w:sz w:val="32"/>
          <w:szCs w:val="32"/>
          <w:lang w:eastAsia="zh-CN"/>
        </w:rPr>
        <w:t>、行政单位医疗、</w:t>
      </w:r>
      <w:r>
        <w:rPr>
          <w:rFonts w:hint="eastAsia" w:ascii="仿宋_GB2312" w:hAnsi="仿宋" w:eastAsia="仿宋_GB2312"/>
          <w:sz w:val="32"/>
          <w:szCs w:val="32"/>
          <w:lang w:val="en-US" w:eastAsia="zh-CN"/>
        </w:rPr>
        <w:t>事业</w:t>
      </w:r>
      <w:r>
        <w:rPr>
          <w:rFonts w:hint="eastAsia" w:ascii="仿宋_GB2312" w:hAnsi="仿宋" w:eastAsia="仿宋_GB2312"/>
          <w:sz w:val="32"/>
          <w:szCs w:val="32"/>
          <w:lang w:eastAsia="zh-CN"/>
        </w:rPr>
        <w:t>单位医疗、公务员医疗补助、住房公积金支出</w:t>
      </w:r>
      <w:r>
        <w:rPr>
          <w:rFonts w:hint="eastAsia" w:ascii="仿宋_GB2312" w:hAnsi="仿宋" w:eastAsia="仿宋_GB2312"/>
          <w:sz w:val="32"/>
          <w:szCs w:val="32"/>
        </w:rPr>
        <w:t>。</w:t>
      </w:r>
      <w:r>
        <w:rPr>
          <w:rFonts w:hint="eastAsia" w:ascii="仿宋_GB2312" w:hAnsi="仿宋" w:eastAsia="仿宋_GB2312"/>
          <w:sz w:val="32"/>
          <w:szCs w:val="32"/>
          <w:lang w:val="en-US" w:eastAsia="zh-CN"/>
        </w:rPr>
        <w:t>乐至县文化广播电视和旅游局</w:t>
      </w:r>
      <w:r>
        <w:rPr>
          <w:rFonts w:hint="eastAsia" w:ascii="仿宋_GB2312" w:hAnsi="仿宋" w:eastAsia="仿宋_GB2312"/>
          <w:sz w:val="32"/>
          <w:szCs w:val="32"/>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年收支总预算1121.79万元，比202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年收支预算总数增加</w:t>
      </w:r>
      <w:r>
        <w:rPr>
          <w:rFonts w:hint="eastAsia" w:ascii="仿宋_GB2312" w:hAnsi="仿宋" w:eastAsia="仿宋_GB2312"/>
          <w:sz w:val="32"/>
          <w:szCs w:val="32"/>
          <w:lang w:val="en-US" w:eastAsia="zh-CN"/>
        </w:rPr>
        <w:t>729.96</w:t>
      </w:r>
      <w:r>
        <w:rPr>
          <w:rFonts w:hint="eastAsia" w:ascii="仿宋_GB2312" w:hAnsi="仿宋" w:eastAsia="仿宋_GB2312"/>
          <w:sz w:val="32"/>
          <w:szCs w:val="32"/>
        </w:rPr>
        <w:t>万元，主要原因是</w:t>
      </w:r>
      <w:r>
        <w:rPr>
          <w:rFonts w:hint="eastAsia" w:ascii="仿宋_GB2312" w:hAnsi="仿宋" w:eastAsia="仿宋_GB2312"/>
          <w:sz w:val="32"/>
          <w:szCs w:val="32"/>
          <w:lang w:eastAsia="zh-CN"/>
        </w:rPr>
        <w:t>增加了公共文化服务体系建设、广播电视收支。</w:t>
      </w:r>
    </w:p>
    <w:p>
      <w:pPr>
        <w:spacing w:line="580" w:lineRule="exact"/>
        <w:ind w:firstLine="643" w:firstLineChars="200"/>
        <w:rPr>
          <w:rFonts w:hint="eastAsia" w:eastAsia="方正楷体简体"/>
          <w:b/>
          <w:sz w:val="32"/>
          <w:szCs w:val="32"/>
        </w:rPr>
      </w:pPr>
      <w:r>
        <w:rPr>
          <w:rFonts w:hint="eastAsia" w:eastAsia="方正楷体简体"/>
          <w:b/>
          <w:sz w:val="32"/>
          <w:szCs w:val="32"/>
        </w:rPr>
        <w:t>（一）收入预算情况</w:t>
      </w:r>
    </w:p>
    <w:p>
      <w:pPr>
        <w:autoSpaceDE w:val="0"/>
        <w:autoSpaceDN w:val="0"/>
        <w:spacing w:line="240" w:lineRule="auto"/>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乐至县文化广播电视和旅游局</w:t>
      </w:r>
      <w:r>
        <w:rPr>
          <w:rFonts w:hint="eastAsia" w:ascii="仿宋_GB2312" w:hAnsi="仿宋" w:eastAsia="仿宋_GB2312"/>
          <w:sz w:val="32"/>
          <w:szCs w:val="32"/>
          <w:lang w:eastAsia="zh-CN"/>
        </w:rPr>
        <w:t>单位202</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年收入预算</w:t>
      </w:r>
      <w:r>
        <w:rPr>
          <w:rFonts w:hint="eastAsia" w:ascii="仿宋_GB2312" w:hAnsi="仿宋" w:eastAsia="仿宋_GB2312"/>
          <w:sz w:val="32"/>
          <w:szCs w:val="32"/>
          <w:lang w:val="en-US" w:eastAsia="zh-CN"/>
        </w:rPr>
        <w:t>1121.79</w:t>
      </w:r>
      <w:r>
        <w:rPr>
          <w:rFonts w:hint="eastAsia" w:ascii="仿宋_GB2312" w:hAnsi="仿宋" w:eastAsia="仿宋_GB2312"/>
          <w:sz w:val="32"/>
          <w:szCs w:val="32"/>
          <w:lang w:eastAsia="zh-CN"/>
        </w:rPr>
        <w:t>万元，其中：一般公共预算拨款收入</w:t>
      </w:r>
      <w:r>
        <w:rPr>
          <w:rFonts w:hint="eastAsia" w:ascii="仿宋_GB2312" w:hAnsi="仿宋" w:eastAsia="仿宋_GB2312"/>
          <w:sz w:val="32"/>
          <w:szCs w:val="32"/>
          <w:lang w:val="en-US" w:eastAsia="zh-CN"/>
        </w:rPr>
        <w:t>1121.79</w:t>
      </w:r>
      <w:r>
        <w:rPr>
          <w:rFonts w:hint="eastAsia" w:ascii="仿宋_GB2312" w:hAnsi="仿宋" w:eastAsia="仿宋_GB2312"/>
          <w:sz w:val="32"/>
          <w:szCs w:val="32"/>
          <w:lang w:eastAsia="zh-CN"/>
        </w:rPr>
        <w:t>万元，占</w:t>
      </w:r>
      <w:r>
        <w:rPr>
          <w:rFonts w:hint="eastAsia" w:ascii="仿宋_GB2312" w:hAnsi="仿宋" w:eastAsia="仿宋_GB2312"/>
          <w:sz w:val="32"/>
          <w:szCs w:val="32"/>
          <w:lang w:val="en-US" w:eastAsia="zh-CN"/>
        </w:rPr>
        <w:t>100%。</w:t>
      </w:r>
    </w:p>
    <w:p>
      <w:pPr>
        <w:spacing w:line="580" w:lineRule="exact"/>
        <w:ind w:firstLine="643" w:firstLineChars="200"/>
        <w:rPr>
          <w:rFonts w:hint="eastAsia" w:eastAsia="方正楷体简体"/>
          <w:b/>
          <w:sz w:val="32"/>
          <w:szCs w:val="32"/>
        </w:rPr>
      </w:pPr>
      <w:r>
        <w:rPr>
          <w:rFonts w:hint="eastAsia" w:eastAsia="方正楷体简体"/>
          <w:b/>
          <w:sz w:val="32"/>
          <w:szCs w:val="32"/>
        </w:rPr>
        <w:t>（二）支出预算情况</w:t>
      </w:r>
    </w:p>
    <w:p>
      <w:pPr>
        <w:autoSpaceDE w:val="0"/>
        <w:autoSpaceDN w:val="0"/>
        <w:spacing w:line="240" w:lineRule="auto"/>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乐至县文化广播电视和旅游局2023年支出预算1121.79万元，其中：基本支出522.79万元，占46.6%；项目支出599万元，占53.4%。</w:t>
      </w:r>
    </w:p>
    <w:p>
      <w:pPr>
        <w:spacing w:line="580" w:lineRule="exact"/>
        <w:ind w:firstLine="640" w:firstLineChars="200"/>
        <w:rPr>
          <w:rFonts w:hint="eastAsia" w:eastAsia="方正黑体简体"/>
          <w:sz w:val="32"/>
          <w:szCs w:val="32"/>
        </w:rPr>
      </w:pPr>
      <w:r>
        <w:rPr>
          <w:rFonts w:hint="eastAsia" w:eastAsia="方正黑体简体"/>
          <w:sz w:val="32"/>
          <w:szCs w:val="32"/>
        </w:rPr>
        <w:t>三、财政拨款收支预算情况说明</w:t>
      </w:r>
    </w:p>
    <w:p>
      <w:pPr>
        <w:autoSpaceDE w:val="0"/>
        <w:autoSpaceDN w:val="0"/>
        <w:spacing w:line="240" w:lineRule="auto"/>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乐至县文化广播电视和旅游局2023年财政拨款收支总预算1121.79万元，</w:t>
      </w:r>
      <w:r>
        <w:rPr>
          <w:rFonts w:hint="eastAsia" w:ascii="仿宋_GB2312" w:hAnsi="仿宋" w:eastAsia="仿宋_GB2312"/>
          <w:sz w:val="32"/>
          <w:szCs w:val="32"/>
        </w:rPr>
        <w:t>比202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年收支预算总数增加</w:t>
      </w:r>
      <w:r>
        <w:rPr>
          <w:rFonts w:hint="eastAsia" w:ascii="仿宋_GB2312" w:hAnsi="仿宋" w:eastAsia="仿宋_GB2312"/>
          <w:sz w:val="32"/>
          <w:szCs w:val="32"/>
          <w:lang w:val="en-US" w:eastAsia="zh-CN"/>
        </w:rPr>
        <w:t>729.96</w:t>
      </w:r>
      <w:r>
        <w:rPr>
          <w:rFonts w:hint="eastAsia" w:ascii="仿宋_GB2312" w:hAnsi="仿宋" w:eastAsia="仿宋_GB2312"/>
          <w:sz w:val="32"/>
          <w:szCs w:val="32"/>
        </w:rPr>
        <w:t>万元，主要原因是</w:t>
      </w:r>
      <w:r>
        <w:rPr>
          <w:rFonts w:hint="eastAsia" w:ascii="仿宋_GB2312" w:hAnsi="仿宋" w:eastAsia="仿宋_GB2312"/>
          <w:sz w:val="32"/>
          <w:szCs w:val="32"/>
          <w:lang w:eastAsia="zh-CN"/>
        </w:rPr>
        <w:t>增加了公共文化服务体系建设、广播电视收支。</w:t>
      </w:r>
      <w:r>
        <w:rPr>
          <w:rFonts w:hint="eastAsia" w:ascii="仿宋_GB2312" w:hAnsi="仿宋" w:eastAsia="仿宋_GB2312"/>
          <w:sz w:val="32"/>
          <w:szCs w:val="32"/>
          <w:lang w:val="en-US" w:eastAsia="zh-CN"/>
        </w:rPr>
        <w:t xml:space="preserve">  </w:t>
      </w:r>
    </w:p>
    <w:p>
      <w:pPr>
        <w:autoSpaceDE w:val="0"/>
        <w:autoSpaceDN w:val="0"/>
        <w:spacing w:line="240" w:lineRule="auto"/>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收入包括：本年一般公共预算拨款收入1121.79万元；支出包括：文化旅游体育与传媒支出1006.02万元、社会保障和就业支出50.81万元、卫生健康支出20.76万元、住房保障支出44.2万元。</w:t>
      </w:r>
    </w:p>
    <w:p>
      <w:pPr>
        <w:spacing w:line="580" w:lineRule="exact"/>
        <w:ind w:firstLine="640" w:firstLineChars="200"/>
        <w:rPr>
          <w:rFonts w:hint="eastAsia" w:eastAsia="方正黑体简体"/>
          <w:sz w:val="32"/>
          <w:szCs w:val="32"/>
        </w:rPr>
      </w:pPr>
      <w:r>
        <w:rPr>
          <w:rFonts w:hint="eastAsia" w:eastAsia="方正黑体简体"/>
          <w:sz w:val="32"/>
          <w:szCs w:val="32"/>
        </w:rPr>
        <w:t>四</w:t>
      </w:r>
      <w:r>
        <w:rPr>
          <w:rFonts w:eastAsia="方正黑体简体"/>
          <w:sz w:val="32"/>
          <w:szCs w:val="32"/>
        </w:rPr>
        <w:t>、</w:t>
      </w:r>
      <w:r>
        <w:rPr>
          <w:rFonts w:hint="eastAsia" w:eastAsia="方正黑体简体"/>
          <w:sz w:val="32"/>
          <w:szCs w:val="32"/>
        </w:rPr>
        <w:t>一般公共预算当年拨款情况说明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（一）一般公共预算当年拨款规模变化情况</w:t>
      </w:r>
    </w:p>
    <w:p>
      <w:pPr>
        <w:autoSpaceDE w:val="0"/>
        <w:autoSpaceDN w:val="0"/>
        <w:spacing w:line="240" w:lineRule="auto"/>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乐至县文化广播电视和旅游局2023年财政拨款收支总预算1121.79万元，</w:t>
      </w:r>
      <w:r>
        <w:rPr>
          <w:rFonts w:hint="eastAsia" w:ascii="仿宋_GB2312" w:hAnsi="仿宋" w:eastAsia="仿宋_GB2312"/>
          <w:sz w:val="32"/>
          <w:szCs w:val="32"/>
        </w:rPr>
        <w:t>比202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年收支预算总数增加</w:t>
      </w:r>
      <w:r>
        <w:rPr>
          <w:rFonts w:hint="eastAsia" w:ascii="仿宋_GB2312" w:hAnsi="仿宋" w:eastAsia="仿宋_GB2312"/>
          <w:sz w:val="32"/>
          <w:szCs w:val="32"/>
          <w:lang w:val="en-US" w:eastAsia="zh-CN"/>
        </w:rPr>
        <w:t>729.96</w:t>
      </w:r>
      <w:r>
        <w:rPr>
          <w:rFonts w:hint="eastAsia" w:ascii="仿宋_GB2312" w:hAnsi="仿宋" w:eastAsia="仿宋_GB2312"/>
          <w:sz w:val="32"/>
          <w:szCs w:val="32"/>
        </w:rPr>
        <w:t>万元，主要原因是</w:t>
      </w:r>
      <w:r>
        <w:rPr>
          <w:rFonts w:hint="eastAsia" w:ascii="仿宋_GB2312" w:hAnsi="仿宋" w:eastAsia="仿宋_GB2312"/>
          <w:sz w:val="32"/>
          <w:szCs w:val="32"/>
          <w:lang w:eastAsia="zh-CN"/>
        </w:rPr>
        <w:t>增加了公共文化服务体系建设、广播电视收支。</w:t>
      </w:r>
      <w:r>
        <w:rPr>
          <w:rFonts w:hint="eastAsia" w:ascii="仿宋_GB2312" w:hAnsi="仿宋" w:eastAsia="仿宋_GB2312"/>
          <w:sz w:val="32"/>
          <w:szCs w:val="32"/>
          <w:lang w:val="en-US" w:eastAsia="zh-CN"/>
        </w:rPr>
        <w:t xml:space="preserve">  </w:t>
      </w:r>
    </w:p>
    <w:p>
      <w:pPr>
        <w:spacing w:line="580" w:lineRule="exact"/>
        <w:ind w:firstLine="643" w:firstLineChars="200"/>
        <w:rPr>
          <w:rFonts w:hint="eastAsia" w:eastAsia="方正楷体简体"/>
          <w:b/>
          <w:sz w:val="32"/>
          <w:szCs w:val="32"/>
        </w:rPr>
      </w:pPr>
      <w:r>
        <w:rPr>
          <w:rFonts w:hint="eastAsia" w:eastAsia="方正楷体简体"/>
          <w:b/>
          <w:sz w:val="32"/>
          <w:szCs w:val="32"/>
        </w:rPr>
        <w:t>（二）一般公共预算当年拨款结构情况</w:t>
      </w:r>
    </w:p>
    <w:p>
      <w:pPr>
        <w:autoSpaceDE w:val="0"/>
        <w:autoSpaceDN w:val="0"/>
        <w:spacing w:line="240" w:lineRule="auto"/>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文化旅游体育与传媒支出1006.02万元，占全年支出89.68%；社会保障和就业支出50.81万元，占全年支出4.53%；卫生健康支出20.76万元，占全年支出1.85%、住房保障支出44.2万元，占全年支出3.94%。</w:t>
      </w:r>
    </w:p>
    <w:p>
      <w:pPr>
        <w:spacing w:line="580" w:lineRule="exact"/>
        <w:ind w:firstLine="643" w:firstLineChars="200"/>
        <w:rPr>
          <w:rFonts w:hint="eastAsia" w:eastAsia="方正楷体简体"/>
          <w:b/>
          <w:sz w:val="32"/>
          <w:szCs w:val="32"/>
        </w:rPr>
      </w:pPr>
      <w:r>
        <w:rPr>
          <w:rFonts w:hint="eastAsia" w:eastAsia="方正楷体简体"/>
          <w:b/>
          <w:sz w:val="32"/>
          <w:szCs w:val="32"/>
        </w:rPr>
        <w:t>（三）一般公共预算当年拨款具体使用情况</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文化旅游体育与传媒（类）文化和旅游（款）行政运行（项）2023年预算数为342.38万元，主要用于：局机关及参公管理事业单位正常运转的基本支出，包括基本工资、津贴补贴等人员经费以及办公费、印刷费、水电费等日常公用经费。</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2.文化旅游体育与传媒（类）文化和旅游（款）机关服务（项）2023年预算数为64.64万元，主要用于：局合署办公的下属事业单位机构正常运行、开展日常工作的基本支出。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3.文化旅游体育与传媒（类）文化和旅游（款）群众文化（项）2023年预算数为130万元，主要用于：保障21个乡镇继续使用的26个文化站（中心）免费开放的项目支出。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4.文化旅游体育与传媒（类）文物（款）文物保护（项）2023年预算数为10万元，主要用于在县域内挖掘、保护国家级、省级、市级及县级文物的项目支出。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5.文化旅游体育与传媒（类）广播电视（款）其他广播电视支出（项）2023年预算数139万元，主要用于在县域内广播电视户户通运行维护的项目支出。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6.文化旅游体育与传媒（类）其他文化旅游体育与传媒支出（款）其他文化旅游体育与传媒支出（项）2023年预算数320万元，主要用于在我县公共文化服务体系项目支出。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7.社会保障和就业（类）行政事业单位养老支出（款）机关事业单位基本养老保险缴费支出（项）2023年预算数为50.81万元，用于单位缴纳的基本养老保险支出。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8.卫生健康支出（类）行政事业单位医疗（款）行政单位医疗（项）2023年预算数为14.23万元，用于为职工缴纳的基本医疗保险支出。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9.卫生健康支出（类）行政事业单位医疗（款）事业单位医疗（项）2023年预算数为3.83万元，用于为事业单位职工缴纳的基本医疗保险支出。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10.卫生健康支出（类）行政事业单位医疗（款）公务员医疗补助（项）2023年预算数为2.71万元，用于为职工缴纳的公务员医疗补助支出。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11.住房保障支出（类）住房改革支出（款）住房公积金（项）2023年预算数为44.2万元，用于为职工住房公积金财政匹配支出。</w:t>
      </w:r>
    </w:p>
    <w:p>
      <w:pPr>
        <w:spacing w:line="580" w:lineRule="exact"/>
        <w:ind w:firstLine="640" w:firstLineChars="200"/>
        <w:rPr>
          <w:rFonts w:hint="eastAsia" w:eastAsia="方正黑体简体"/>
          <w:sz w:val="32"/>
          <w:szCs w:val="32"/>
        </w:rPr>
      </w:pPr>
      <w:r>
        <w:rPr>
          <w:rFonts w:hint="eastAsia" w:eastAsia="方正黑体简体"/>
          <w:sz w:val="32"/>
          <w:szCs w:val="32"/>
        </w:rPr>
        <w:t>五、一般公共预算基本支出情况说明</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乐至县文化广播电视和旅游局2023年一般公共预算基本支出522.79万元，其中：</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人员经费438.27万元，主要包括：基本工资、津贴补贴、奖金、社会保险缴费等。</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公用经费84.52万元，主要包括：办公费、水费、电费、邮电费、印刷费、差旅费、劳务费等。</w:t>
      </w:r>
    </w:p>
    <w:p>
      <w:pPr>
        <w:spacing w:line="580" w:lineRule="exact"/>
        <w:ind w:firstLine="640" w:firstLineChars="200"/>
        <w:rPr>
          <w:rFonts w:hint="eastAsia" w:eastAsia="方正黑体简体"/>
          <w:sz w:val="32"/>
          <w:szCs w:val="32"/>
        </w:rPr>
      </w:pPr>
      <w:r>
        <w:rPr>
          <w:rFonts w:hint="eastAsia" w:eastAsia="方正黑体简体"/>
          <w:sz w:val="32"/>
          <w:szCs w:val="32"/>
        </w:rPr>
        <w:t>六</w:t>
      </w:r>
      <w:r>
        <w:rPr>
          <w:rFonts w:eastAsia="方正黑体简体"/>
          <w:sz w:val="32"/>
          <w:szCs w:val="32"/>
        </w:rPr>
        <w:t>、</w:t>
      </w:r>
      <w:r>
        <w:rPr>
          <w:rFonts w:hint="eastAsia" w:eastAsia="方正黑体简体"/>
          <w:sz w:val="32"/>
          <w:szCs w:val="32"/>
        </w:rPr>
        <w:t>“</w:t>
      </w:r>
      <w:r>
        <w:rPr>
          <w:rFonts w:eastAsia="方正黑体简体"/>
          <w:sz w:val="32"/>
          <w:szCs w:val="32"/>
        </w:rPr>
        <w:t>三公</w:t>
      </w:r>
      <w:r>
        <w:rPr>
          <w:rFonts w:hint="eastAsia" w:eastAsia="方正黑体简体"/>
          <w:sz w:val="32"/>
          <w:szCs w:val="32"/>
        </w:rPr>
        <w:t>”</w:t>
      </w:r>
      <w:r>
        <w:rPr>
          <w:rFonts w:eastAsia="方正黑体简体"/>
          <w:sz w:val="32"/>
          <w:szCs w:val="32"/>
        </w:rPr>
        <w:t>经费财政拨款预算安排情况</w:t>
      </w:r>
      <w:r>
        <w:rPr>
          <w:rFonts w:hint="eastAsia" w:eastAsia="方正黑体简体"/>
          <w:sz w:val="32"/>
          <w:szCs w:val="32"/>
        </w:rPr>
        <w:t>说明</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乐至县文化广播电视和旅游局2023年“三公”经费财政拨款预算数5.5万元，其中：公务接待费3万元，公务用车购置及运行维护费2.5万元。</w:t>
      </w:r>
    </w:p>
    <w:p>
      <w:pPr>
        <w:spacing w:line="580" w:lineRule="exact"/>
        <w:ind w:firstLine="643" w:firstLineChars="200"/>
        <w:rPr>
          <w:rFonts w:hint="eastAsia" w:eastAsia="方正楷体简体"/>
          <w:sz w:val="32"/>
          <w:szCs w:val="32"/>
          <w:lang w:val="en-US" w:eastAsia="zh-CN"/>
        </w:rPr>
      </w:pPr>
      <w:r>
        <w:rPr>
          <w:rFonts w:eastAsia="方正楷体简体"/>
          <w:b/>
          <w:sz w:val="32"/>
          <w:szCs w:val="32"/>
        </w:rPr>
        <w:t>（一）</w:t>
      </w:r>
      <w:r>
        <w:rPr>
          <w:rFonts w:hint="eastAsia" w:eastAsia="方正楷体简体"/>
          <w:b/>
          <w:sz w:val="32"/>
          <w:szCs w:val="32"/>
          <w:lang w:val="en-US" w:eastAsia="zh-CN"/>
        </w:rPr>
        <w:t>2023年无</w:t>
      </w:r>
      <w:r>
        <w:rPr>
          <w:rFonts w:eastAsia="方正楷体简体"/>
          <w:b/>
          <w:sz w:val="32"/>
          <w:szCs w:val="32"/>
        </w:rPr>
        <w:t>因公出国（境）经费</w:t>
      </w:r>
      <w:r>
        <w:rPr>
          <w:rFonts w:hint="eastAsia" w:eastAsia="方正楷体简体"/>
          <w:b/>
          <w:sz w:val="32"/>
          <w:szCs w:val="32"/>
          <w:lang w:val="en-US" w:eastAsia="zh-CN"/>
        </w:rPr>
        <w:t>预算。</w:t>
      </w:r>
    </w:p>
    <w:p>
      <w:pPr>
        <w:spacing w:line="580" w:lineRule="exact"/>
        <w:ind w:firstLine="643" w:firstLineChars="200"/>
        <w:rPr>
          <w:rFonts w:hint="eastAsia" w:eastAsia="方正楷体简体"/>
          <w:b/>
          <w:sz w:val="32"/>
          <w:szCs w:val="32"/>
        </w:rPr>
      </w:pPr>
      <w:r>
        <w:rPr>
          <w:rFonts w:eastAsia="方正楷体简体"/>
          <w:b/>
          <w:sz w:val="32"/>
          <w:szCs w:val="32"/>
        </w:rPr>
        <w:t>（二）公务接待费较20</w:t>
      </w:r>
      <w:r>
        <w:rPr>
          <w:rFonts w:hint="eastAsia" w:eastAsia="方正楷体简体"/>
          <w:b/>
          <w:sz w:val="32"/>
          <w:szCs w:val="32"/>
        </w:rPr>
        <w:t>2</w:t>
      </w:r>
      <w:r>
        <w:rPr>
          <w:rFonts w:hint="eastAsia" w:eastAsia="方正楷体简体"/>
          <w:b/>
          <w:sz w:val="32"/>
          <w:szCs w:val="32"/>
          <w:lang w:val="en-US" w:eastAsia="zh-CN"/>
        </w:rPr>
        <w:t>3</w:t>
      </w:r>
      <w:r>
        <w:rPr>
          <w:rFonts w:eastAsia="方正楷体简体"/>
          <w:b/>
          <w:sz w:val="32"/>
          <w:szCs w:val="32"/>
        </w:rPr>
        <w:t>年预算</w:t>
      </w:r>
      <w:r>
        <w:rPr>
          <w:rFonts w:hint="eastAsia" w:eastAsia="方正楷体简体"/>
          <w:b/>
          <w:sz w:val="32"/>
          <w:szCs w:val="32"/>
          <w:lang w:eastAsia="zh-CN"/>
        </w:rPr>
        <w:t>持平</w:t>
      </w:r>
      <w:r>
        <w:rPr>
          <w:rFonts w:eastAsia="方正楷体简体"/>
          <w:b/>
          <w:sz w:val="32"/>
          <w:szCs w:val="32"/>
        </w:rPr>
        <w:t>。</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2023年公务接待费计划用于省、市领导调研、指导文化旅游工作接待，兄弟县区工作交流接待等。 </w:t>
      </w:r>
    </w:p>
    <w:p>
      <w:pPr>
        <w:spacing w:line="580" w:lineRule="exact"/>
        <w:ind w:firstLine="643" w:firstLineChars="200"/>
        <w:rPr>
          <w:rFonts w:eastAsia="方正楷体简体"/>
          <w:b/>
          <w:sz w:val="32"/>
          <w:szCs w:val="32"/>
        </w:rPr>
      </w:pPr>
      <w:r>
        <w:rPr>
          <w:rFonts w:eastAsia="方正楷体简体"/>
          <w:b/>
          <w:sz w:val="32"/>
          <w:szCs w:val="32"/>
        </w:rPr>
        <w:t>（三）</w:t>
      </w:r>
      <w:r>
        <w:rPr>
          <w:rFonts w:hint="eastAsia" w:eastAsia="方正楷体简体"/>
          <w:b/>
          <w:sz w:val="32"/>
          <w:szCs w:val="32"/>
        </w:rPr>
        <w:t>公务用车购置及运行维护费较202</w:t>
      </w:r>
      <w:r>
        <w:rPr>
          <w:rFonts w:hint="eastAsia" w:eastAsia="方正楷体简体"/>
          <w:b/>
          <w:sz w:val="32"/>
          <w:szCs w:val="32"/>
          <w:lang w:val="en-US" w:eastAsia="zh-CN"/>
        </w:rPr>
        <w:t>2</w:t>
      </w:r>
      <w:r>
        <w:rPr>
          <w:rFonts w:hint="eastAsia" w:eastAsia="方正楷体简体"/>
          <w:b/>
          <w:sz w:val="32"/>
          <w:szCs w:val="32"/>
        </w:rPr>
        <w:t>年预算</w:t>
      </w:r>
      <w:r>
        <w:rPr>
          <w:rFonts w:hint="eastAsia" w:eastAsia="方正楷体简体"/>
          <w:b/>
          <w:sz w:val="32"/>
          <w:szCs w:val="32"/>
          <w:lang w:val="en-US" w:eastAsia="zh-CN"/>
        </w:rPr>
        <w:t>持平</w:t>
      </w:r>
      <w:r>
        <w:rPr>
          <w:rFonts w:hint="eastAsia" w:eastAsia="方正楷体简体"/>
          <w:b/>
          <w:sz w:val="32"/>
          <w:szCs w:val="32"/>
        </w:rPr>
        <w:t>。</w:t>
      </w:r>
    </w:p>
    <w:p>
      <w:pPr>
        <w:spacing w:line="580" w:lineRule="exact"/>
        <w:ind w:firstLine="640" w:firstLineChars="200"/>
        <w:rPr>
          <w:rFonts w:eastAsia="方正仿宋简体"/>
          <w:sz w:val="32"/>
          <w:szCs w:val="32"/>
        </w:rPr>
      </w:pPr>
      <w:r>
        <w:rPr>
          <w:rFonts w:eastAsia="方正仿宋简体"/>
          <w:sz w:val="32"/>
          <w:szCs w:val="32"/>
        </w:rPr>
        <w:t>单位有公务用车</w:t>
      </w:r>
      <w:r>
        <w:rPr>
          <w:rFonts w:hint="eastAsia" w:eastAsia="方正仿宋简体"/>
          <w:sz w:val="32"/>
          <w:szCs w:val="32"/>
          <w:lang w:val="en-US" w:eastAsia="zh-CN"/>
        </w:rPr>
        <w:t>1</w:t>
      </w:r>
      <w:r>
        <w:rPr>
          <w:rFonts w:eastAsia="方正仿宋简体"/>
          <w:sz w:val="32"/>
          <w:szCs w:val="32"/>
        </w:rPr>
        <w:t>辆，其中：轿车</w:t>
      </w:r>
      <w:r>
        <w:rPr>
          <w:rFonts w:hint="eastAsia" w:eastAsia="方正仿宋简体"/>
          <w:sz w:val="32"/>
          <w:szCs w:val="32"/>
          <w:lang w:val="en-US" w:eastAsia="zh-CN"/>
        </w:rPr>
        <w:t>1</w:t>
      </w:r>
      <w:r>
        <w:rPr>
          <w:rFonts w:eastAsia="方正仿宋简体"/>
          <w:sz w:val="32"/>
          <w:szCs w:val="32"/>
        </w:rPr>
        <w:t>辆。</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公务用车运行维护费2.5万元，较2022年预算持平。用于1辆公务用车燃油、维修、保险等方面支出。</w:t>
      </w:r>
    </w:p>
    <w:p>
      <w:pPr>
        <w:spacing w:line="580" w:lineRule="exact"/>
        <w:ind w:firstLine="640" w:firstLineChars="200"/>
        <w:rPr>
          <w:rFonts w:hint="eastAsia" w:eastAsia="方正黑体简体"/>
          <w:sz w:val="32"/>
          <w:szCs w:val="32"/>
        </w:rPr>
      </w:pPr>
      <w:r>
        <w:rPr>
          <w:rFonts w:hint="eastAsia" w:eastAsia="方正黑体简体"/>
          <w:sz w:val="32"/>
          <w:szCs w:val="32"/>
        </w:rPr>
        <w:t>七、政府性基金预算支出情况说明</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乐至县文化广播电视和旅游局2023年没有使用政府性基金预算拨款安排的支出。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八、国有资本经营预算支出情况说明</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乐至县文化广播电视和旅游局2023年没有使用国有资本经营预算拨款安排的支出。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九、其他重要事项的情况说明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（一）机关运行经费</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乐至县文化广播电视和旅游局2023年机关运行经费财政拨款预算为84.52万元，比2022年预算减少1.41万元，下降1.64%。</w:t>
      </w:r>
    </w:p>
    <w:p>
      <w:pPr>
        <w:spacing w:line="580" w:lineRule="exact"/>
        <w:ind w:firstLine="643" w:firstLineChars="200"/>
        <w:rPr>
          <w:rFonts w:hint="eastAsia" w:eastAsia="方正楷体简体"/>
          <w:b/>
          <w:sz w:val="32"/>
          <w:szCs w:val="32"/>
        </w:rPr>
      </w:pPr>
      <w:r>
        <w:rPr>
          <w:rFonts w:hint="eastAsia" w:eastAsia="方正楷体简体"/>
          <w:b/>
          <w:sz w:val="32"/>
          <w:szCs w:val="32"/>
        </w:rPr>
        <w:t>（二）政府采购情况</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2023年，乐至县文化广播电视和旅游局无政府采购项目，未安排政府采购预算。</w:t>
      </w:r>
    </w:p>
    <w:p>
      <w:pPr>
        <w:spacing w:line="580" w:lineRule="exact"/>
        <w:ind w:firstLine="643" w:firstLineChars="200"/>
        <w:rPr>
          <w:rFonts w:hint="eastAsia" w:eastAsia="方正楷体简体"/>
          <w:b/>
          <w:sz w:val="32"/>
          <w:szCs w:val="32"/>
        </w:rPr>
      </w:pPr>
      <w:r>
        <w:rPr>
          <w:rFonts w:hint="eastAsia" w:eastAsia="方正楷体简体"/>
          <w:b/>
          <w:sz w:val="32"/>
          <w:szCs w:val="32"/>
        </w:rPr>
        <w:t>（三）国有资产占有使用情况</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截至2022年底，乐至县文化广播电视和旅游局无车辆，无价值100万元以上大型设备。</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2023年单位预算未安排购置车辆及单位价值100万元以上大型设备。</w:t>
      </w:r>
    </w:p>
    <w:p>
      <w:pPr>
        <w:spacing w:line="580" w:lineRule="exact"/>
        <w:ind w:firstLine="643" w:firstLineChars="200"/>
        <w:rPr>
          <w:rFonts w:hint="eastAsia" w:eastAsia="方正楷体简体"/>
          <w:b/>
          <w:sz w:val="32"/>
          <w:szCs w:val="32"/>
        </w:rPr>
      </w:pPr>
      <w:r>
        <w:rPr>
          <w:rFonts w:hint="eastAsia" w:eastAsia="方正楷体简体"/>
          <w:b/>
          <w:sz w:val="32"/>
          <w:szCs w:val="32"/>
        </w:rPr>
        <w:t>（四）绩效目标设置情况</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绩效目标是预算编制的前提和基础，按照“费随事定”的原则，2023年乐至县文化广播电视和旅游局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spacing w:line="580" w:lineRule="exact"/>
        <w:ind w:firstLine="640" w:firstLineChars="200"/>
        <w:rPr>
          <w:rFonts w:hint="eastAsia" w:eastAsia="方正黑体简体"/>
          <w:sz w:val="32"/>
          <w:szCs w:val="32"/>
        </w:rPr>
      </w:pPr>
      <w:r>
        <w:rPr>
          <w:rFonts w:hint="eastAsia" w:eastAsia="方正黑体简体"/>
          <w:sz w:val="32"/>
          <w:szCs w:val="32"/>
        </w:rPr>
        <w:t>十、名词解释</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（一）一般公共预算拨款收入：指县级财政当年拨付的资金。</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（二）上年结转：指以前年度尚未完成，结转到本年仍按原规定用途继续使用的资金。</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（三）文化旅游体育与传媒（类）文化和旅游（款）行政运行（项）：指局机关及参公管理事业单位用于保障机构正常运行、开展日常工作的基本支出。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（四）文化旅游体育与传媒（类）文化和旅游（款）机关服务（项）：指文物管理所、文学艺术创作室用于保障机构正常运行、开展日常工作的基本支出。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（五）文化旅游体育与传媒（类）文化和旅游（款）群众文化（项）：指保障21个乡镇继续使用的26个文化站（中心）免费开放的项目支出。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（六）文化旅游体育与传媒（类）文物（款）文物保护（项）：指文物管理所在县域内挖掘、保护国家级、省级、市级及县级文物的项目支出。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（七）文化旅游体育与传媒（类）广播电视（款）其他广播电视支出（项）：指县域内广播电视户户通运行维护的项目支出。</w:t>
      </w:r>
    </w:p>
    <w:p>
      <w:pPr>
        <w:pStyle w:val="2"/>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（八）文化旅游体育与传媒（类）其他文化旅游体育与传</w:t>
      </w:r>
    </w:p>
    <w:p>
      <w:pPr>
        <w:pStyle w:val="2"/>
        <w:ind w:left="0" w:leftChars="0" w:firstLine="0" w:firstLineChars="0"/>
        <w:rPr>
          <w:rFonts w:hint="eastAsia"/>
          <w:lang w:val="en-US" w:eastAsia="zh-CN"/>
        </w:rPr>
      </w:pPr>
      <w:r>
        <w:rPr>
          <w:rFonts w:hint="eastAsia" w:ascii="仿宋_GB2312" w:hAnsi="仿宋" w:eastAsia="仿宋_GB2312"/>
          <w:sz w:val="32"/>
          <w:szCs w:val="32"/>
          <w:lang w:val="en-US" w:eastAsia="zh-CN"/>
        </w:rPr>
        <w:t>媒支出（款）其他文化旅游体育与传媒支出（项）：指我县公共文化服务体系项目支出。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（九）社会保障和就业（类）行政事业单位养老支出（款）机关事业单位基本养老保险缴费支出（项）：指单位实施养老保险制度由单位缴纳的养老保险费的支出。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（十）卫生健康（类）行政事业单位医疗（款）行政单位医疗（项）：指局机关及参公管理事业单位用于单位应缴纳基本医疗保险支出。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（十一）卫生健康（类）行政事业单位医疗（款）事业单位医疗（项）：指事业单位用于单位应缴纳基本医疗保险支出。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（十二）卫生健康（类）行政事业单位医疗（款）公务员医疗补助（项）：指局机关及参公管理事业单位用于集中缴纳公务员医疗补助支出。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（十三）基本支出：指为保证机构正常运转，完成日常工作任务而发生的人员支出和公用支出。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（十四）项目支出：指在基本支出之外为完成特定行政任务和事业发展目标所发生的支出。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十五）“三公”经费：纳入财政局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十六）机关运行经费：为保障行政事业单位（包括参照公务员法管理的事业单位、全额拨款事业单位）运行用于购买货物和服务的各项资金，包括办公及印刷费、邮电费、差旅费、会议费、培训费、福利费、日常维修费、专用材料及一般设备购置费、办公用房水电费、公务用车运行维护费以及其他费用。</w:t>
      </w:r>
    </w:p>
    <w:p>
      <w:pPr>
        <w:spacing w:line="580" w:lineRule="exact"/>
        <w:ind w:firstLine="640" w:firstLineChars="200"/>
        <w:rPr>
          <w:rFonts w:hint="eastAsia" w:ascii="仿宋_GB2312" w:hAnsi="仿宋" w:eastAsia="仿宋_GB2312"/>
          <w:sz w:val="32"/>
          <w:szCs w:val="32"/>
          <w:lang w:val="en-US" w:eastAsia="zh-CN"/>
        </w:rPr>
      </w:pP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附件：</w:t>
      </w:r>
    </w:p>
    <w:p>
      <w:pPr>
        <w:spacing w:line="58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1.2023年部门预算公开表</w:t>
      </w:r>
    </w:p>
    <w:p>
      <w:pPr>
        <w:pStyle w:val="2"/>
        <w:rPr>
          <w:rFonts w:hint="default"/>
          <w:lang w:val="en-US" w:eastAsia="zh-CN"/>
        </w:rPr>
      </w:pPr>
      <w:r>
        <w:rPr>
          <w:rFonts w:hint="eastAsia" w:ascii="仿宋_GB2312" w:hAnsi="仿宋" w:eastAsia="仿宋_GB2312"/>
          <w:sz w:val="32"/>
          <w:szCs w:val="32"/>
          <w:lang w:val="en-US" w:eastAsia="zh-CN"/>
        </w:rPr>
        <w:t xml:space="preserve">  2.乐至县文化广播电视和旅游局2023年度部门整体目标填报表</w:t>
      </w:r>
    </w:p>
    <w:p>
      <w:pPr>
        <w:pStyle w:val="2"/>
        <w:rPr>
          <w:rFonts w:hint="eastAsia"/>
          <w:lang w:val="en-US" w:eastAsia="zh-CN"/>
        </w:rPr>
      </w:pPr>
    </w:p>
    <w:p>
      <w:pPr>
        <w:spacing w:line="620" w:lineRule="exact"/>
        <w:rPr>
          <w:rFonts w:hint="eastAsia" w:eastAsia="仿宋_GB2312"/>
          <w:sz w:val="32"/>
          <w:szCs w:val="32"/>
        </w:rPr>
      </w:pPr>
    </w:p>
    <w:p>
      <w:pPr>
        <w:widowControl/>
        <w:tabs>
          <w:tab w:val="left" w:pos="1110"/>
          <w:tab w:val="left" w:pos="2204"/>
          <w:tab w:val="left" w:pos="3083"/>
          <w:tab w:val="left" w:pos="4136"/>
          <w:tab w:val="left" w:pos="5105"/>
          <w:tab w:val="left" w:pos="6010"/>
          <w:tab w:val="left" w:pos="6889"/>
          <w:tab w:val="left" w:pos="7809"/>
          <w:tab w:val="left" w:pos="8829"/>
        </w:tabs>
        <w:spacing w:line="160" w:lineRule="exact"/>
        <w:jc w:val="left"/>
        <w:rPr>
          <w:rFonts w:hint="eastAsia" w:eastAsia="新宋体" w:cs="宋体"/>
          <w:bCs/>
          <w:color w:val="000000"/>
          <w:kern w:val="0"/>
          <w:szCs w:val="21"/>
        </w:rPr>
      </w:pPr>
    </w:p>
    <w:p/>
    <w:sectPr>
      <w:pgSz w:w="11906" w:h="16838"/>
      <w:pgMar w:top="1440" w:right="1800" w:bottom="173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黑体简体">
    <w:altName w:val="微软雅黑"/>
    <w:panose1 w:val="02010601030101010101"/>
    <w:charset w:val="86"/>
    <w:family w:val="auto"/>
    <w:pitch w:val="default"/>
    <w:sig w:usb0="00000000" w:usb1="00000000" w:usb2="00000010" w:usb3="00000000" w:csb0="00040000" w:csb1="00000000"/>
  </w:font>
  <w:font w:name="方正仿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方正楷体简体">
    <w:altName w:val="宋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065BF"/>
    <w:rsid w:val="057E39E7"/>
    <w:rsid w:val="071413D3"/>
    <w:rsid w:val="0734514D"/>
    <w:rsid w:val="08E2554D"/>
    <w:rsid w:val="0B603375"/>
    <w:rsid w:val="1C9E5710"/>
    <w:rsid w:val="1E7A175E"/>
    <w:rsid w:val="1F435FAE"/>
    <w:rsid w:val="24195061"/>
    <w:rsid w:val="2E861675"/>
    <w:rsid w:val="307D66FF"/>
    <w:rsid w:val="32F66D5D"/>
    <w:rsid w:val="353D1472"/>
    <w:rsid w:val="38185822"/>
    <w:rsid w:val="3C146276"/>
    <w:rsid w:val="3E8C7A2C"/>
    <w:rsid w:val="43577BE6"/>
    <w:rsid w:val="44A67C9E"/>
    <w:rsid w:val="536913F0"/>
    <w:rsid w:val="56A0705C"/>
    <w:rsid w:val="5D81200A"/>
    <w:rsid w:val="644E6D46"/>
    <w:rsid w:val="651D4A1D"/>
    <w:rsid w:val="67362A8F"/>
    <w:rsid w:val="68C9301A"/>
    <w:rsid w:val="699E2534"/>
    <w:rsid w:val="6D7C78CF"/>
    <w:rsid w:val="6E6C09B6"/>
    <w:rsid w:val="723A112B"/>
    <w:rsid w:val="781205A0"/>
    <w:rsid w:val="78C17453"/>
    <w:rsid w:val="791065BF"/>
    <w:rsid w:val="7C124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图表目录1"/>
    <w:basedOn w:val="3"/>
    <w:next w:val="1"/>
    <w:qFormat/>
    <w:uiPriority w:val="0"/>
    <w:pPr>
      <w:widowControl/>
      <w:ind w:left="200" w:leftChars="200" w:hanging="200" w:hangingChars="200"/>
    </w:pPr>
    <w:rPr>
      <w:rFonts w:ascii="等线" w:hAnsi="等线" w:eastAsia="等线" w:cs="等线"/>
      <w:kern w:val="0"/>
      <w:szCs w:val="21"/>
    </w:rPr>
  </w:style>
  <w:style w:type="paragraph" w:customStyle="1" w:styleId="3">
    <w:name w:val="Normal New"/>
    <w:unhideWhenUsed/>
    <w:qFormat/>
    <w:uiPriority w:val="99"/>
    <w:pPr>
      <w:widowControl w:val="0"/>
      <w:jc w:val="both"/>
    </w:pPr>
    <w:rPr>
      <w:rFonts w:hint="eastAsia" w:ascii="Calibri" w:hAnsi="Calibri" w:eastAsia="宋体" w:cs="Times New Roman"/>
      <w:kern w:val="2"/>
      <w:sz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character" w:styleId="7">
    <w:name w:val="page number"/>
    <w:basedOn w:val="6"/>
    <w:qFormat/>
    <w:uiPriority w:val="0"/>
  </w:style>
  <w:style w:type="paragraph" w:customStyle="1" w:styleId="8">
    <w:name w:val="章标题"/>
    <w:basedOn w:val="1"/>
    <w:next w:val="9"/>
    <w:qFormat/>
    <w:uiPriority w:val="0"/>
    <w:pPr>
      <w:widowControl/>
      <w:spacing w:before="158" w:after="153" w:line="323" w:lineRule="atLeast"/>
      <w:ind w:right="-120"/>
      <w:jc w:val="center"/>
      <w:textAlignment w:val="baseline"/>
    </w:pPr>
    <w:rPr>
      <w:color w:val="FF0000"/>
      <w:sz w:val="18"/>
    </w:rPr>
  </w:style>
  <w:style w:type="paragraph" w:customStyle="1" w:styleId="9">
    <w:name w:val="节标题"/>
    <w:basedOn w:val="1"/>
    <w:next w:val="1"/>
    <w:qFormat/>
    <w:uiPriority w:val="0"/>
    <w:pPr>
      <w:widowControl/>
      <w:spacing w:line="289" w:lineRule="atLeast"/>
      <w:jc w:val="center"/>
      <w:textAlignment w:val="baseline"/>
    </w:pPr>
    <w:rPr>
      <w:color w:val="00000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2022-01-17T11:04:00Z</dcterms:created>
  <dc:creator>JSR</dc:creator>
  <cp:lastModifiedBy>Administrator</cp:lastModifiedBy>
  <dcterms:modified xsi:type="dcterms:W3CDTF">2023-03-29T07:07:02Z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B42B6BAB1E774AF4BA1A5A092D33C08F</vt:lpwstr>
  </property>
</Properties>
</file>