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sz w:val="72"/>
          <w:szCs w:val="72"/>
        </w:rPr>
      </w:pPr>
      <w:bookmarkStart w:id="0" w:name="_Toc15377193"/>
      <w:bookmarkStart w:id="1" w:name="_Toc15396597"/>
      <w:bookmarkStart w:id="2" w:name="_Toc15396475"/>
      <w:bookmarkStart w:id="3" w:name="_Toc15377425"/>
      <w:bookmarkStart w:id="4" w:name="_Toc15378441"/>
      <w:bookmarkStart w:id="5" w:name="_Toc15306267"/>
    </w:p>
    <w:p>
      <w:pPr>
        <w:spacing w:line="600" w:lineRule="exact"/>
        <w:jc w:val="center"/>
        <w:outlineLvl w:val="0"/>
        <w:rPr>
          <w:rFonts w:ascii="方正小标宋简体" w:hAnsi="宋体" w:eastAsia="方正小标宋简体"/>
          <w:sz w:val="72"/>
          <w:szCs w:val="72"/>
        </w:rPr>
      </w:pPr>
    </w:p>
    <w:p>
      <w:pPr>
        <w:spacing w:line="600" w:lineRule="exact"/>
        <w:jc w:val="center"/>
        <w:outlineLvl w:val="0"/>
        <w:rPr>
          <w:rFonts w:ascii="方正小标宋简体" w:hAnsi="宋体" w:eastAsia="方正小标宋简体"/>
          <w:sz w:val="72"/>
          <w:szCs w:val="72"/>
        </w:rPr>
      </w:pPr>
    </w:p>
    <w:p>
      <w:pPr>
        <w:adjustRightInd w:val="0"/>
        <w:snapToGrid w:val="0"/>
        <w:spacing w:line="360" w:lineRule="auto"/>
        <w:jc w:val="center"/>
        <w:outlineLvl w:val="0"/>
        <w:rPr>
          <w:rFonts w:ascii="方正小标宋简体" w:hAnsi="方正小标宋简体" w:eastAsia="方正小标宋简体" w:cs="方正小标宋简体"/>
          <w:sz w:val="72"/>
          <w:szCs w:val="72"/>
        </w:rPr>
      </w:pPr>
      <w:r>
        <w:rPr>
          <w:rFonts w:hint="eastAsia" w:ascii="方正小标宋简体" w:hAnsi="方正小标宋简体" w:eastAsia="方正小标宋简体" w:cs="方正小标宋简体"/>
          <w:sz w:val="72"/>
          <w:szCs w:val="72"/>
        </w:rPr>
        <w:t>2022年度</w:t>
      </w:r>
      <w:bookmarkEnd w:id="0"/>
      <w:bookmarkEnd w:id="1"/>
      <w:bookmarkEnd w:id="2"/>
      <w:bookmarkEnd w:id="3"/>
      <w:bookmarkEnd w:id="4"/>
    </w:p>
    <w:p>
      <w:pPr>
        <w:adjustRightInd w:val="0"/>
        <w:snapToGrid w:val="0"/>
        <w:spacing w:line="360" w:lineRule="auto"/>
        <w:jc w:val="center"/>
        <w:outlineLvl w:val="0"/>
        <w:rPr>
          <w:rFonts w:ascii="黑体" w:hAnsi="黑体" w:eastAsia="黑体"/>
          <w:sz w:val="48"/>
          <w:szCs w:val="48"/>
        </w:rPr>
      </w:pPr>
      <w:bookmarkStart w:id="6" w:name="_Toc15378442"/>
      <w:bookmarkStart w:id="7" w:name="_Toc15377194"/>
      <w:bookmarkStart w:id="8" w:name="_Toc15396476"/>
      <w:bookmarkStart w:id="9" w:name="_Toc15377426"/>
      <w:bookmarkStart w:id="10" w:name="_Toc15396598"/>
      <w:r>
        <w:rPr>
          <w:rFonts w:hint="eastAsia" w:ascii="方正小标宋简体" w:hAnsi="方正小标宋简体" w:eastAsia="方正小标宋简体" w:cs="方正小标宋简体"/>
          <w:sz w:val="72"/>
          <w:szCs w:val="72"/>
        </w:rPr>
        <w:t>四川省</w:t>
      </w:r>
      <w:bookmarkEnd w:id="5"/>
      <w:bookmarkStart w:id="11" w:name="_Toc15306268"/>
      <w:r>
        <w:rPr>
          <w:rFonts w:hint="eastAsia" w:ascii="方正小标宋简体" w:hAnsi="方正小标宋简体" w:eastAsia="方正小标宋简体" w:cs="方正小标宋简体"/>
          <w:sz w:val="72"/>
          <w:szCs w:val="72"/>
          <w:lang w:eastAsia="zh-CN"/>
        </w:rPr>
        <w:t>乐至县童家镇人民政府</w:t>
      </w:r>
      <w:r>
        <w:rPr>
          <w:rFonts w:hint="eastAsia" w:ascii="方正小标宋简体" w:hAnsi="方正小标宋简体" w:eastAsia="方正小标宋简体" w:cs="方正小标宋简体"/>
          <w:sz w:val="72"/>
          <w:szCs w:val="72"/>
        </w:rPr>
        <w:t>部门决算</w:t>
      </w:r>
      <w:bookmarkEnd w:id="6"/>
      <w:bookmarkEnd w:id="7"/>
      <w:bookmarkEnd w:id="8"/>
      <w:bookmarkEnd w:id="9"/>
      <w:bookmarkEnd w:id="10"/>
      <w:bookmarkEnd w:id="11"/>
      <w:r>
        <w:rPr>
          <w:rFonts w:ascii="方正小标宋简体" w:hAnsi="宋体" w:eastAsia="方正小标宋简体"/>
          <w:sz w:val="36"/>
          <w:szCs w:val="36"/>
        </w:rPr>
        <w:br w:type="page"/>
      </w:r>
      <w:r>
        <w:rPr>
          <w:rFonts w:hint="eastAsia" w:ascii="黑体" w:hAnsi="黑体" w:eastAsia="黑体"/>
          <w:sz w:val="48"/>
          <w:szCs w:val="48"/>
        </w:rPr>
        <w:t>目录</w:t>
      </w:r>
    </w:p>
    <w:p>
      <w:pPr>
        <w:widowControl/>
        <w:jc w:val="center"/>
        <w:rPr>
          <w:rFonts w:ascii="黑体" w:hAnsi="黑体" w:eastAsia="黑体" w:cstheme="minorBidi"/>
          <w:sz w:val="28"/>
          <w:szCs w:val="28"/>
        </w:rPr>
      </w:pPr>
    </w:p>
    <w:p>
      <w:pPr>
        <w:pStyle w:val="14"/>
      </w:pPr>
      <w:r>
        <w:rPr>
          <w:rFonts w:hint="eastAsia"/>
        </w:rPr>
        <w:t>公开时间：2023年</w:t>
      </w:r>
      <w:r>
        <w:t xml:space="preserve"> </w:t>
      </w:r>
      <w:r>
        <w:rPr>
          <w:rFonts w:hint="eastAsia"/>
          <w:lang w:val="en-US" w:eastAsia="zh-CN"/>
        </w:rPr>
        <w:t>10</w:t>
      </w:r>
      <w:r>
        <w:rPr>
          <w:rFonts w:hint="eastAsia"/>
        </w:rPr>
        <w:t>月</w:t>
      </w:r>
      <w:r>
        <w:t xml:space="preserve"> </w:t>
      </w:r>
      <w:r>
        <w:rPr>
          <w:rFonts w:hint="eastAsia"/>
          <w:lang w:val="en-US" w:eastAsia="zh-CN"/>
        </w:rPr>
        <w:t>19</w:t>
      </w:r>
      <w:bookmarkStart w:id="67" w:name="_GoBack"/>
      <w:bookmarkEnd w:id="67"/>
      <w:r>
        <w:rPr>
          <w:rFonts w:hint="eastAsia"/>
        </w:rPr>
        <w:t>日</w:t>
      </w:r>
    </w:p>
    <w:p/>
    <w:p>
      <w:pPr>
        <w:pStyle w:val="14"/>
        <w:adjustRightInd w:val="0"/>
        <w:snapToGrid w:val="0"/>
        <w:spacing w:before="0" w:line="440" w:lineRule="exact"/>
        <w:jc w:val="left"/>
        <w:rPr>
          <w:rFonts w:cstheme="minorBidi"/>
          <w:sz w:val="24"/>
          <w:szCs w:val="24"/>
        </w:rPr>
      </w:pPr>
      <w:r>
        <w:rPr>
          <w:rFonts w:hint="eastAsia"/>
          <w:sz w:val="24"/>
        </w:rPr>
        <w:t>第一部分</w:t>
      </w:r>
      <w:r>
        <w:rPr>
          <w:sz w:val="24"/>
        </w:rPr>
        <w:t xml:space="preserve"> </w:t>
      </w:r>
      <w:r>
        <w:rPr>
          <w:rFonts w:hint="eastAsia"/>
          <w:sz w:val="24"/>
        </w:rPr>
        <w:t>部门概况</w:t>
      </w:r>
    </w:p>
    <w:p>
      <w:pPr>
        <w:pStyle w:val="15"/>
        <w:adjustRightInd w:val="0"/>
        <w:snapToGrid w:val="0"/>
        <w:spacing w:line="440" w:lineRule="exact"/>
        <w:jc w:val="left"/>
        <w:rPr>
          <w:rFonts w:ascii="仿宋" w:hAnsi="仿宋" w:eastAsia="仿宋"/>
          <w:sz w:val="24"/>
        </w:rPr>
      </w:pPr>
      <w:r>
        <w:rPr>
          <w:rFonts w:hint="eastAsia"/>
          <w:sz w:val="24"/>
        </w:rPr>
        <w:t>一、部门职责</w:t>
      </w:r>
    </w:p>
    <w:p>
      <w:pPr>
        <w:pStyle w:val="15"/>
        <w:adjustRightInd w:val="0"/>
        <w:snapToGrid w:val="0"/>
        <w:spacing w:line="440" w:lineRule="exact"/>
        <w:jc w:val="left"/>
        <w:rPr>
          <w:rFonts w:ascii="仿宋" w:hAnsi="仿宋" w:eastAsia="仿宋" w:cstheme="minorBidi"/>
          <w:sz w:val="24"/>
        </w:rPr>
      </w:pPr>
      <w:r>
        <w:rPr>
          <w:rFonts w:hint="eastAsia"/>
          <w:sz w:val="24"/>
        </w:rPr>
        <w:t>二、机构设置</w:t>
      </w:r>
    </w:p>
    <w:p>
      <w:pPr>
        <w:pStyle w:val="14"/>
        <w:adjustRightInd w:val="0"/>
        <w:snapToGrid w:val="0"/>
        <w:spacing w:before="0" w:line="440" w:lineRule="exact"/>
        <w:jc w:val="left"/>
        <w:rPr>
          <w:sz w:val="24"/>
          <w:szCs w:val="24"/>
        </w:rPr>
      </w:pPr>
      <w:r>
        <w:rPr>
          <w:rFonts w:hint="eastAsia"/>
          <w:sz w:val="24"/>
        </w:rPr>
        <w:t>第二部分 2022年度部门决算情况说明</w:t>
      </w:r>
    </w:p>
    <w:p>
      <w:pPr>
        <w:pStyle w:val="15"/>
        <w:adjustRightInd w:val="0"/>
        <w:snapToGrid w:val="0"/>
        <w:spacing w:line="440" w:lineRule="exact"/>
        <w:jc w:val="left"/>
        <w:rPr>
          <w:rFonts w:ascii="仿宋" w:hAnsi="仿宋" w:eastAsia="仿宋" w:cstheme="minorBidi"/>
          <w:sz w:val="24"/>
        </w:rPr>
      </w:pPr>
      <w:r>
        <w:rPr>
          <w:rFonts w:hint="eastAsia"/>
          <w:sz w:val="24"/>
        </w:rPr>
        <w:t>一、收入支出决算总体情况说明</w:t>
      </w:r>
    </w:p>
    <w:p>
      <w:pPr>
        <w:pStyle w:val="15"/>
        <w:adjustRightInd w:val="0"/>
        <w:snapToGrid w:val="0"/>
        <w:spacing w:line="440" w:lineRule="exact"/>
        <w:jc w:val="left"/>
        <w:rPr>
          <w:rFonts w:ascii="仿宋" w:hAnsi="仿宋" w:eastAsia="仿宋" w:cstheme="minorBidi"/>
          <w:sz w:val="24"/>
        </w:rPr>
      </w:pPr>
      <w:r>
        <w:rPr>
          <w:rFonts w:hint="eastAsia"/>
          <w:sz w:val="24"/>
        </w:rPr>
        <w:t>二、收入决算情况说明</w:t>
      </w:r>
    </w:p>
    <w:p>
      <w:pPr>
        <w:pStyle w:val="15"/>
        <w:adjustRightInd w:val="0"/>
        <w:snapToGrid w:val="0"/>
        <w:spacing w:line="440" w:lineRule="exact"/>
        <w:jc w:val="left"/>
        <w:rPr>
          <w:rFonts w:ascii="仿宋" w:hAnsi="仿宋" w:eastAsia="仿宋" w:cstheme="minorBidi"/>
          <w:sz w:val="24"/>
        </w:rPr>
      </w:pPr>
      <w:r>
        <w:rPr>
          <w:rFonts w:hint="eastAsia"/>
          <w:sz w:val="24"/>
        </w:rPr>
        <w:t>三、支出决算情况说明</w:t>
      </w:r>
    </w:p>
    <w:p>
      <w:pPr>
        <w:pStyle w:val="15"/>
        <w:adjustRightInd w:val="0"/>
        <w:snapToGrid w:val="0"/>
        <w:spacing w:line="440" w:lineRule="exact"/>
        <w:jc w:val="left"/>
        <w:rPr>
          <w:rFonts w:ascii="仿宋" w:hAnsi="仿宋" w:eastAsia="仿宋" w:cstheme="minorBidi"/>
          <w:sz w:val="24"/>
        </w:rPr>
      </w:pPr>
      <w:r>
        <w:rPr>
          <w:rFonts w:hint="eastAsia"/>
          <w:sz w:val="24"/>
        </w:rPr>
        <w:t>四、财政拨款收入支出决算总体情况说明</w:t>
      </w:r>
    </w:p>
    <w:p>
      <w:pPr>
        <w:pStyle w:val="15"/>
        <w:adjustRightInd w:val="0"/>
        <w:snapToGrid w:val="0"/>
        <w:spacing w:line="440" w:lineRule="exact"/>
        <w:jc w:val="left"/>
        <w:rPr>
          <w:rFonts w:ascii="仿宋" w:hAnsi="仿宋" w:eastAsia="仿宋" w:cstheme="minorBidi"/>
          <w:sz w:val="24"/>
        </w:rPr>
      </w:pPr>
      <w:r>
        <w:rPr>
          <w:rFonts w:hint="eastAsia"/>
          <w:sz w:val="24"/>
        </w:rPr>
        <w:t>五、一般公共预算财政拨款支出决算情况说明</w:t>
      </w:r>
    </w:p>
    <w:p>
      <w:pPr>
        <w:pStyle w:val="15"/>
        <w:adjustRightInd w:val="0"/>
        <w:snapToGrid w:val="0"/>
        <w:spacing w:line="440" w:lineRule="exact"/>
        <w:jc w:val="left"/>
        <w:rPr>
          <w:rFonts w:ascii="仿宋" w:hAnsi="仿宋" w:eastAsia="仿宋" w:cstheme="minorBidi"/>
          <w:sz w:val="24"/>
        </w:rPr>
      </w:pPr>
      <w:r>
        <w:rPr>
          <w:rFonts w:hint="eastAsia"/>
          <w:sz w:val="24"/>
        </w:rPr>
        <w:t>六、一般公共预算财政拨款基本支出决算情况说明</w:t>
      </w:r>
    </w:p>
    <w:p>
      <w:pPr>
        <w:pStyle w:val="15"/>
        <w:adjustRightInd w:val="0"/>
        <w:snapToGrid w:val="0"/>
        <w:spacing w:line="440" w:lineRule="exact"/>
        <w:jc w:val="left"/>
        <w:rPr>
          <w:rFonts w:ascii="仿宋" w:hAnsi="仿宋" w:eastAsia="仿宋" w:cstheme="minorBidi"/>
          <w:sz w:val="24"/>
        </w:rPr>
      </w:pPr>
      <w:r>
        <w:rPr>
          <w:rFonts w:hint="eastAsia"/>
          <w:sz w:val="24"/>
        </w:rPr>
        <w:t>七、财政拨款“三公”经费支出决算情况说明</w:t>
      </w:r>
    </w:p>
    <w:p>
      <w:pPr>
        <w:pStyle w:val="15"/>
        <w:adjustRightInd w:val="0"/>
        <w:snapToGrid w:val="0"/>
        <w:spacing w:line="440" w:lineRule="exact"/>
        <w:jc w:val="left"/>
        <w:rPr>
          <w:rFonts w:ascii="仿宋" w:hAnsi="仿宋" w:eastAsia="仿宋" w:cstheme="minorBidi"/>
          <w:sz w:val="24"/>
        </w:rPr>
      </w:pPr>
      <w:r>
        <w:rPr>
          <w:rFonts w:hint="eastAsia"/>
          <w:sz w:val="24"/>
        </w:rPr>
        <w:t>八、政府性基金预算支出决算情况说明</w:t>
      </w:r>
    </w:p>
    <w:p>
      <w:pPr>
        <w:pStyle w:val="15"/>
        <w:adjustRightInd w:val="0"/>
        <w:snapToGrid w:val="0"/>
        <w:spacing w:line="440" w:lineRule="exact"/>
        <w:ind w:leftChars="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九、国有资本经营预算支出决算情况说明</w:t>
      </w:r>
    </w:p>
    <w:p>
      <w:pPr>
        <w:adjustRightInd w:val="0"/>
        <w:snapToGrid w:val="0"/>
        <w:spacing w:line="440" w:lineRule="exact"/>
        <w:ind w:firstLine="420" w:firstLineChars="175"/>
        <w:jc w:val="left"/>
        <w:rPr>
          <w:rFonts w:asciiTheme="minorEastAsia" w:hAnsiTheme="minorEastAsia" w:eastAsiaTheme="minorEastAsia" w:cstheme="minorEastAsia"/>
          <w:sz w:val="24"/>
        </w:rPr>
      </w:pPr>
      <w:r>
        <w:rPr>
          <w:rStyle w:val="21"/>
          <w:rFonts w:hint="eastAsia" w:asciiTheme="minorEastAsia" w:hAnsiTheme="minorEastAsia" w:eastAsiaTheme="minorEastAsia" w:cstheme="minorEastAsia"/>
          <w:color w:val="auto"/>
          <w:sz w:val="24"/>
          <w:u w:val="none"/>
        </w:rPr>
        <w:t>十、</w:t>
      </w:r>
      <w:r>
        <w:rPr>
          <w:rFonts w:hint="eastAsia" w:asciiTheme="minorEastAsia" w:hAnsiTheme="minorEastAsia" w:eastAsiaTheme="minorEastAsia" w:cstheme="minorEastAsia"/>
          <w:sz w:val="24"/>
        </w:rPr>
        <w:t>其他重要事项的情况说明</w:t>
      </w:r>
      <w:r>
        <w:rPr>
          <w:rFonts w:hint="eastAsia" w:asciiTheme="minorEastAsia" w:hAnsiTheme="minorEastAsia" w:eastAsiaTheme="minorEastAsia" w:cstheme="minorEastAsia"/>
          <w:sz w:val="24"/>
        </w:rPr>
        <w:tab/>
      </w:r>
    </w:p>
    <w:p>
      <w:pPr>
        <w:pStyle w:val="14"/>
        <w:adjustRightInd w:val="0"/>
        <w:snapToGrid w:val="0"/>
        <w:spacing w:before="0" w:line="440" w:lineRule="exact"/>
        <w:jc w:val="left"/>
        <w:rPr>
          <w:rFonts w:cstheme="minorBidi"/>
          <w:sz w:val="24"/>
          <w:szCs w:val="24"/>
        </w:rPr>
      </w:pPr>
      <w:r>
        <w:rPr>
          <w:rFonts w:hint="eastAsia"/>
          <w:sz w:val="24"/>
        </w:rPr>
        <w:t>第三部分</w:t>
      </w:r>
      <w:r>
        <w:rPr>
          <w:sz w:val="24"/>
        </w:rPr>
        <w:t xml:space="preserve"> </w:t>
      </w:r>
      <w:r>
        <w:rPr>
          <w:rFonts w:hint="eastAsia"/>
          <w:sz w:val="24"/>
        </w:rPr>
        <w:t>名词解释</w:t>
      </w:r>
    </w:p>
    <w:p>
      <w:pPr>
        <w:pStyle w:val="14"/>
        <w:adjustRightInd w:val="0"/>
        <w:snapToGrid w:val="0"/>
        <w:spacing w:before="0" w:line="440" w:lineRule="exact"/>
        <w:jc w:val="left"/>
        <w:rPr>
          <w:rFonts w:cstheme="minorBidi"/>
          <w:sz w:val="24"/>
          <w:szCs w:val="24"/>
        </w:rPr>
      </w:pPr>
      <w:r>
        <w:rPr>
          <w:rFonts w:hint="eastAsia"/>
          <w:sz w:val="24"/>
        </w:rPr>
        <w:t>第四部分</w:t>
      </w:r>
      <w:r>
        <w:rPr>
          <w:sz w:val="24"/>
        </w:rPr>
        <w:t xml:space="preserve"> </w:t>
      </w:r>
      <w:r>
        <w:rPr>
          <w:rFonts w:hint="eastAsia"/>
          <w:sz w:val="24"/>
        </w:rPr>
        <w:t>附件</w:t>
      </w:r>
    </w:p>
    <w:p>
      <w:pPr>
        <w:pStyle w:val="14"/>
        <w:adjustRightInd w:val="0"/>
        <w:snapToGrid w:val="0"/>
        <w:spacing w:before="0" w:line="440" w:lineRule="exact"/>
        <w:jc w:val="left"/>
        <w:rPr>
          <w:rFonts w:cstheme="minorBidi"/>
          <w:sz w:val="24"/>
          <w:szCs w:val="24"/>
        </w:rPr>
      </w:pPr>
      <w:r>
        <w:rPr>
          <w:rFonts w:hint="eastAsia"/>
          <w:sz w:val="24"/>
        </w:rPr>
        <w:t>第五部分</w:t>
      </w:r>
      <w:r>
        <w:rPr>
          <w:sz w:val="24"/>
        </w:rPr>
        <w:t xml:space="preserve"> </w:t>
      </w:r>
      <w:r>
        <w:rPr>
          <w:rFonts w:hint="eastAsia"/>
          <w:sz w:val="24"/>
        </w:rPr>
        <w:t>附表</w:t>
      </w:r>
    </w:p>
    <w:p>
      <w:pPr>
        <w:pStyle w:val="15"/>
        <w:adjustRightInd w:val="0"/>
        <w:snapToGrid w:val="0"/>
        <w:spacing w:line="440" w:lineRule="exact"/>
        <w:jc w:val="left"/>
        <w:rPr>
          <w:sz w:val="24"/>
        </w:rPr>
      </w:pPr>
      <w:r>
        <w:rPr>
          <w:rFonts w:hint="eastAsia"/>
          <w:sz w:val="24"/>
        </w:rPr>
        <w:t>一、收入支出决算总表</w:t>
      </w:r>
    </w:p>
    <w:p>
      <w:pPr>
        <w:pStyle w:val="15"/>
        <w:adjustRightInd w:val="0"/>
        <w:snapToGrid w:val="0"/>
        <w:spacing w:line="440" w:lineRule="exact"/>
        <w:jc w:val="left"/>
        <w:rPr>
          <w:sz w:val="24"/>
        </w:rPr>
      </w:pPr>
      <w:r>
        <w:rPr>
          <w:rFonts w:hint="eastAsia"/>
          <w:sz w:val="24"/>
        </w:rPr>
        <w:t>二、收入决算表</w:t>
      </w:r>
    </w:p>
    <w:p>
      <w:pPr>
        <w:pStyle w:val="15"/>
        <w:adjustRightInd w:val="0"/>
        <w:snapToGrid w:val="0"/>
        <w:spacing w:line="440" w:lineRule="exact"/>
        <w:jc w:val="left"/>
        <w:rPr>
          <w:sz w:val="24"/>
        </w:rPr>
      </w:pPr>
      <w:r>
        <w:rPr>
          <w:rFonts w:hint="eastAsia"/>
          <w:sz w:val="24"/>
        </w:rPr>
        <w:t>三、支出决算表</w:t>
      </w:r>
    </w:p>
    <w:p>
      <w:pPr>
        <w:pStyle w:val="15"/>
        <w:adjustRightInd w:val="0"/>
        <w:snapToGrid w:val="0"/>
        <w:spacing w:line="440" w:lineRule="exact"/>
        <w:jc w:val="left"/>
        <w:rPr>
          <w:sz w:val="24"/>
        </w:rPr>
      </w:pPr>
      <w:r>
        <w:rPr>
          <w:rFonts w:hint="eastAsia"/>
          <w:sz w:val="24"/>
        </w:rPr>
        <w:t>四、财政拨款收入支出决算总表</w:t>
      </w:r>
    </w:p>
    <w:p>
      <w:pPr>
        <w:pStyle w:val="15"/>
        <w:adjustRightInd w:val="0"/>
        <w:snapToGrid w:val="0"/>
        <w:spacing w:line="440" w:lineRule="exact"/>
        <w:jc w:val="left"/>
        <w:rPr>
          <w:sz w:val="24"/>
        </w:rPr>
      </w:pPr>
      <w:r>
        <w:rPr>
          <w:rFonts w:hint="eastAsia"/>
          <w:sz w:val="24"/>
        </w:rPr>
        <w:t>五、财政拨款支出决算明细表</w:t>
      </w:r>
    </w:p>
    <w:p>
      <w:pPr>
        <w:pStyle w:val="15"/>
        <w:adjustRightInd w:val="0"/>
        <w:snapToGrid w:val="0"/>
        <w:spacing w:line="440" w:lineRule="exact"/>
        <w:jc w:val="left"/>
        <w:rPr>
          <w:sz w:val="24"/>
        </w:rPr>
      </w:pPr>
      <w:r>
        <w:rPr>
          <w:rFonts w:hint="eastAsia"/>
          <w:sz w:val="24"/>
        </w:rPr>
        <w:t>六、一般公共预算财政拨款支出决算表</w:t>
      </w:r>
    </w:p>
    <w:p>
      <w:pPr>
        <w:pStyle w:val="15"/>
        <w:adjustRightInd w:val="0"/>
        <w:snapToGrid w:val="0"/>
        <w:spacing w:line="440" w:lineRule="exact"/>
        <w:jc w:val="left"/>
        <w:rPr>
          <w:sz w:val="24"/>
        </w:rPr>
      </w:pPr>
      <w:r>
        <w:rPr>
          <w:rFonts w:hint="eastAsia"/>
          <w:sz w:val="24"/>
        </w:rPr>
        <w:t>七、一般公共预算财政拨款支出决算明细表</w:t>
      </w:r>
    </w:p>
    <w:p>
      <w:pPr>
        <w:pStyle w:val="15"/>
        <w:adjustRightInd w:val="0"/>
        <w:snapToGrid w:val="0"/>
        <w:spacing w:line="440" w:lineRule="exact"/>
        <w:jc w:val="left"/>
        <w:rPr>
          <w:sz w:val="24"/>
        </w:rPr>
      </w:pPr>
      <w:r>
        <w:rPr>
          <w:rFonts w:hint="eastAsia"/>
          <w:sz w:val="24"/>
        </w:rPr>
        <w:t>八、一般公共预算财政拨款基本支出决算明细表</w:t>
      </w:r>
    </w:p>
    <w:p>
      <w:pPr>
        <w:pStyle w:val="15"/>
        <w:adjustRightInd w:val="0"/>
        <w:snapToGrid w:val="0"/>
        <w:spacing w:line="440" w:lineRule="exact"/>
        <w:jc w:val="left"/>
        <w:rPr>
          <w:sz w:val="24"/>
        </w:rPr>
      </w:pPr>
      <w:r>
        <w:rPr>
          <w:rFonts w:hint="eastAsia"/>
          <w:sz w:val="24"/>
        </w:rPr>
        <w:t>九、一般公共预算财政拨款项目支出决算表</w:t>
      </w:r>
    </w:p>
    <w:p>
      <w:pPr>
        <w:pStyle w:val="15"/>
        <w:adjustRightInd w:val="0"/>
        <w:snapToGrid w:val="0"/>
        <w:spacing w:line="440" w:lineRule="exact"/>
        <w:jc w:val="left"/>
        <w:rPr>
          <w:sz w:val="24"/>
        </w:rPr>
      </w:pPr>
      <w:r>
        <w:rPr>
          <w:rFonts w:hint="eastAsia"/>
          <w:sz w:val="24"/>
        </w:rPr>
        <w:t>十、政府性基金预算财政拨款收入支出决算表</w:t>
      </w:r>
    </w:p>
    <w:p>
      <w:pPr>
        <w:pStyle w:val="15"/>
        <w:adjustRightInd w:val="0"/>
        <w:snapToGrid w:val="0"/>
        <w:spacing w:line="440" w:lineRule="exact"/>
        <w:jc w:val="left"/>
        <w:rPr>
          <w:sz w:val="24"/>
        </w:rPr>
      </w:pPr>
      <w:r>
        <w:rPr>
          <w:rFonts w:hint="eastAsia"/>
          <w:sz w:val="24"/>
        </w:rPr>
        <w:t>十一、国有资本经营预算财政拨款收入支出决算表</w:t>
      </w:r>
    </w:p>
    <w:p>
      <w:pPr>
        <w:pStyle w:val="15"/>
        <w:adjustRightInd w:val="0"/>
        <w:snapToGrid w:val="0"/>
        <w:spacing w:line="440" w:lineRule="exact"/>
        <w:jc w:val="left"/>
        <w:rPr>
          <w:sz w:val="24"/>
        </w:rPr>
      </w:pPr>
      <w:r>
        <w:rPr>
          <w:rFonts w:hint="eastAsia"/>
          <w:sz w:val="24"/>
        </w:rPr>
        <w:t>十二、国有资本经营预算财政拨款支出决算表</w:t>
      </w:r>
    </w:p>
    <w:p>
      <w:pPr>
        <w:pStyle w:val="15"/>
        <w:adjustRightInd w:val="0"/>
        <w:snapToGrid w:val="0"/>
        <w:spacing w:line="440" w:lineRule="exact"/>
        <w:jc w:val="left"/>
        <w:rPr>
          <w:rFonts w:asciiTheme="minorEastAsia" w:hAnsiTheme="minorEastAsia" w:eastAsiaTheme="minorEastAsia" w:cstheme="minorEastAsia"/>
          <w:sz w:val="24"/>
        </w:rPr>
      </w:pPr>
      <w:r>
        <w:rPr>
          <w:rFonts w:hint="eastAsia"/>
          <w:sz w:val="24"/>
        </w:rPr>
        <w:t>十三、财政拨款“三公”经费支出决算表</w:t>
      </w:r>
    </w:p>
    <w:p>
      <w:pPr>
        <w:widowControl/>
        <w:spacing w:line="440" w:lineRule="exact"/>
        <w:jc w:val="left"/>
        <w:rPr>
          <w:rFonts w:ascii="仿宋" w:hAnsi="仿宋" w:eastAsia="仿宋"/>
          <w:bCs/>
          <w:kern w:val="44"/>
          <w:sz w:val="24"/>
        </w:rPr>
      </w:pPr>
      <w:bookmarkStart w:id="12" w:name="_Toc15377196"/>
      <w:bookmarkStart w:id="13" w:name="_Toc15396599"/>
      <w:r>
        <w:rPr>
          <w:rFonts w:ascii="仿宋" w:hAnsi="仿宋" w:eastAsia="仿宋"/>
          <w:b/>
          <w:sz w:val="24"/>
        </w:rPr>
        <w:br w:type="page"/>
      </w:r>
    </w:p>
    <w:p>
      <w:pPr>
        <w:pStyle w:val="3"/>
        <w:jc w:val="center"/>
        <w:rPr>
          <w:rStyle w:val="31"/>
          <w:rFonts w:ascii="黑体" w:hAnsi="黑体" w:eastAsia="黑体"/>
          <w:b/>
          <w:bCs w:val="0"/>
        </w:rPr>
      </w:pPr>
      <w:r>
        <w:rPr>
          <w:rFonts w:hint="eastAsia" w:ascii="黑体" w:hAnsi="黑体" w:eastAsia="黑体"/>
          <w:b w:val="0"/>
        </w:rPr>
        <w:t xml:space="preserve">第一部分 </w:t>
      </w:r>
      <w:r>
        <w:rPr>
          <w:rStyle w:val="31"/>
          <w:rFonts w:hint="eastAsia" w:ascii="黑体" w:hAnsi="黑体" w:eastAsia="黑体"/>
          <w:b w:val="0"/>
          <w:bCs w:val="0"/>
        </w:rPr>
        <w:t>部门概况</w:t>
      </w:r>
      <w:bookmarkEnd w:id="12"/>
      <w:bookmarkEnd w:id="13"/>
    </w:p>
    <w:p>
      <w:pPr>
        <w:pStyle w:val="4"/>
        <w:rPr>
          <w:rFonts w:hint="eastAsia" w:ascii="黑体" w:eastAsia="黑体"/>
          <w:b w:val="0"/>
        </w:rPr>
      </w:pPr>
      <w:r>
        <w:rPr>
          <w:rFonts w:hint="eastAsia" w:ascii="黑体" w:eastAsia="黑体"/>
          <w:b w:val="0"/>
          <w:lang w:eastAsia="zh-CN"/>
        </w:rPr>
        <w:t>一、</w:t>
      </w:r>
      <w:r>
        <w:rPr>
          <w:rFonts w:hint="eastAsia" w:ascii="黑体" w:eastAsia="黑体"/>
          <w:b w:val="0"/>
        </w:rPr>
        <w:t>部门职责</w:t>
      </w:r>
    </w:p>
    <w:p>
      <w:pPr>
        <w:pStyle w:val="4"/>
        <w:ind w:firstLine="560" w:firstLineChars="200"/>
      </w:pPr>
      <w:r>
        <w:rPr>
          <w:rFonts w:hint="eastAsia" w:ascii="仿宋" w:hAnsi="仿宋" w:eastAsia="仿宋"/>
          <w:b w:val="0"/>
          <w:bCs/>
          <w:color w:val="000000"/>
          <w:sz w:val="28"/>
          <w:szCs w:val="28"/>
          <w:lang w:eastAsia="zh-CN"/>
        </w:rPr>
        <w:t>财政所，</w:t>
      </w:r>
      <w:r>
        <w:rPr>
          <w:rFonts w:hint="eastAsia" w:ascii="仿宋" w:hAnsi="仿宋" w:eastAsia="仿宋"/>
          <w:b w:val="0"/>
          <w:bCs/>
          <w:color w:val="000000"/>
          <w:sz w:val="28"/>
          <w:szCs w:val="28"/>
        </w:rPr>
        <w:t>负责乡镇财务管理，代管村社财务等工作</w:t>
      </w:r>
      <w:r>
        <w:rPr>
          <w:rFonts w:hint="eastAsia" w:ascii="仿宋" w:hAnsi="仿宋" w:eastAsia="仿宋"/>
          <w:b w:val="0"/>
          <w:bCs/>
          <w:color w:val="000000"/>
          <w:sz w:val="28"/>
          <w:szCs w:val="28"/>
          <w:lang w:eastAsia="zh-CN"/>
        </w:rPr>
        <w:t>；便民服务中心，牵头乡镇便民服务工作，承担退役军人、文化宣传、就业和社会保障、医疗保险等相关服务工作；农业综合服务中心，负责脱贫攻坚、农技推广、农业机械、农产品质量、水利等农业农村经济发展相关服务工作；村镇建设综合服务中心，负责村镇建设环卫、城乡环境综合治理、农房改造等相关服务工作；农民工服务中心，负责农民工输出、培训、维权、回引及返乡创业服务等工作。党政综合办公室，负责机关综合协调、目标绩效、文电会务、保密机要、后勤服务保障等工作；党建办公室，统筹基层党组织建设，负责纪检监察、组织人事、宣传、统战、机构编制、机关党建、群团事务等工作；综合行政执法办公室，负责统一指挥和统筹协调基层站所、县级部门派出执法力量和资源，开展综合行政执法工作；社会事务管理办公室，负责民政教育体育、文化旅游、卫生健康、社会保障等管理工作；经济发展和乡村振兴办公室，负责经济发展、科学技术、生态环境、村镇建设、交通运输、农业农村、商务经济合作、统计、扶贫开发、产业发展和项目推进管理等工作；基层治理办公室，负责建立完善党建引领的城乡基层治理体制机制、加强城乡基层治理能力建设、社会治安综合治理、矛盾治安综合治理、矛盾纠纷化解、信访维稳、安全生产、应急抢险救灾等工作。</w:t>
      </w:r>
    </w:p>
    <w:p>
      <w:pPr>
        <w:pStyle w:val="4"/>
        <w:rPr>
          <w:rStyle w:val="32"/>
          <w:b w:val="0"/>
          <w:bCs w:val="0"/>
        </w:rPr>
      </w:pPr>
      <w:bookmarkStart w:id="14" w:name="_Toc15377200"/>
      <w:bookmarkStart w:id="15" w:name="_Toc15396601"/>
      <w:r>
        <w:rPr>
          <w:rFonts w:hint="eastAsia" w:ascii="黑体" w:eastAsia="黑体"/>
          <w:b w:val="0"/>
        </w:rPr>
        <w:t>二、</w:t>
      </w:r>
      <w:r>
        <w:rPr>
          <w:rFonts w:hint="eastAsia" w:ascii="黑体" w:hAnsi="黑体" w:eastAsia="黑体"/>
          <w:b w:val="0"/>
        </w:rPr>
        <w:t>机</w:t>
      </w:r>
      <w:r>
        <w:rPr>
          <w:rStyle w:val="32"/>
          <w:rFonts w:hint="eastAsia" w:ascii="黑体" w:hAnsi="黑体" w:eastAsia="黑体"/>
          <w:b w:val="0"/>
          <w:bCs w:val="0"/>
        </w:rPr>
        <w:t>构设置</w:t>
      </w:r>
      <w:bookmarkEnd w:id="14"/>
      <w:bookmarkEnd w:id="15"/>
    </w:p>
    <w:p>
      <w:pPr>
        <w:ind w:firstLine="800" w:firstLineChars="250"/>
        <w:rPr>
          <w:rFonts w:eastAsia="仿宋"/>
          <w:sz w:val="32"/>
          <w:szCs w:val="32"/>
        </w:rPr>
      </w:pPr>
      <w:r>
        <w:rPr>
          <w:rFonts w:hint="eastAsia" w:ascii="仿宋" w:hAnsi="仿宋" w:eastAsia="仿宋"/>
          <w:sz w:val="32"/>
          <w:szCs w:val="32"/>
          <w:lang w:eastAsia="zh-CN"/>
        </w:rPr>
        <w:t>乐至县童家镇人民政府</w:t>
      </w:r>
      <w:r>
        <w:rPr>
          <w:rFonts w:hint="eastAsia" w:ascii="仿宋" w:hAnsi="仿宋" w:eastAsia="仿宋"/>
          <w:sz w:val="32"/>
          <w:szCs w:val="32"/>
        </w:rPr>
        <w:t>下属二级预算单位</w:t>
      </w:r>
      <w:r>
        <w:rPr>
          <w:rFonts w:hint="eastAsia" w:ascii="仿宋" w:hAnsi="仿宋" w:eastAsia="仿宋"/>
          <w:sz w:val="32"/>
          <w:szCs w:val="32"/>
          <w:lang w:val="en-US" w:eastAsia="zh-CN"/>
        </w:rPr>
        <w:t>0</w:t>
      </w:r>
      <w:r>
        <w:rPr>
          <w:rFonts w:hint="eastAsia" w:ascii="仿宋" w:hAnsi="仿宋" w:eastAsia="仿宋"/>
          <w:sz w:val="32"/>
          <w:szCs w:val="32"/>
        </w:rPr>
        <w:t>个，其中行政单位</w:t>
      </w:r>
      <w:r>
        <w:rPr>
          <w:rFonts w:hint="eastAsia" w:ascii="仿宋" w:hAnsi="仿宋" w:eastAsia="仿宋"/>
          <w:sz w:val="32"/>
          <w:szCs w:val="32"/>
          <w:lang w:val="en-US" w:eastAsia="zh-CN"/>
        </w:rPr>
        <w:t>0</w:t>
      </w:r>
      <w:r>
        <w:rPr>
          <w:rFonts w:hint="eastAsia" w:ascii="仿宋" w:hAnsi="仿宋" w:eastAsia="仿宋"/>
          <w:sz w:val="32"/>
          <w:szCs w:val="32"/>
        </w:rPr>
        <w:t>个，参照公务员法管理的事业单位</w:t>
      </w:r>
      <w:r>
        <w:rPr>
          <w:rFonts w:hint="eastAsia" w:ascii="仿宋" w:hAnsi="仿宋" w:eastAsia="仿宋"/>
          <w:sz w:val="32"/>
          <w:szCs w:val="32"/>
          <w:lang w:val="en-US" w:eastAsia="zh-CN"/>
        </w:rPr>
        <w:t>0</w:t>
      </w:r>
      <w:r>
        <w:rPr>
          <w:rFonts w:hint="eastAsia" w:ascii="仿宋" w:hAnsi="仿宋" w:eastAsia="仿宋"/>
          <w:sz w:val="32"/>
          <w:szCs w:val="32"/>
        </w:rPr>
        <w:t>个，其他事业单位</w:t>
      </w:r>
      <w:r>
        <w:rPr>
          <w:rFonts w:hint="eastAsia" w:ascii="仿宋" w:hAnsi="仿宋" w:eastAsia="仿宋"/>
          <w:sz w:val="32"/>
          <w:szCs w:val="32"/>
          <w:lang w:val="en-US" w:eastAsia="zh-CN"/>
        </w:rPr>
        <w:t>0</w:t>
      </w:r>
      <w:r>
        <w:rPr>
          <w:rFonts w:hint="eastAsia" w:ascii="仿宋" w:hAnsi="仿宋" w:eastAsia="仿宋"/>
          <w:sz w:val="32"/>
          <w:szCs w:val="32"/>
        </w:rPr>
        <w:t>个。</w:t>
      </w:r>
      <w:r>
        <w:rPr>
          <w:rFonts w:hint="eastAsia" w:ascii="仿宋_GB2312" w:eastAsia="仿宋_GB2312"/>
          <w:sz w:val="32"/>
          <w:szCs w:val="32"/>
        </w:rPr>
        <w:t>政府下设党政</w:t>
      </w:r>
      <w:r>
        <w:rPr>
          <w:rFonts w:hint="eastAsia" w:ascii="仿宋_GB2312" w:eastAsia="仿宋_GB2312"/>
          <w:sz w:val="32"/>
          <w:szCs w:val="32"/>
          <w:lang w:val="en-US" w:eastAsia="zh-CN"/>
        </w:rPr>
        <w:t>综合办公室</w:t>
      </w:r>
      <w:r>
        <w:rPr>
          <w:rFonts w:hint="eastAsia" w:ascii="仿宋_GB2312" w:eastAsia="仿宋_GB2312"/>
          <w:sz w:val="32"/>
          <w:szCs w:val="32"/>
        </w:rPr>
        <w:t>、</w:t>
      </w:r>
      <w:r>
        <w:rPr>
          <w:rFonts w:hint="eastAsia" w:ascii="仿宋_GB2312" w:eastAsia="仿宋_GB2312"/>
          <w:sz w:val="32"/>
          <w:szCs w:val="32"/>
          <w:lang w:val="en-US" w:eastAsia="zh-CN"/>
        </w:rPr>
        <w:t>党建办公事</w:t>
      </w:r>
      <w:r>
        <w:rPr>
          <w:rFonts w:hint="eastAsia" w:ascii="仿宋_GB2312" w:eastAsia="仿宋_GB2312"/>
          <w:sz w:val="32"/>
          <w:szCs w:val="32"/>
        </w:rPr>
        <w:t>、</w:t>
      </w:r>
      <w:r>
        <w:rPr>
          <w:rFonts w:hint="eastAsia" w:ascii="仿宋_GB2312" w:eastAsia="仿宋_GB2312"/>
          <w:sz w:val="32"/>
          <w:szCs w:val="32"/>
          <w:lang w:val="en-US" w:eastAsia="zh-CN"/>
        </w:rPr>
        <w:t>综合行政执法办公室</w:t>
      </w:r>
      <w:r>
        <w:rPr>
          <w:rFonts w:hint="eastAsia" w:ascii="仿宋_GB2312" w:eastAsia="仿宋_GB2312"/>
          <w:sz w:val="32"/>
          <w:szCs w:val="32"/>
        </w:rPr>
        <w:t>、</w:t>
      </w:r>
      <w:r>
        <w:rPr>
          <w:rFonts w:hint="eastAsia" w:ascii="仿宋_GB2312" w:eastAsia="仿宋_GB2312"/>
          <w:sz w:val="32"/>
          <w:szCs w:val="32"/>
          <w:lang w:val="en-US" w:eastAsia="zh-CN"/>
        </w:rPr>
        <w:t>社会事务管理办公室</w:t>
      </w:r>
      <w:r>
        <w:rPr>
          <w:rFonts w:hint="eastAsia" w:ascii="仿宋_GB2312" w:eastAsia="仿宋_GB2312"/>
          <w:sz w:val="32"/>
          <w:szCs w:val="32"/>
        </w:rPr>
        <w:t>、</w:t>
      </w:r>
      <w:r>
        <w:rPr>
          <w:rFonts w:hint="eastAsia" w:ascii="仿宋_GB2312" w:eastAsia="仿宋_GB2312"/>
          <w:sz w:val="32"/>
          <w:szCs w:val="32"/>
          <w:lang w:val="en-US" w:eastAsia="zh-CN"/>
        </w:rPr>
        <w:t>经济发展和乡村振兴办公室</w:t>
      </w:r>
      <w:r>
        <w:rPr>
          <w:rFonts w:hint="eastAsia" w:ascii="仿宋_GB2312" w:eastAsia="仿宋_GB2312"/>
          <w:sz w:val="32"/>
          <w:szCs w:val="32"/>
        </w:rPr>
        <w:t>、</w:t>
      </w:r>
      <w:r>
        <w:rPr>
          <w:rFonts w:hint="eastAsia" w:ascii="仿宋_GB2312" w:eastAsia="仿宋_GB2312"/>
          <w:sz w:val="32"/>
          <w:szCs w:val="32"/>
          <w:lang w:val="en-US" w:eastAsia="zh-CN"/>
        </w:rPr>
        <w:t>基层治理办公室</w:t>
      </w:r>
      <w:r>
        <w:rPr>
          <w:rFonts w:hint="eastAsia" w:ascii="仿宋_GB2312" w:eastAsia="仿宋_GB2312"/>
          <w:sz w:val="32"/>
          <w:szCs w:val="32"/>
        </w:rPr>
        <w:t>、</w:t>
      </w:r>
      <w:r>
        <w:rPr>
          <w:rFonts w:hint="eastAsia" w:ascii="仿宋_GB2312" w:eastAsia="仿宋_GB2312"/>
          <w:sz w:val="32"/>
          <w:szCs w:val="32"/>
          <w:lang w:val="en-US" w:eastAsia="zh-CN"/>
        </w:rPr>
        <w:t>财政所</w:t>
      </w:r>
      <w:r>
        <w:rPr>
          <w:rFonts w:hint="eastAsia" w:ascii="仿宋_GB2312" w:eastAsia="仿宋_GB2312"/>
          <w:sz w:val="32"/>
          <w:szCs w:val="32"/>
        </w:rPr>
        <w:t>、</w:t>
      </w:r>
      <w:r>
        <w:rPr>
          <w:rFonts w:hint="eastAsia" w:ascii="仿宋_GB2312" w:eastAsia="仿宋_GB2312"/>
          <w:sz w:val="32"/>
          <w:szCs w:val="32"/>
          <w:lang w:val="en-US" w:eastAsia="zh-CN"/>
        </w:rPr>
        <w:t>应急管理和生态环境办公室</w:t>
      </w:r>
      <w:r>
        <w:rPr>
          <w:rFonts w:hint="eastAsia" w:ascii="仿宋_GB2312" w:eastAsia="仿宋_GB2312"/>
          <w:sz w:val="32"/>
          <w:szCs w:val="32"/>
        </w:rPr>
        <w:t>、</w:t>
      </w:r>
      <w:r>
        <w:rPr>
          <w:rFonts w:hint="eastAsia" w:ascii="仿宋_GB2312" w:eastAsia="仿宋_GB2312"/>
          <w:sz w:val="32"/>
          <w:szCs w:val="32"/>
          <w:lang w:val="en-US" w:eastAsia="zh-CN"/>
        </w:rPr>
        <w:t>城乡建设管理办公室、便民服务中心、农业综合服务中心、村镇建设综合服务中心、农民工服务中心商贸旅游服务中心</w:t>
      </w:r>
      <w:r>
        <w:rPr>
          <w:rFonts w:hint="eastAsia" w:ascii="仿宋_GB2312" w:eastAsia="仿宋_GB2312"/>
          <w:sz w:val="32"/>
          <w:szCs w:val="32"/>
        </w:rPr>
        <w:t>。20</w:t>
      </w:r>
      <w:r>
        <w:rPr>
          <w:rFonts w:hint="eastAsia" w:ascii="仿宋_GB2312" w:eastAsia="仿宋_GB2312"/>
          <w:sz w:val="32"/>
          <w:szCs w:val="32"/>
          <w:lang w:val="en-US" w:eastAsia="zh-CN"/>
        </w:rPr>
        <w:t>22</w:t>
      </w:r>
      <w:r>
        <w:rPr>
          <w:rFonts w:hint="eastAsia" w:ascii="仿宋_GB2312" w:eastAsia="仿宋_GB2312"/>
          <w:sz w:val="32"/>
          <w:szCs w:val="32"/>
        </w:rPr>
        <w:t>年实有在职人数行政</w:t>
      </w:r>
      <w:r>
        <w:rPr>
          <w:rFonts w:hint="eastAsia" w:ascii="仿宋_GB2312" w:eastAsia="仿宋_GB2312"/>
          <w:sz w:val="32"/>
          <w:szCs w:val="32"/>
          <w:lang w:val="en-US" w:eastAsia="zh-CN"/>
        </w:rPr>
        <w:t>45</w:t>
      </w:r>
      <w:r>
        <w:rPr>
          <w:rFonts w:hint="eastAsia" w:ascii="仿宋_GB2312" w:eastAsia="仿宋_GB2312"/>
          <w:sz w:val="32"/>
          <w:szCs w:val="32"/>
        </w:rPr>
        <w:t>人，事业</w:t>
      </w:r>
      <w:r>
        <w:rPr>
          <w:rFonts w:hint="eastAsia" w:ascii="仿宋_GB2312" w:eastAsia="仿宋_GB2312"/>
          <w:sz w:val="32"/>
          <w:szCs w:val="32"/>
          <w:lang w:val="en-US" w:eastAsia="zh-CN"/>
        </w:rPr>
        <w:t>37</w:t>
      </w:r>
      <w:r>
        <w:rPr>
          <w:rFonts w:hint="eastAsia" w:ascii="仿宋_GB2312" w:eastAsia="仿宋_GB2312"/>
          <w:sz w:val="32"/>
          <w:szCs w:val="32"/>
        </w:rPr>
        <w:t>人。</w:t>
      </w:r>
    </w:p>
    <w:p>
      <w:pPr>
        <w:pStyle w:val="7"/>
        <w:spacing w:before="93"/>
      </w:pPr>
    </w:p>
    <w:p>
      <w:pPr>
        <w:pStyle w:val="3"/>
        <w:ind w:right="440"/>
        <w:jc w:val="center"/>
        <w:rPr>
          <w:rStyle w:val="31"/>
          <w:rFonts w:ascii="黑体" w:hAnsi="黑体" w:eastAsia="黑体"/>
          <w:b w:val="0"/>
          <w:bCs/>
        </w:rPr>
      </w:pPr>
      <w:bookmarkStart w:id="16" w:name="_Toc15396602"/>
      <w:bookmarkStart w:id="17" w:name="_Toc15377204"/>
      <w:r>
        <w:rPr>
          <w:rFonts w:hint="eastAsia" w:ascii="黑体" w:hAnsi="黑体" w:eastAsia="黑体"/>
          <w:b w:val="0"/>
        </w:rPr>
        <w:t>第二部分 2022年度</w:t>
      </w:r>
      <w:r>
        <w:rPr>
          <w:rStyle w:val="31"/>
          <w:rFonts w:hint="eastAsia" w:ascii="黑体" w:hAnsi="黑体" w:eastAsia="黑体"/>
          <w:b w:val="0"/>
          <w:bCs/>
        </w:rPr>
        <w:t>部门决算情况说明</w:t>
      </w:r>
      <w:bookmarkEnd w:id="16"/>
      <w:bookmarkEnd w:id="17"/>
    </w:p>
    <w:p/>
    <w:p>
      <w:pPr>
        <w:pStyle w:val="30"/>
        <w:numPr>
          <w:ilvl w:val="0"/>
          <w:numId w:val="1"/>
        </w:numPr>
        <w:spacing w:line="600" w:lineRule="exact"/>
        <w:ind w:firstLineChars="0"/>
        <w:outlineLvl w:val="1"/>
        <w:rPr>
          <w:rStyle w:val="32"/>
          <w:rFonts w:ascii="黑体" w:hAnsi="黑体" w:eastAsia="黑体"/>
          <w:b w:val="0"/>
        </w:rPr>
      </w:pPr>
      <w:bookmarkStart w:id="18" w:name="_Toc15377205"/>
      <w:bookmarkStart w:id="19" w:name="_Toc15396603"/>
      <w:r>
        <w:rPr>
          <w:rFonts w:hint="eastAsia" w:ascii="黑体" w:hAnsi="黑体" w:eastAsia="黑体"/>
          <w:sz w:val="32"/>
          <w:szCs w:val="32"/>
        </w:rPr>
        <w:t>收</w:t>
      </w:r>
      <w:r>
        <w:rPr>
          <w:rStyle w:val="32"/>
          <w:rFonts w:hint="eastAsia" w:ascii="黑体" w:hAnsi="黑体" w:eastAsia="黑体"/>
          <w:b w:val="0"/>
        </w:rPr>
        <w:t>入支出决算总体情况说明</w:t>
      </w:r>
      <w:bookmarkEnd w:id="18"/>
      <w:bookmarkEnd w:id="19"/>
    </w:p>
    <w:p>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rPr>
        <w:t>2022年度收、支总计</w:t>
      </w:r>
      <w:r>
        <w:rPr>
          <w:rFonts w:hint="eastAsia" w:ascii="仿宋" w:hAnsi="仿宋" w:eastAsia="仿宋"/>
          <w:sz w:val="32"/>
          <w:szCs w:val="32"/>
          <w:lang w:val="en-US" w:eastAsia="zh-CN"/>
        </w:rPr>
        <w:t>7849.48</w:t>
      </w:r>
      <w:r>
        <w:rPr>
          <w:rFonts w:hint="eastAsia" w:ascii="仿宋" w:hAnsi="仿宋" w:eastAsia="仿宋"/>
          <w:sz w:val="32"/>
          <w:szCs w:val="32"/>
        </w:rPr>
        <w:t>万元。与2021年相比，收、支总计各减少</w:t>
      </w:r>
      <w:r>
        <w:rPr>
          <w:rFonts w:hint="eastAsia" w:ascii="仿宋" w:hAnsi="仿宋" w:eastAsia="仿宋"/>
          <w:sz w:val="32"/>
          <w:szCs w:val="32"/>
          <w:lang w:val="en-US" w:eastAsia="zh-CN"/>
        </w:rPr>
        <w:t>252.62</w:t>
      </w:r>
      <w:r>
        <w:rPr>
          <w:rFonts w:hint="eastAsia" w:ascii="仿宋" w:hAnsi="仿宋" w:eastAsia="仿宋"/>
          <w:sz w:val="32"/>
          <w:szCs w:val="32"/>
        </w:rPr>
        <w:t>万元，下降</w:t>
      </w:r>
      <w:r>
        <w:rPr>
          <w:rFonts w:hint="eastAsia" w:ascii="仿宋" w:hAnsi="仿宋" w:eastAsia="仿宋"/>
          <w:sz w:val="32"/>
          <w:szCs w:val="32"/>
          <w:lang w:val="en-US" w:eastAsia="zh-CN"/>
        </w:rPr>
        <w:t>3.12</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sz w:val="32"/>
          <w:szCs w:val="32"/>
          <w:lang w:eastAsia="zh-CN"/>
        </w:rPr>
        <w:t>主要原因是财政拨款减少，基本支出减少。</w:t>
      </w:r>
    </w:p>
    <w:p>
      <w:pPr>
        <w:pStyle w:val="2"/>
        <w:rPr>
          <w:rFonts w:hint="eastAsia" w:eastAsia="仿宋"/>
          <w:lang w:eastAsia="zh-CN"/>
        </w:rPr>
      </w:pPr>
      <w:r>
        <w:rPr>
          <w:rFonts w:hint="eastAsia" w:eastAsia="仿宋"/>
          <w:lang w:eastAsia="zh-CN"/>
        </w:rPr>
        <w:drawing>
          <wp:inline distT="0" distB="0" distL="114300" distR="114300">
            <wp:extent cx="5256530" cy="2988310"/>
            <wp:effectExtent l="5080" t="4445" r="8890" b="1714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spacing w:line="600" w:lineRule="exact"/>
        <w:ind w:firstLine="640" w:firstLineChars="200"/>
        <w:rPr>
          <w:rFonts w:ascii="仿宋" w:hAnsi="仿宋" w:eastAsia="仿宋"/>
          <w:color w:val="000000"/>
          <w:sz w:val="32"/>
          <w:szCs w:val="32"/>
          <w:highlight w:val="none"/>
        </w:rPr>
      </w:pPr>
      <w:r>
        <w:rPr>
          <w:rFonts w:hint="eastAsia" w:ascii="仿宋" w:hAnsi="仿宋" w:eastAsia="仿宋"/>
          <w:color w:val="000000"/>
          <w:sz w:val="32"/>
          <w:szCs w:val="32"/>
          <w:highlight w:val="none"/>
        </w:rPr>
        <w:t>（图</w:t>
      </w:r>
      <w:r>
        <w:rPr>
          <w:rFonts w:ascii="仿宋" w:hAnsi="仿宋" w:eastAsia="仿宋"/>
          <w:color w:val="000000"/>
          <w:sz w:val="32"/>
          <w:szCs w:val="32"/>
          <w:highlight w:val="none"/>
        </w:rPr>
        <w:t>1</w:t>
      </w:r>
      <w:r>
        <w:rPr>
          <w:rFonts w:hint="eastAsia" w:ascii="仿宋" w:hAnsi="仿宋" w:eastAsia="仿宋"/>
          <w:color w:val="000000"/>
          <w:sz w:val="32"/>
          <w:szCs w:val="32"/>
          <w:highlight w:val="none"/>
        </w:rPr>
        <w:t>：收、支决算总计变动情况图）（柱状图）</w:t>
      </w:r>
    </w:p>
    <w:p>
      <w:pPr>
        <w:spacing w:line="600" w:lineRule="exact"/>
        <w:ind w:firstLine="640" w:firstLineChars="200"/>
        <w:jc w:val="left"/>
        <w:rPr>
          <w:rFonts w:ascii="仿宋_GB2312" w:eastAsia="仿宋_GB2312"/>
          <w:sz w:val="32"/>
          <w:szCs w:val="32"/>
        </w:rPr>
      </w:pPr>
    </w:p>
    <w:p>
      <w:pPr>
        <w:pStyle w:val="2"/>
      </w:pPr>
    </w:p>
    <w:p>
      <w:pPr>
        <w:pStyle w:val="30"/>
        <w:numPr>
          <w:ilvl w:val="0"/>
          <w:numId w:val="1"/>
        </w:numPr>
        <w:spacing w:line="600" w:lineRule="exact"/>
        <w:ind w:firstLineChars="0"/>
        <w:outlineLvl w:val="1"/>
        <w:rPr>
          <w:rStyle w:val="32"/>
          <w:rFonts w:ascii="黑体" w:hAnsi="黑体" w:eastAsia="黑体"/>
          <w:b w:val="0"/>
        </w:rPr>
      </w:pPr>
      <w:bookmarkStart w:id="20" w:name="_Toc15377206"/>
      <w:bookmarkStart w:id="21" w:name="_Toc15396604"/>
      <w:r>
        <w:rPr>
          <w:rFonts w:hint="eastAsia" w:ascii="黑体" w:hAnsi="黑体" w:eastAsia="黑体"/>
          <w:sz w:val="32"/>
          <w:szCs w:val="32"/>
        </w:rPr>
        <w:t>收</w:t>
      </w:r>
      <w:r>
        <w:rPr>
          <w:rStyle w:val="32"/>
          <w:rFonts w:hint="eastAsia" w:ascii="黑体" w:hAnsi="黑体" w:eastAsia="黑体"/>
          <w:b w:val="0"/>
        </w:rPr>
        <w:t>入决算情况说明</w:t>
      </w:r>
      <w:bookmarkEnd w:id="20"/>
      <w:bookmarkEnd w:id="21"/>
    </w:p>
    <w:p>
      <w:pPr>
        <w:spacing w:line="600" w:lineRule="exact"/>
        <w:ind w:firstLine="640" w:firstLineChars="200"/>
        <w:outlineLvl w:val="1"/>
        <w:rPr>
          <w:rFonts w:hint="eastAsia" w:ascii="仿宋" w:hAnsi="仿宋" w:eastAsia="仿宋"/>
          <w:color w:val="000000"/>
          <w:sz w:val="32"/>
          <w:szCs w:val="32"/>
          <w:highlight w:val="none"/>
          <w:lang w:val="en-US" w:eastAsia="zh-CN"/>
        </w:rPr>
      </w:pPr>
      <w:r>
        <w:rPr>
          <w:rFonts w:ascii="仿宋" w:hAnsi="仿宋" w:eastAsia="仿宋"/>
          <w:sz w:val="32"/>
          <w:szCs w:val="32"/>
        </w:rPr>
        <w:t>20</w:t>
      </w:r>
      <w:r>
        <w:rPr>
          <w:rFonts w:hint="eastAsia" w:ascii="仿宋" w:hAnsi="仿宋" w:eastAsia="仿宋"/>
          <w:sz w:val="32"/>
          <w:szCs w:val="32"/>
        </w:rPr>
        <w:t>22年本年收入合计</w:t>
      </w:r>
      <w:r>
        <w:rPr>
          <w:rFonts w:hint="eastAsia" w:ascii="仿宋" w:hAnsi="仿宋" w:eastAsia="仿宋"/>
          <w:sz w:val="32"/>
          <w:szCs w:val="32"/>
          <w:lang w:val="en-US" w:eastAsia="zh-CN"/>
        </w:rPr>
        <w:t>7849.48</w:t>
      </w:r>
      <w:r>
        <w:rPr>
          <w:rFonts w:hint="eastAsia" w:ascii="仿宋" w:hAnsi="仿宋" w:eastAsia="仿宋"/>
          <w:sz w:val="32"/>
          <w:szCs w:val="32"/>
        </w:rPr>
        <w:t>万元，其中：一般公共预算财政拨款收入</w:t>
      </w:r>
      <w:r>
        <w:rPr>
          <w:rFonts w:hint="eastAsia" w:ascii="仿宋" w:hAnsi="仿宋" w:eastAsia="仿宋"/>
          <w:sz w:val="32"/>
          <w:szCs w:val="32"/>
          <w:lang w:val="en-US" w:eastAsia="zh-CN"/>
        </w:rPr>
        <w:t>7480.97</w:t>
      </w:r>
      <w:r>
        <w:rPr>
          <w:rFonts w:hint="eastAsia" w:ascii="仿宋" w:hAnsi="仿宋" w:eastAsia="仿宋"/>
          <w:sz w:val="32"/>
          <w:szCs w:val="32"/>
        </w:rPr>
        <w:t>万元，占</w:t>
      </w:r>
      <w:r>
        <w:rPr>
          <w:rFonts w:hint="eastAsia" w:ascii="仿宋" w:hAnsi="仿宋" w:eastAsia="仿宋"/>
          <w:sz w:val="32"/>
          <w:szCs w:val="32"/>
          <w:lang w:val="en-US" w:eastAsia="zh-CN"/>
        </w:rPr>
        <w:t>95.31</w:t>
      </w:r>
      <w:r>
        <w:rPr>
          <w:rFonts w:ascii="仿宋" w:hAnsi="仿宋" w:eastAsia="仿宋"/>
          <w:sz w:val="32"/>
          <w:szCs w:val="32"/>
        </w:rPr>
        <w:t>%</w:t>
      </w:r>
      <w:r>
        <w:rPr>
          <w:rFonts w:hint="eastAsia" w:ascii="仿宋" w:hAnsi="仿宋" w:eastAsia="仿宋"/>
          <w:sz w:val="32"/>
          <w:szCs w:val="32"/>
        </w:rPr>
        <w:t>；政府性基金预算财政拨款收入</w:t>
      </w:r>
      <w:r>
        <w:rPr>
          <w:rFonts w:hint="eastAsia" w:ascii="仿宋" w:hAnsi="仿宋" w:eastAsia="仿宋"/>
          <w:sz w:val="32"/>
          <w:szCs w:val="32"/>
          <w:lang w:val="en-US" w:eastAsia="zh-CN"/>
        </w:rPr>
        <w:t>355.4</w:t>
      </w:r>
      <w:r>
        <w:rPr>
          <w:rFonts w:hint="eastAsia" w:ascii="仿宋" w:hAnsi="仿宋" w:eastAsia="仿宋"/>
          <w:sz w:val="32"/>
          <w:szCs w:val="32"/>
        </w:rPr>
        <w:t>万元，占</w:t>
      </w:r>
      <w:r>
        <w:rPr>
          <w:rFonts w:hint="eastAsia" w:ascii="仿宋" w:hAnsi="仿宋" w:eastAsia="仿宋"/>
          <w:sz w:val="32"/>
          <w:szCs w:val="32"/>
          <w:lang w:val="en-US" w:eastAsia="zh-CN"/>
        </w:rPr>
        <w:t>4.53</w:t>
      </w:r>
      <w:r>
        <w:rPr>
          <w:rFonts w:ascii="仿宋" w:hAnsi="仿宋" w:eastAsia="仿宋"/>
          <w:sz w:val="32"/>
          <w:szCs w:val="32"/>
        </w:rPr>
        <w:t>%</w:t>
      </w:r>
      <w:r>
        <w:rPr>
          <w:rFonts w:hint="eastAsia" w:ascii="仿宋" w:hAnsi="仿宋" w:eastAsia="仿宋"/>
          <w:sz w:val="32"/>
          <w:szCs w:val="32"/>
        </w:rPr>
        <w:t>；国有资本经营预算财政拨款收入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；上级补助收入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；事业收入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；经营收入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；附属单位上缴收入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；其他收入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color w:val="000000"/>
          <w:sz w:val="32"/>
          <w:szCs w:val="32"/>
          <w:highlight w:val="none"/>
          <w:lang w:eastAsia="zh-CN"/>
        </w:rPr>
        <w:t>年初结转和结余</w:t>
      </w:r>
      <w:r>
        <w:rPr>
          <w:rFonts w:hint="eastAsia" w:ascii="仿宋" w:hAnsi="仿宋" w:eastAsia="仿宋"/>
          <w:color w:val="000000"/>
          <w:sz w:val="32"/>
          <w:szCs w:val="32"/>
          <w:highlight w:val="none"/>
          <w:lang w:val="en-US" w:eastAsia="zh-CN"/>
        </w:rPr>
        <w:t>13.11万元，占0.16%。</w:t>
      </w:r>
    </w:p>
    <w:p>
      <w:r>
        <w:drawing>
          <wp:inline distT="0" distB="0" distL="114300" distR="114300">
            <wp:extent cx="5256530" cy="2988310"/>
            <wp:effectExtent l="5080" t="4445" r="8890" b="1714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spacing w:line="600" w:lineRule="exact"/>
        <w:ind w:firstLine="640" w:firstLineChars="200"/>
        <w:rPr>
          <w:rFonts w:ascii="仿宋_GB2312" w:eastAsia="仿宋_GB2312"/>
          <w:sz w:val="32"/>
          <w:szCs w:val="32"/>
        </w:rPr>
      </w:pPr>
      <w:r>
        <w:rPr>
          <w:rFonts w:hint="eastAsia" w:ascii="仿宋" w:hAnsi="仿宋" w:eastAsia="仿宋"/>
          <w:color w:val="000000"/>
          <w:sz w:val="32"/>
          <w:szCs w:val="32"/>
        </w:rPr>
        <w:t>（图</w:t>
      </w:r>
      <w:r>
        <w:rPr>
          <w:rFonts w:ascii="仿宋" w:hAnsi="仿宋" w:eastAsia="仿宋"/>
          <w:color w:val="000000"/>
          <w:sz w:val="32"/>
          <w:szCs w:val="32"/>
        </w:rPr>
        <w:t>2</w:t>
      </w:r>
      <w:r>
        <w:rPr>
          <w:rFonts w:hint="eastAsia" w:ascii="仿宋" w:hAnsi="仿宋" w:eastAsia="仿宋"/>
          <w:color w:val="000000"/>
          <w:sz w:val="32"/>
          <w:szCs w:val="32"/>
        </w:rPr>
        <w:t>：收入决算结构图）（饼状图）</w:t>
      </w:r>
    </w:p>
    <w:p>
      <w:pPr>
        <w:pStyle w:val="30"/>
        <w:numPr>
          <w:ilvl w:val="0"/>
          <w:numId w:val="1"/>
        </w:numPr>
        <w:spacing w:line="600" w:lineRule="exact"/>
        <w:ind w:firstLineChars="0"/>
        <w:outlineLvl w:val="1"/>
        <w:rPr>
          <w:rStyle w:val="32"/>
          <w:rFonts w:ascii="黑体" w:hAnsi="黑体" w:eastAsia="黑体"/>
          <w:b w:val="0"/>
        </w:rPr>
      </w:pPr>
      <w:bookmarkStart w:id="22" w:name="_Toc15396605"/>
      <w:bookmarkStart w:id="23" w:name="_Toc15377207"/>
      <w:r>
        <w:rPr>
          <w:rFonts w:hint="eastAsia" w:ascii="黑体" w:hAnsi="黑体" w:eastAsia="黑体"/>
          <w:sz w:val="32"/>
          <w:szCs w:val="32"/>
        </w:rPr>
        <w:t>支</w:t>
      </w:r>
      <w:r>
        <w:rPr>
          <w:rStyle w:val="32"/>
          <w:rFonts w:hint="eastAsia" w:ascii="黑体" w:hAnsi="黑体" w:eastAsia="黑体"/>
          <w:b w:val="0"/>
        </w:rPr>
        <w:t>出决算情况说明</w:t>
      </w:r>
      <w:bookmarkEnd w:id="22"/>
      <w:bookmarkEnd w:id="23"/>
    </w:p>
    <w:p>
      <w:pPr>
        <w:spacing w:line="600" w:lineRule="exact"/>
        <w:ind w:firstLine="640" w:firstLineChars="200"/>
        <w:outlineLvl w:val="1"/>
        <w:rPr>
          <w:rFonts w:hint="eastAsia" w:ascii="仿宋" w:hAnsi="仿宋" w:eastAsia="仿宋"/>
          <w:color w:val="000000"/>
          <w:sz w:val="32"/>
          <w:szCs w:val="32"/>
          <w:highlight w:val="none"/>
          <w:lang w:val="en-US" w:eastAsia="zh-CN"/>
        </w:rPr>
      </w:pPr>
      <w:r>
        <w:rPr>
          <w:rFonts w:ascii="仿宋" w:hAnsi="仿宋" w:eastAsia="仿宋"/>
          <w:sz w:val="32"/>
          <w:szCs w:val="32"/>
        </w:rPr>
        <w:t>20</w:t>
      </w:r>
      <w:r>
        <w:rPr>
          <w:rFonts w:hint="eastAsia" w:ascii="仿宋" w:hAnsi="仿宋" w:eastAsia="仿宋"/>
          <w:sz w:val="32"/>
          <w:szCs w:val="32"/>
        </w:rPr>
        <w:t>22年本年支出合计</w:t>
      </w:r>
      <w:r>
        <w:rPr>
          <w:rFonts w:hint="eastAsia" w:ascii="仿宋" w:hAnsi="仿宋" w:eastAsia="仿宋"/>
          <w:sz w:val="32"/>
          <w:szCs w:val="32"/>
          <w:lang w:val="en-US" w:eastAsia="zh-CN"/>
        </w:rPr>
        <w:t>7849.48</w:t>
      </w:r>
      <w:r>
        <w:rPr>
          <w:rFonts w:hint="eastAsia" w:ascii="仿宋" w:hAnsi="仿宋" w:eastAsia="仿宋"/>
          <w:sz w:val="32"/>
          <w:szCs w:val="32"/>
        </w:rPr>
        <w:t>万元，其中：基本支出</w:t>
      </w:r>
      <w:r>
        <w:rPr>
          <w:rFonts w:hint="eastAsia" w:ascii="仿宋" w:hAnsi="仿宋" w:eastAsia="仿宋"/>
          <w:sz w:val="32"/>
          <w:szCs w:val="32"/>
          <w:lang w:val="en-US" w:eastAsia="zh-CN"/>
        </w:rPr>
        <w:t>2132.74</w:t>
      </w:r>
      <w:r>
        <w:rPr>
          <w:rFonts w:hint="eastAsia" w:ascii="仿宋" w:hAnsi="仿宋" w:eastAsia="仿宋"/>
          <w:sz w:val="32"/>
          <w:szCs w:val="32"/>
        </w:rPr>
        <w:t>万元，占</w:t>
      </w:r>
      <w:r>
        <w:rPr>
          <w:rFonts w:hint="eastAsia" w:ascii="仿宋" w:hAnsi="仿宋" w:eastAsia="仿宋"/>
          <w:sz w:val="32"/>
          <w:szCs w:val="32"/>
          <w:lang w:val="en-US" w:eastAsia="zh-CN"/>
        </w:rPr>
        <w:t>27.17</w:t>
      </w:r>
      <w:r>
        <w:rPr>
          <w:rFonts w:ascii="仿宋" w:hAnsi="仿宋" w:eastAsia="仿宋"/>
          <w:sz w:val="32"/>
          <w:szCs w:val="32"/>
        </w:rPr>
        <w:t>%</w:t>
      </w:r>
      <w:r>
        <w:rPr>
          <w:rFonts w:hint="eastAsia" w:ascii="仿宋" w:hAnsi="仿宋" w:eastAsia="仿宋"/>
          <w:sz w:val="32"/>
          <w:szCs w:val="32"/>
        </w:rPr>
        <w:t>；项目支出</w:t>
      </w:r>
      <w:r>
        <w:rPr>
          <w:rFonts w:hint="eastAsia" w:ascii="仿宋" w:hAnsi="仿宋" w:eastAsia="仿宋"/>
          <w:sz w:val="32"/>
          <w:szCs w:val="32"/>
          <w:lang w:val="en-US" w:eastAsia="zh-CN"/>
        </w:rPr>
        <w:t>5703.63</w:t>
      </w:r>
      <w:r>
        <w:rPr>
          <w:rFonts w:hint="eastAsia" w:ascii="仿宋" w:hAnsi="仿宋" w:eastAsia="仿宋"/>
          <w:sz w:val="32"/>
          <w:szCs w:val="32"/>
        </w:rPr>
        <w:t>万元，占</w:t>
      </w:r>
      <w:r>
        <w:rPr>
          <w:rFonts w:hint="eastAsia" w:ascii="仿宋" w:hAnsi="仿宋" w:eastAsia="仿宋"/>
          <w:sz w:val="32"/>
          <w:szCs w:val="32"/>
          <w:lang w:val="en-US" w:eastAsia="zh-CN"/>
        </w:rPr>
        <w:t>72.67</w:t>
      </w:r>
      <w:r>
        <w:rPr>
          <w:rFonts w:ascii="仿宋" w:hAnsi="仿宋" w:eastAsia="仿宋"/>
          <w:sz w:val="32"/>
          <w:szCs w:val="32"/>
        </w:rPr>
        <w:t>%</w:t>
      </w:r>
      <w:r>
        <w:rPr>
          <w:rFonts w:hint="eastAsia" w:ascii="仿宋" w:hAnsi="仿宋" w:eastAsia="仿宋"/>
          <w:sz w:val="32"/>
          <w:szCs w:val="32"/>
        </w:rPr>
        <w:t>；上缴上级支出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；经营支出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；对附属单位补助支出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color w:val="000000"/>
          <w:sz w:val="32"/>
          <w:szCs w:val="32"/>
          <w:highlight w:val="none"/>
          <w:lang w:eastAsia="zh-CN"/>
        </w:rPr>
        <w:t>年初结转和结余</w:t>
      </w:r>
      <w:r>
        <w:rPr>
          <w:rFonts w:hint="eastAsia" w:ascii="仿宋" w:hAnsi="仿宋" w:eastAsia="仿宋"/>
          <w:color w:val="000000"/>
          <w:sz w:val="32"/>
          <w:szCs w:val="32"/>
          <w:highlight w:val="none"/>
          <w:lang w:val="en-US" w:eastAsia="zh-CN"/>
        </w:rPr>
        <w:t>13.11万元，占0.16%。</w:t>
      </w:r>
    </w:p>
    <w:p>
      <w:pPr>
        <w:spacing w:line="600" w:lineRule="exact"/>
        <w:ind w:firstLine="640" w:firstLineChars="200"/>
        <w:outlineLvl w:val="1"/>
        <w:rPr>
          <w:rFonts w:hint="eastAsia" w:ascii="仿宋" w:hAnsi="仿宋" w:eastAsia="仿宋"/>
          <w:color w:val="000000"/>
          <w:sz w:val="32"/>
          <w:szCs w:val="32"/>
          <w:highlight w:val="none"/>
          <w:lang w:val="en-US" w:eastAsia="zh-CN"/>
        </w:rPr>
      </w:pPr>
    </w:p>
    <w:p>
      <w:pPr>
        <w:pStyle w:val="2"/>
      </w:pPr>
      <w:r>
        <w:drawing>
          <wp:inline distT="0" distB="0" distL="114300" distR="114300">
            <wp:extent cx="5256530" cy="2988310"/>
            <wp:effectExtent l="5080" t="4445" r="8890" b="1714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spacing w:line="600" w:lineRule="exact"/>
        <w:ind w:firstLine="640" w:firstLineChars="200"/>
        <w:rPr>
          <w:rFonts w:ascii="黑体" w:hAnsi="黑体" w:eastAsia="黑体"/>
          <w:color w:val="000000"/>
          <w:sz w:val="32"/>
          <w:szCs w:val="32"/>
        </w:rPr>
      </w:pPr>
      <w:r>
        <w:rPr>
          <w:rFonts w:hint="eastAsia" w:ascii="仿宋" w:hAnsi="仿宋" w:eastAsia="仿宋"/>
          <w:color w:val="000000"/>
          <w:sz w:val="32"/>
          <w:szCs w:val="32"/>
        </w:rPr>
        <w:t>（图</w:t>
      </w:r>
      <w:r>
        <w:rPr>
          <w:rFonts w:ascii="仿宋" w:hAnsi="仿宋" w:eastAsia="仿宋"/>
          <w:color w:val="000000"/>
          <w:sz w:val="32"/>
          <w:szCs w:val="32"/>
        </w:rPr>
        <w:t>3</w:t>
      </w:r>
      <w:r>
        <w:rPr>
          <w:rFonts w:hint="eastAsia" w:ascii="仿宋" w:hAnsi="仿宋" w:eastAsia="仿宋"/>
          <w:color w:val="000000"/>
          <w:sz w:val="32"/>
          <w:szCs w:val="32"/>
        </w:rPr>
        <w:t>：支出决算结构图）（饼状图）</w:t>
      </w:r>
    </w:p>
    <w:p>
      <w:pPr>
        <w:spacing w:line="600" w:lineRule="exact"/>
        <w:ind w:firstLine="640" w:firstLineChars="200"/>
        <w:rPr>
          <w:rFonts w:ascii="仿宋_GB2312" w:eastAsia="仿宋_GB2312"/>
          <w:sz w:val="32"/>
          <w:szCs w:val="32"/>
        </w:rPr>
      </w:pPr>
    </w:p>
    <w:p>
      <w:pPr>
        <w:spacing w:line="600" w:lineRule="exact"/>
        <w:ind w:firstLine="640" w:firstLineChars="200"/>
        <w:outlineLvl w:val="1"/>
        <w:rPr>
          <w:rStyle w:val="32"/>
          <w:rFonts w:ascii="黑体" w:hAnsi="黑体" w:eastAsia="黑体"/>
          <w:b w:val="0"/>
        </w:rPr>
      </w:pPr>
      <w:bookmarkStart w:id="24" w:name="_Toc15396606"/>
      <w:bookmarkStart w:id="25" w:name="_Toc15377208"/>
      <w:r>
        <w:rPr>
          <w:rFonts w:hint="eastAsia" w:ascii="黑体" w:hAnsi="黑体" w:eastAsia="黑体"/>
          <w:sz w:val="32"/>
          <w:szCs w:val="32"/>
        </w:rPr>
        <w:t>四、财</w:t>
      </w:r>
      <w:r>
        <w:rPr>
          <w:rStyle w:val="32"/>
          <w:rFonts w:hint="eastAsia" w:ascii="黑体" w:hAnsi="黑体" w:eastAsia="黑体"/>
          <w:b w:val="0"/>
        </w:rPr>
        <w:t>政拨款收入支出决算总体情况说明</w:t>
      </w:r>
      <w:bookmarkEnd w:id="24"/>
      <w:bookmarkEnd w:id="25"/>
    </w:p>
    <w:p>
      <w:pPr>
        <w:spacing w:line="600" w:lineRule="exact"/>
        <w:ind w:firstLine="640"/>
        <w:rPr>
          <w:rFonts w:hint="eastAsia" w:ascii="仿宋" w:hAnsi="仿宋" w:eastAsia="仿宋"/>
          <w:sz w:val="32"/>
          <w:szCs w:val="32"/>
          <w:lang w:eastAsia="zh-CN"/>
        </w:rPr>
      </w:pPr>
      <w:r>
        <w:rPr>
          <w:rFonts w:ascii="仿宋" w:hAnsi="仿宋" w:eastAsia="仿宋"/>
          <w:sz w:val="32"/>
          <w:szCs w:val="32"/>
        </w:rPr>
        <w:t>20</w:t>
      </w:r>
      <w:r>
        <w:rPr>
          <w:rFonts w:hint="eastAsia" w:ascii="仿宋" w:hAnsi="仿宋" w:eastAsia="仿宋"/>
          <w:sz w:val="32"/>
          <w:szCs w:val="32"/>
        </w:rPr>
        <w:t>22年财政拨款收、支总计</w:t>
      </w:r>
      <w:r>
        <w:rPr>
          <w:rFonts w:hint="eastAsia" w:ascii="仿宋" w:hAnsi="仿宋" w:eastAsia="仿宋"/>
          <w:sz w:val="32"/>
          <w:szCs w:val="32"/>
          <w:lang w:val="en-US" w:eastAsia="zh-CN"/>
        </w:rPr>
        <w:t>7849.48</w:t>
      </w:r>
      <w:r>
        <w:rPr>
          <w:rFonts w:hint="eastAsia" w:ascii="仿宋" w:hAnsi="仿宋" w:eastAsia="仿宋"/>
          <w:sz w:val="32"/>
          <w:szCs w:val="32"/>
        </w:rPr>
        <w:t>万元。与</w:t>
      </w:r>
      <w:r>
        <w:rPr>
          <w:rFonts w:ascii="仿宋" w:hAnsi="仿宋" w:eastAsia="仿宋"/>
          <w:sz w:val="32"/>
          <w:szCs w:val="32"/>
        </w:rPr>
        <w:t>20</w:t>
      </w:r>
      <w:r>
        <w:rPr>
          <w:rFonts w:hint="eastAsia" w:ascii="仿宋" w:hAnsi="仿宋" w:eastAsia="仿宋"/>
          <w:sz w:val="32"/>
          <w:szCs w:val="32"/>
        </w:rPr>
        <w:t>21年相比，财政拨款收、支总计各减少</w:t>
      </w:r>
      <w:r>
        <w:rPr>
          <w:rFonts w:hint="eastAsia" w:ascii="仿宋" w:hAnsi="仿宋" w:eastAsia="仿宋"/>
          <w:sz w:val="32"/>
          <w:szCs w:val="32"/>
          <w:lang w:val="en-US" w:eastAsia="zh-CN"/>
        </w:rPr>
        <w:t>252.62</w:t>
      </w:r>
      <w:r>
        <w:rPr>
          <w:rFonts w:hint="eastAsia" w:ascii="仿宋" w:hAnsi="仿宋" w:eastAsia="仿宋"/>
          <w:sz w:val="32"/>
          <w:szCs w:val="32"/>
        </w:rPr>
        <w:t>万元，下降</w:t>
      </w:r>
      <w:r>
        <w:rPr>
          <w:rFonts w:hint="eastAsia" w:ascii="仿宋" w:hAnsi="仿宋" w:eastAsia="仿宋"/>
          <w:sz w:val="32"/>
          <w:szCs w:val="32"/>
          <w:lang w:val="en-US" w:eastAsia="zh-CN"/>
        </w:rPr>
        <w:t>3.12</w:t>
      </w:r>
      <w:r>
        <w:rPr>
          <w:rFonts w:ascii="仿宋" w:hAnsi="仿宋" w:eastAsia="仿宋"/>
          <w:sz w:val="32"/>
          <w:szCs w:val="32"/>
        </w:rPr>
        <w:t>%</w:t>
      </w:r>
      <w:r>
        <w:rPr>
          <w:rFonts w:hint="eastAsia" w:ascii="仿宋" w:hAnsi="仿宋" w:eastAsia="仿宋"/>
          <w:sz w:val="32"/>
          <w:szCs w:val="32"/>
        </w:rPr>
        <w:t>。主要变动原因</w:t>
      </w:r>
      <w:r>
        <w:rPr>
          <w:rFonts w:hint="eastAsia" w:ascii="仿宋" w:hAnsi="仿宋" w:eastAsia="仿宋"/>
          <w:sz w:val="32"/>
          <w:szCs w:val="32"/>
          <w:lang w:eastAsia="zh-CN"/>
        </w:rPr>
        <w:t>是财政拨款减少，基本支出减少。</w:t>
      </w:r>
    </w:p>
    <w:p>
      <w:pPr>
        <w:pStyle w:val="2"/>
        <w:rPr>
          <w:rFonts w:hint="eastAsia"/>
          <w:lang w:eastAsia="zh-CN"/>
        </w:rPr>
      </w:pPr>
      <w:r>
        <w:rPr>
          <w:rFonts w:hint="eastAsia" w:eastAsia="仿宋"/>
          <w:lang w:eastAsia="zh-CN"/>
        </w:rPr>
        <w:drawing>
          <wp:inline distT="0" distB="0" distL="114300" distR="114300">
            <wp:extent cx="5256530" cy="2988310"/>
            <wp:effectExtent l="5080" t="4445" r="8890" b="1714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pStyle w:val="2"/>
        <w:rPr>
          <w:rFonts w:hint="eastAsia"/>
          <w:lang w:eastAsia="zh-CN"/>
        </w:rPr>
      </w:pPr>
    </w:p>
    <w:p>
      <w:pPr>
        <w:spacing w:line="600" w:lineRule="exact"/>
        <w:ind w:firstLine="640" w:firstLineChars="200"/>
        <w:rPr>
          <w:rFonts w:eastAsia="仿宋"/>
          <w:i/>
          <w:color w:val="000000"/>
          <w:sz w:val="32"/>
          <w:szCs w:val="32"/>
        </w:rPr>
      </w:pPr>
      <w:r>
        <w:rPr>
          <w:rFonts w:eastAsia="仿宋"/>
          <w:i w:val="0"/>
          <w:iCs/>
          <w:color w:val="000000"/>
          <w:sz w:val="32"/>
          <w:szCs w:val="32"/>
          <w:highlight w:val="none"/>
        </w:rPr>
        <w:t>（图4：财政拨款收、支决算总计变动情况）（柱状图）</w:t>
      </w:r>
    </w:p>
    <w:p>
      <w:pPr>
        <w:spacing w:line="600" w:lineRule="exact"/>
        <w:ind w:firstLine="640"/>
        <w:rPr>
          <w:rFonts w:ascii="仿宋" w:hAnsi="仿宋" w:eastAsia="仿宋"/>
          <w:b/>
          <w:sz w:val="32"/>
          <w:szCs w:val="32"/>
        </w:rPr>
      </w:pPr>
    </w:p>
    <w:p>
      <w:pPr>
        <w:spacing w:line="600" w:lineRule="exact"/>
        <w:ind w:firstLine="640" w:firstLineChars="200"/>
        <w:outlineLvl w:val="1"/>
        <w:rPr>
          <w:rStyle w:val="32"/>
          <w:rFonts w:ascii="黑体" w:hAnsi="黑体" w:eastAsia="黑体"/>
          <w:b w:val="0"/>
        </w:rPr>
      </w:pPr>
      <w:bookmarkStart w:id="26" w:name="_Toc15396607"/>
      <w:bookmarkStart w:id="27" w:name="_Toc15377209"/>
      <w:r>
        <w:rPr>
          <w:rFonts w:hint="eastAsia" w:ascii="黑体" w:hAnsi="黑体" w:eastAsia="黑体"/>
          <w:sz w:val="32"/>
          <w:szCs w:val="32"/>
        </w:rPr>
        <w:t>五、</w:t>
      </w:r>
      <w:r>
        <w:rPr>
          <w:rFonts w:hint="eastAsia" w:ascii="黑体" w:hAnsi="黑体" w:eastAsia="黑体"/>
          <w:b/>
          <w:sz w:val="32"/>
          <w:szCs w:val="32"/>
        </w:rPr>
        <w:t>一</w:t>
      </w:r>
      <w:r>
        <w:rPr>
          <w:rStyle w:val="32"/>
          <w:rFonts w:hint="eastAsia" w:ascii="黑体" w:hAnsi="黑体" w:eastAsia="黑体"/>
          <w:b w:val="0"/>
        </w:rPr>
        <w:t>般公共预算财政拨款支出决算情况说明</w:t>
      </w:r>
      <w:bookmarkEnd w:id="26"/>
      <w:bookmarkEnd w:id="27"/>
    </w:p>
    <w:p>
      <w:pPr>
        <w:spacing w:line="600" w:lineRule="exact"/>
        <w:ind w:firstLine="643" w:firstLineChars="200"/>
        <w:outlineLvl w:val="2"/>
        <w:rPr>
          <w:rFonts w:ascii="仿宋" w:hAnsi="仿宋" w:eastAsia="仿宋"/>
          <w:b/>
          <w:sz w:val="32"/>
          <w:szCs w:val="32"/>
        </w:rPr>
      </w:pPr>
      <w:bookmarkStart w:id="28" w:name="_Toc15377210"/>
      <w:r>
        <w:rPr>
          <w:rFonts w:hint="eastAsia" w:ascii="仿宋" w:hAnsi="仿宋" w:eastAsia="仿宋"/>
          <w:b/>
          <w:sz w:val="32"/>
          <w:szCs w:val="32"/>
        </w:rPr>
        <w:t>（一）一般公共预算财政拨款支出决算总体情况</w:t>
      </w:r>
      <w:bookmarkEnd w:id="28"/>
    </w:p>
    <w:p>
      <w:pPr>
        <w:spacing w:line="600" w:lineRule="exact"/>
        <w:ind w:firstLine="640" w:firstLineChars="200"/>
        <w:rPr>
          <w:rFonts w:hint="eastAsia" w:ascii="仿宋" w:hAnsi="仿宋" w:eastAsia="仿宋"/>
          <w:sz w:val="32"/>
          <w:szCs w:val="32"/>
          <w:lang w:eastAsia="zh-CN"/>
        </w:rPr>
      </w:pPr>
      <w:r>
        <w:rPr>
          <w:rFonts w:ascii="仿宋" w:hAnsi="仿宋" w:eastAsia="仿宋"/>
          <w:sz w:val="32"/>
          <w:szCs w:val="32"/>
        </w:rPr>
        <w:t>20</w:t>
      </w:r>
      <w:r>
        <w:rPr>
          <w:rFonts w:hint="eastAsia" w:ascii="仿宋" w:hAnsi="仿宋" w:eastAsia="仿宋"/>
          <w:sz w:val="32"/>
          <w:szCs w:val="32"/>
        </w:rPr>
        <w:t>22年一般公共预算财政拨款支出</w:t>
      </w:r>
      <w:r>
        <w:rPr>
          <w:rFonts w:hint="eastAsia" w:ascii="仿宋" w:hAnsi="仿宋" w:eastAsia="仿宋"/>
          <w:sz w:val="32"/>
          <w:szCs w:val="32"/>
          <w:lang w:val="en-US" w:eastAsia="zh-CN"/>
        </w:rPr>
        <w:t>7480.97</w:t>
      </w:r>
      <w:r>
        <w:rPr>
          <w:rFonts w:hint="eastAsia" w:ascii="仿宋" w:hAnsi="仿宋" w:eastAsia="仿宋"/>
          <w:sz w:val="32"/>
          <w:szCs w:val="32"/>
        </w:rPr>
        <w:t>万元，占本年支出合计的</w:t>
      </w:r>
      <w:r>
        <w:rPr>
          <w:rFonts w:hint="eastAsia" w:ascii="仿宋" w:hAnsi="仿宋" w:eastAsia="仿宋"/>
          <w:sz w:val="32"/>
          <w:szCs w:val="32"/>
          <w:lang w:val="en-US" w:eastAsia="zh-CN"/>
        </w:rPr>
        <w:t>95.31</w:t>
      </w:r>
      <w:r>
        <w:rPr>
          <w:rFonts w:ascii="仿宋" w:hAnsi="仿宋" w:eastAsia="仿宋"/>
          <w:sz w:val="32"/>
          <w:szCs w:val="32"/>
        </w:rPr>
        <w:t>%</w:t>
      </w:r>
      <w:r>
        <w:rPr>
          <w:rFonts w:hint="eastAsia" w:ascii="仿宋" w:hAnsi="仿宋" w:eastAsia="仿宋"/>
          <w:sz w:val="32"/>
          <w:szCs w:val="32"/>
        </w:rPr>
        <w:t>。与</w:t>
      </w:r>
      <w:r>
        <w:rPr>
          <w:rFonts w:ascii="仿宋" w:hAnsi="仿宋" w:eastAsia="仿宋"/>
          <w:sz w:val="32"/>
          <w:szCs w:val="32"/>
        </w:rPr>
        <w:t>20</w:t>
      </w:r>
      <w:r>
        <w:rPr>
          <w:rFonts w:hint="eastAsia" w:ascii="仿宋" w:hAnsi="仿宋" w:eastAsia="仿宋"/>
          <w:sz w:val="32"/>
          <w:szCs w:val="32"/>
        </w:rPr>
        <w:t>21年相比，一般公共预算财政拨款支出增加</w:t>
      </w:r>
      <w:r>
        <w:rPr>
          <w:rFonts w:hint="eastAsia" w:ascii="仿宋" w:hAnsi="仿宋" w:eastAsia="仿宋"/>
          <w:sz w:val="32"/>
          <w:szCs w:val="32"/>
          <w:lang w:val="en-US" w:eastAsia="zh-CN"/>
        </w:rPr>
        <w:t>86.41</w:t>
      </w:r>
      <w:r>
        <w:rPr>
          <w:rFonts w:hint="eastAsia" w:ascii="仿宋" w:hAnsi="仿宋" w:eastAsia="仿宋"/>
          <w:sz w:val="32"/>
          <w:szCs w:val="32"/>
        </w:rPr>
        <w:t>万元，增长</w:t>
      </w:r>
      <w:r>
        <w:rPr>
          <w:rFonts w:hint="eastAsia" w:ascii="仿宋" w:hAnsi="仿宋" w:eastAsia="仿宋"/>
          <w:sz w:val="32"/>
          <w:szCs w:val="32"/>
          <w:lang w:val="en-US" w:eastAsia="zh-CN"/>
        </w:rPr>
        <w:t>1.17</w:t>
      </w:r>
      <w:r>
        <w:rPr>
          <w:rFonts w:ascii="仿宋" w:hAnsi="仿宋" w:eastAsia="仿宋"/>
          <w:sz w:val="32"/>
          <w:szCs w:val="32"/>
        </w:rPr>
        <w:t>%</w:t>
      </w:r>
      <w:r>
        <w:rPr>
          <w:rFonts w:hint="eastAsia" w:ascii="仿宋" w:hAnsi="仿宋" w:eastAsia="仿宋"/>
          <w:sz w:val="32"/>
          <w:szCs w:val="32"/>
        </w:rPr>
        <w:t>。主要变动原因</w:t>
      </w:r>
      <w:r>
        <w:rPr>
          <w:rFonts w:hint="eastAsia" w:ascii="仿宋" w:hAnsi="仿宋" w:eastAsia="仿宋"/>
          <w:sz w:val="32"/>
          <w:szCs w:val="32"/>
          <w:lang w:eastAsia="zh-CN"/>
        </w:rPr>
        <w:t>是社会保障和就业支出增加。</w:t>
      </w:r>
    </w:p>
    <w:p>
      <w:pPr>
        <w:pStyle w:val="2"/>
        <w:rPr>
          <w:rFonts w:hint="eastAsia"/>
          <w:lang w:eastAsia="zh-CN"/>
        </w:rPr>
      </w:pPr>
      <w:r>
        <w:rPr>
          <w:rFonts w:hint="eastAsia"/>
          <w:lang w:eastAsia="zh-CN"/>
        </w:rPr>
        <w:drawing>
          <wp:inline distT="0" distB="0" distL="114300" distR="114300">
            <wp:extent cx="5256530" cy="2988310"/>
            <wp:effectExtent l="5080" t="4445" r="8890" b="17145"/>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ind w:firstLine="640" w:firstLineChars="200"/>
        <w:rPr>
          <w:rFonts w:eastAsia="仿宋"/>
          <w:i/>
          <w:color w:val="000000"/>
          <w:sz w:val="32"/>
          <w:szCs w:val="32"/>
        </w:rPr>
      </w:pPr>
      <w:r>
        <w:rPr>
          <w:rFonts w:eastAsia="仿宋"/>
          <w:i w:val="0"/>
          <w:iCs/>
          <w:color w:val="000000"/>
          <w:sz w:val="32"/>
          <w:szCs w:val="32"/>
          <w:highlight w:val="none"/>
        </w:rPr>
        <w:t>（图5：一般公共预算财政拨款支出决算变动情况）（柱状图）</w:t>
      </w:r>
    </w:p>
    <w:p>
      <w:pPr>
        <w:spacing w:line="600" w:lineRule="exact"/>
        <w:ind w:firstLine="640" w:firstLineChars="200"/>
        <w:rPr>
          <w:rFonts w:ascii="仿宋" w:hAnsi="仿宋" w:eastAsia="仿宋"/>
          <w:sz w:val="32"/>
          <w:szCs w:val="32"/>
        </w:rPr>
      </w:pPr>
    </w:p>
    <w:p>
      <w:pPr>
        <w:spacing w:line="600" w:lineRule="exact"/>
        <w:ind w:firstLine="643" w:firstLineChars="200"/>
        <w:outlineLvl w:val="2"/>
        <w:rPr>
          <w:rFonts w:ascii="仿宋" w:hAnsi="仿宋" w:eastAsia="仿宋"/>
          <w:b/>
          <w:sz w:val="32"/>
          <w:szCs w:val="32"/>
        </w:rPr>
      </w:pPr>
      <w:bookmarkStart w:id="29" w:name="_Toc15377211"/>
      <w:r>
        <w:rPr>
          <w:rFonts w:hint="eastAsia" w:ascii="仿宋" w:hAnsi="仿宋" w:eastAsia="仿宋"/>
          <w:b/>
          <w:sz w:val="32"/>
          <w:szCs w:val="32"/>
        </w:rPr>
        <w:t>（二）一般公共预算财政拨款支出决算结构情况</w:t>
      </w:r>
      <w:bookmarkEnd w:id="29"/>
    </w:p>
    <w:p>
      <w:pPr>
        <w:spacing w:line="600" w:lineRule="exact"/>
        <w:ind w:firstLine="640"/>
        <w:rPr>
          <w:rFonts w:hint="eastAsia" w:ascii="仿宋" w:hAnsi="仿宋" w:eastAsia="仿宋"/>
          <w:sz w:val="32"/>
          <w:szCs w:val="32"/>
          <w:lang w:val="en-US" w:eastAsia="zh-CN"/>
        </w:rPr>
      </w:pPr>
      <w:r>
        <w:rPr>
          <w:rFonts w:ascii="仿宋" w:hAnsi="仿宋" w:eastAsia="仿宋"/>
          <w:sz w:val="32"/>
          <w:szCs w:val="32"/>
        </w:rPr>
        <w:t>20</w:t>
      </w:r>
      <w:r>
        <w:rPr>
          <w:rFonts w:hint="eastAsia" w:ascii="仿宋" w:hAnsi="仿宋" w:eastAsia="仿宋"/>
          <w:sz w:val="32"/>
          <w:szCs w:val="32"/>
        </w:rPr>
        <w:t>22年一般公共预算财政拨款支出</w:t>
      </w:r>
      <w:r>
        <w:rPr>
          <w:rFonts w:hint="eastAsia" w:ascii="仿宋" w:hAnsi="仿宋" w:eastAsia="仿宋"/>
          <w:sz w:val="32"/>
          <w:szCs w:val="32"/>
          <w:lang w:val="en-US" w:eastAsia="zh-CN"/>
        </w:rPr>
        <w:t>7480.97</w:t>
      </w:r>
      <w:r>
        <w:rPr>
          <w:rFonts w:hint="eastAsia" w:ascii="仿宋" w:hAnsi="仿宋" w:eastAsia="仿宋"/>
          <w:sz w:val="32"/>
          <w:szCs w:val="32"/>
        </w:rPr>
        <w:t>万元，主要用于以下方面</w:t>
      </w:r>
      <w:r>
        <w:rPr>
          <w:rFonts w:ascii="仿宋" w:hAnsi="仿宋" w:eastAsia="仿宋"/>
          <w:sz w:val="32"/>
          <w:szCs w:val="32"/>
        </w:rPr>
        <w:t>:</w:t>
      </w:r>
      <w:r>
        <w:rPr>
          <w:rFonts w:hint="eastAsia" w:ascii="仿宋" w:hAnsi="仿宋" w:eastAsia="仿宋"/>
          <w:b/>
          <w:sz w:val="32"/>
          <w:szCs w:val="32"/>
        </w:rPr>
        <w:t>一般公共服务</w:t>
      </w:r>
      <w:r>
        <w:rPr>
          <w:rFonts w:hint="eastAsia" w:ascii="仿宋" w:hAnsi="仿宋" w:eastAsia="仿宋"/>
          <w:b/>
          <w:bCs/>
          <w:sz w:val="32"/>
          <w:szCs w:val="32"/>
        </w:rPr>
        <w:t>支出</w:t>
      </w:r>
      <w:r>
        <w:rPr>
          <w:rFonts w:hint="eastAsia" w:ascii="仿宋" w:hAnsi="仿宋" w:eastAsia="仿宋"/>
          <w:b/>
          <w:bCs/>
          <w:sz w:val="32"/>
          <w:szCs w:val="32"/>
          <w:lang w:val="en-US" w:eastAsia="zh-CN"/>
        </w:rPr>
        <w:t>773.58</w:t>
      </w:r>
      <w:r>
        <w:rPr>
          <w:rFonts w:hint="eastAsia" w:ascii="仿宋" w:hAnsi="仿宋" w:eastAsia="仿宋"/>
          <w:sz w:val="32"/>
          <w:szCs w:val="32"/>
        </w:rPr>
        <w:t>万元，占</w:t>
      </w:r>
      <w:r>
        <w:rPr>
          <w:rFonts w:hint="eastAsia" w:ascii="仿宋" w:hAnsi="仿宋" w:eastAsia="仿宋"/>
          <w:sz w:val="32"/>
          <w:szCs w:val="32"/>
          <w:lang w:val="en-US" w:eastAsia="zh-CN"/>
        </w:rPr>
        <w:t>10.34</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文化旅游体育与传媒支出</w:t>
      </w:r>
      <w:r>
        <w:rPr>
          <w:rFonts w:hint="eastAsia" w:ascii="仿宋" w:hAnsi="仿宋" w:eastAsia="仿宋"/>
          <w:b/>
          <w:bCs/>
          <w:sz w:val="32"/>
          <w:szCs w:val="32"/>
          <w:lang w:val="en-US" w:eastAsia="zh-CN"/>
        </w:rPr>
        <w:t>197.89</w:t>
      </w:r>
      <w:r>
        <w:rPr>
          <w:rFonts w:hint="eastAsia" w:ascii="仿宋" w:hAnsi="仿宋" w:eastAsia="仿宋"/>
          <w:b/>
          <w:bCs/>
          <w:sz w:val="32"/>
          <w:szCs w:val="32"/>
        </w:rPr>
        <w:t>万元，占</w:t>
      </w:r>
      <w:r>
        <w:rPr>
          <w:rFonts w:hint="eastAsia" w:ascii="仿宋" w:hAnsi="仿宋" w:eastAsia="仿宋"/>
          <w:b/>
          <w:bCs/>
          <w:sz w:val="32"/>
          <w:szCs w:val="32"/>
          <w:lang w:val="en-US" w:eastAsia="zh-CN"/>
        </w:rPr>
        <w:t>2.65</w:t>
      </w:r>
      <w:r>
        <w:rPr>
          <w:rFonts w:ascii="仿宋" w:hAnsi="仿宋" w:eastAsia="仿宋"/>
          <w:b/>
          <w:bCs/>
          <w:sz w:val="32"/>
          <w:szCs w:val="32"/>
        </w:rPr>
        <w:t>%</w:t>
      </w:r>
      <w:r>
        <w:rPr>
          <w:rFonts w:hint="eastAsia" w:ascii="仿宋" w:hAnsi="仿宋" w:eastAsia="仿宋"/>
          <w:sz w:val="32"/>
          <w:szCs w:val="32"/>
        </w:rPr>
        <w:t>；</w:t>
      </w:r>
      <w:r>
        <w:rPr>
          <w:rFonts w:hint="eastAsia" w:ascii="仿宋" w:hAnsi="仿宋" w:eastAsia="仿宋"/>
          <w:sz w:val="32"/>
          <w:szCs w:val="32"/>
          <w:lang w:eastAsia="zh-CN"/>
        </w:rPr>
        <w:t>国防支出</w:t>
      </w:r>
      <w:r>
        <w:rPr>
          <w:rFonts w:hint="eastAsia" w:ascii="仿宋" w:hAnsi="仿宋" w:eastAsia="仿宋"/>
          <w:sz w:val="32"/>
          <w:szCs w:val="32"/>
          <w:lang w:val="en-US" w:eastAsia="zh-CN"/>
        </w:rPr>
        <w:t>5万元，占0.07%；</w:t>
      </w:r>
      <w:r>
        <w:rPr>
          <w:rFonts w:hint="eastAsia" w:ascii="仿宋" w:hAnsi="仿宋" w:eastAsia="仿宋"/>
          <w:b/>
          <w:sz w:val="32"/>
          <w:szCs w:val="32"/>
        </w:rPr>
        <w:t>社会保障和就业</w:t>
      </w:r>
      <w:r>
        <w:rPr>
          <w:rFonts w:hint="eastAsia" w:ascii="仿宋" w:hAnsi="仿宋" w:eastAsia="仿宋"/>
          <w:b/>
          <w:bCs/>
          <w:sz w:val="32"/>
          <w:szCs w:val="32"/>
        </w:rPr>
        <w:t>支出</w:t>
      </w:r>
      <w:r>
        <w:rPr>
          <w:rFonts w:hint="eastAsia" w:ascii="仿宋" w:hAnsi="仿宋" w:eastAsia="仿宋"/>
          <w:b/>
          <w:bCs/>
          <w:sz w:val="32"/>
          <w:szCs w:val="32"/>
          <w:lang w:val="en-US" w:eastAsia="zh-CN"/>
        </w:rPr>
        <w:t>2286.25</w:t>
      </w:r>
      <w:r>
        <w:rPr>
          <w:rFonts w:hint="eastAsia" w:ascii="仿宋" w:hAnsi="仿宋" w:eastAsia="仿宋"/>
          <w:sz w:val="32"/>
          <w:szCs w:val="32"/>
        </w:rPr>
        <w:t>万元，占</w:t>
      </w:r>
      <w:r>
        <w:rPr>
          <w:rFonts w:hint="eastAsia" w:ascii="仿宋" w:hAnsi="仿宋" w:eastAsia="仿宋"/>
          <w:sz w:val="32"/>
          <w:szCs w:val="32"/>
          <w:lang w:val="en-US" w:eastAsia="zh-CN"/>
        </w:rPr>
        <w:t>30.56</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卫生健康支出</w:t>
      </w:r>
      <w:r>
        <w:rPr>
          <w:rFonts w:hint="eastAsia" w:ascii="仿宋" w:hAnsi="仿宋" w:eastAsia="仿宋"/>
          <w:b/>
          <w:bCs/>
          <w:sz w:val="32"/>
          <w:szCs w:val="32"/>
          <w:lang w:val="en-US" w:eastAsia="zh-CN"/>
        </w:rPr>
        <w:t>726.65</w:t>
      </w:r>
      <w:r>
        <w:rPr>
          <w:rFonts w:hint="eastAsia" w:ascii="仿宋" w:hAnsi="仿宋" w:eastAsia="仿宋"/>
          <w:sz w:val="32"/>
          <w:szCs w:val="32"/>
        </w:rPr>
        <w:t>万元，占</w:t>
      </w:r>
      <w:r>
        <w:rPr>
          <w:rFonts w:hint="eastAsia" w:ascii="仿宋" w:hAnsi="仿宋" w:eastAsia="仿宋"/>
          <w:sz w:val="32"/>
          <w:szCs w:val="32"/>
          <w:lang w:val="en-US" w:eastAsia="zh-CN"/>
        </w:rPr>
        <w:t>9.71</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住房保障支出</w:t>
      </w:r>
      <w:r>
        <w:rPr>
          <w:rFonts w:hint="eastAsia" w:ascii="仿宋" w:hAnsi="仿宋" w:eastAsia="仿宋"/>
          <w:b/>
          <w:bCs/>
          <w:sz w:val="32"/>
          <w:szCs w:val="32"/>
          <w:lang w:val="en-US" w:eastAsia="zh-CN"/>
        </w:rPr>
        <w:t>382.72</w:t>
      </w:r>
      <w:r>
        <w:rPr>
          <w:rFonts w:hint="eastAsia" w:ascii="仿宋" w:hAnsi="仿宋" w:eastAsia="仿宋"/>
          <w:sz w:val="32"/>
          <w:szCs w:val="32"/>
        </w:rPr>
        <w:t>万元，占</w:t>
      </w:r>
      <w:r>
        <w:rPr>
          <w:rFonts w:hint="eastAsia" w:ascii="仿宋" w:hAnsi="仿宋" w:eastAsia="仿宋"/>
          <w:sz w:val="32"/>
          <w:szCs w:val="32"/>
          <w:lang w:val="en-US" w:eastAsia="zh-CN"/>
        </w:rPr>
        <w:t>5.12</w:t>
      </w:r>
      <w:r>
        <w:rPr>
          <w:rFonts w:ascii="仿宋" w:hAnsi="仿宋" w:eastAsia="仿宋"/>
          <w:sz w:val="32"/>
          <w:szCs w:val="32"/>
        </w:rPr>
        <w:t>%</w:t>
      </w:r>
      <w:r>
        <w:rPr>
          <w:rFonts w:hint="eastAsia" w:ascii="仿宋" w:hAnsi="仿宋" w:eastAsia="仿宋"/>
          <w:sz w:val="32"/>
          <w:szCs w:val="32"/>
          <w:lang w:eastAsia="zh-CN"/>
        </w:rPr>
        <w:t>；</w:t>
      </w:r>
      <w:r>
        <w:rPr>
          <w:rFonts w:hint="eastAsia" w:ascii="仿宋" w:hAnsi="仿宋" w:eastAsia="仿宋" w:cs="Times New Roman"/>
          <w:b/>
          <w:bCs/>
          <w:sz w:val="32"/>
          <w:szCs w:val="32"/>
          <w:lang w:eastAsia="zh-CN"/>
        </w:rPr>
        <w:t>节能环保支出</w:t>
      </w:r>
      <w:r>
        <w:rPr>
          <w:rFonts w:hint="eastAsia" w:ascii="仿宋" w:hAnsi="仿宋" w:eastAsia="仿宋" w:cs="Times New Roman"/>
          <w:b/>
          <w:bCs/>
          <w:sz w:val="32"/>
          <w:szCs w:val="32"/>
          <w:lang w:val="en-US" w:eastAsia="zh-CN"/>
        </w:rPr>
        <w:t>35.8</w:t>
      </w:r>
      <w:r>
        <w:rPr>
          <w:rFonts w:hint="eastAsia" w:ascii="仿宋" w:hAnsi="仿宋" w:eastAsia="仿宋"/>
          <w:sz w:val="32"/>
          <w:szCs w:val="32"/>
          <w:lang w:val="en-US" w:eastAsia="zh-CN"/>
        </w:rPr>
        <w:t>万元，占0.48%；</w:t>
      </w:r>
      <w:r>
        <w:rPr>
          <w:rFonts w:hint="eastAsia" w:ascii="仿宋" w:hAnsi="仿宋" w:eastAsia="仿宋" w:cs="Times New Roman"/>
          <w:b/>
          <w:bCs/>
          <w:sz w:val="32"/>
          <w:szCs w:val="32"/>
          <w:lang w:val="en-US" w:eastAsia="zh-CN"/>
        </w:rPr>
        <w:t>城乡社区支出189.04</w:t>
      </w:r>
      <w:r>
        <w:rPr>
          <w:rFonts w:hint="eastAsia" w:ascii="仿宋" w:hAnsi="仿宋" w:eastAsia="仿宋"/>
          <w:sz w:val="32"/>
          <w:szCs w:val="32"/>
          <w:lang w:val="en-US" w:eastAsia="zh-CN"/>
        </w:rPr>
        <w:t>万元，占2.52%；</w:t>
      </w:r>
      <w:r>
        <w:rPr>
          <w:rFonts w:hint="eastAsia" w:ascii="仿宋" w:hAnsi="仿宋" w:eastAsia="仿宋" w:cs="Times New Roman"/>
          <w:b/>
          <w:bCs/>
          <w:sz w:val="32"/>
          <w:szCs w:val="32"/>
          <w:lang w:val="en-US" w:eastAsia="zh-CN"/>
        </w:rPr>
        <w:t>农林水支出2871.04万元</w:t>
      </w:r>
      <w:r>
        <w:rPr>
          <w:rFonts w:hint="eastAsia" w:ascii="仿宋" w:hAnsi="仿宋" w:eastAsia="仿宋"/>
          <w:sz w:val="32"/>
          <w:szCs w:val="32"/>
          <w:lang w:val="en-US" w:eastAsia="zh-CN"/>
        </w:rPr>
        <w:t>，占38.38%；灾害防治及应急管理支出13万元，占0.17%。</w:t>
      </w:r>
    </w:p>
    <w:p>
      <w:pPr>
        <w:pStyle w:val="2"/>
        <w:rPr>
          <w:rFonts w:eastAsia="仿宋"/>
          <w:i/>
          <w:color w:val="000000"/>
          <w:sz w:val="32"/>
          <w:szCs w:val="32"/>
          <w:highlight w:val="yellow"/>
        </w:rPr>
      </w:pPr>
      <w:r>
        <w:rPr>
          <w:rFonts w:hint="eastAsia"/>
          <w:lang w:val="en-US" w:eastAsia="zh-CN"/>
        </w:rPr>
        <w:drawing>
          <wp:inline distT="0" distB="0" distL="114300" distR="114300">
            <wp:extent cx="5256530" cy="2988310"/>
            <wp:effectExtent l="5080" t="4445" r="8890" b="17145"/>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640"/>
        <w:rPr>
          <w:rFonts w:eastAsia="仿宋"/>
          <w:i w:val="0"/>
          <w:iCs/>
          <w:color w:val="000000"/>
          <w:sz w:val="32"/>
          <w:szCs w:val="32"/>
          <w:highlight w:val="none"/>
        </w:rPr>
      </w:pPr>
      <w:r>
        <w:rPr>
          <w:rFonts w:eastAsia="仿宋"/>
          <w:i w:val="0"/>
          <w:iCs/>
          <w:color w:val="000000"/>
          <w:sz w:val="32"/>
          <w:szCs w:val="32"/>
          <w:highlight w:val="none"/>
        </w:rPr>
        <w:t>（图6：一般公共预算财政拨款支出决算结构）（饼状图）</w:t>
      </w:r>
    </w:p>
    <w:p>
      <w:pPr>
        <w:spacing w:line="600" w:lineRule="exact"/>
        <w:ind w:firstLine="640" w:firstLineChars="200"/>
        <w:outlineLvl w:val="2"/>
        <w:rPr>
          <w:rFonts w:eastAsia="仿宋"/>
          <w:i/>
          <w:color w:val="000000"/>
          <w:sz w:val="32"/>
          <w:szCs w:val="32"/>
        </w:rPr>
      </w:pPr>
    </w:p>
    <w:p>
      <w:pPr>
        <w:spacing w:line="600" w:lineRule="exact"/>
        <w:ind w:firstLine="643" w:firstLineChars="200"/>
        <w:outlineLvl w:val="2"/>
        <w:rPr>
          <w:rFonts w:ascii="仿宋" w:hAnsi="仿宋" w:eastAsia="仿宋"/>
          <w:b/>
          <w:sz w:val="32"/>
          <w:szCs w:val="32"/>
        </w:rPr>
      </w:pPr>
      <w:bookmarkStart w:id="30" w:name="_Toc15377212"/>
      <w:r>
        <w:rPr>
          <w:rFonts w:hint="eastAsia" w:ascii="仿宋" w:hAnsi="仿宋" w:eastAsia="仿宋"/>
          <w:b/>
          <w:sz w:val="32"/>
          <w:szCs w:val="32"/>
        </w:rPr>
        <w:t>（三）一般公共预算财政拨款支出决算具体情况</w:t>
      </w:r>
      <w:bookmarkEnd w:id="30"/>
    </w:p>
    <w:p>
      <w:pPr>
        <w:spacing w:line="600" w:lineRule="exact"/>
        <w:ind w:firstLine="643" w:firstLineChars="200"/>
        <w:outlineLvl w:val="2"/>
        <w:rPr>
          <w:rFonts w:ascii="仿宋" w:hAnsi="仿宋" w:eastAsia="仿宋"/>
          <w:sz w:val="32"/>
          <w:szCs w:val="32"/>
        </w:rPr>
      </w:pPr>
      <w:bookmarkStart w:id="31" w:name="_Toc15377444"/>
      <w:bookmarkStart w:id="32" w:name="_Toc15377213"/>
      <w:bookmarkStart w:id="33" w:name="_Toc15378460"/>
      <w:r>
        <w:rPr>
          <w:rFonts w:hint="eastAsia" w:ascii="仿宋" w:hAnsi="仿宋" w:eastAsia="仿宋"/>
          <w:b/>
          <w:sz w:val="32"/>
          <w:szCs w:val="32"/>
        </w:rPr>
        <w:t>2022年一般公共预算支出决算数为</w:t>
      </w:r>
      <w:r>
        <w:rPr>
          <w:rFonts w:hint="eastAsia" w:ascii="仿宋" w:hAnsi="仿宋" w:eastAsia="仿宋"/>
          <w:b/>
          <w:sz w:val="32"/>
          <w:szCs w:val="32"/>
          <w:lang w:val="en-US" w:eastAsia="zh-CN"/>
        </w:rPr>
        <w:t>7480.97</w:t>
      </w:r>
      <w:r>
        <w:rPr>
          <w:rFonts w:hint="eastAsia" w:ascii="仿宋" w:hAnsi="仿宋" w:eastAsia="仿宋"/>
          <w:sz w:val="32"/>
          <w:szCs w:val="32"/>
        </w:rPr>
        <w:t>，</w:t>
      </w:r>
      <w:r>
        <w:rPr>
          <w:rStyle w:val="20"/>
          <w:rFonts w:hint="eastAsia" w:ascii="仿宋" w:hAnsi="仿宋" w:eastAsia="仿宋"/>
          <w:bCs/>
          <w:sz w:val="32"/>
          <w:szCs w:val="32"/>
        </w:rPr>
        <w:t>完成预算</w:t>
      </w:r>
      <w:r>
        <w:rPr>
          <w:rStyle w:val="20"/>
          <w:rFonts w:hint="eastAsia" w:ascii="仿宋" w:hAnsi="仿宋" w:eastAsia="仿宋"/>
          <w:bCs/>
          <w:sz w:val="32"/>
          <w:szCs w:val="32"/>
          <w:lang w:val="en-US" w:eastAsia="zh-CN"/>
        </w:rPr>
        <w:t>100</w:t>
      </w:r>
      <w:r>
        <w:rPr>
          <w:rStyle w:val="20"/>
          <w:rFonts w:ascii="仿宋" w:hAnsi="仿宋" w:eastAsia="仿宋"/>
          <w:bCs/>
          <w:sz w:val="32"/>
          <w:szCs w:val="32"/>
        </w:rPr>
        <w:t>%</w:t>
      </w:r>
      <w:r>
        <w:rPr>
          <w:rStyle w:val="20"/>
          <w:rFonts w:hint="eastAsia" w:ascii="仿宋" w:hAnsi="仿宋" w:eastAsia="仿宋"/>
          <w:bCs/>
          <w:sz w:val="32"/>
          <w:szCs w:val="32"/>
        </w:rPr>
        <w:t>。其中：</w:t>
      </w:r>
      <w:bookmarkEnd w:id="31"/>
      <w:bookmarkEnd w:id="32"/>
      <w:bookmarkEnd w:id="33"/>
    </w:p>
    <w:p>
      <w:pPr>
        <w:numPr>
          <w:ilvl w:val="0"/>
          <w:numId w:val="2"/>
        </w:numPr>
        <w:spacing w:line="600" w:lineRule="exact"/>
        <w:ind w:firstLine="643" w:firstLineChars="200"/>
        <w:rPr>
          <w:rStyle w:val="20"/>
          <w:rFonts w:ascii="仿宋" w:hAnsi="仿宋" w:eastAsia="仿宋"/>
          <w:b w:val="0"/>
          <w:bCs/>
          <w:sz w:val="32"/>
          <w:szCs w:val="32"/>
        </w:rPr>
      </w:pPr>
      <w:r>
        <w:rPr>
          <w:rStyle w:val="20"/>
          <w:rFonts w:hint="eastAsia" w:ascii="仿宋" w:hAnsi="仿宋" w:eastAsia="仿宋"/>
          <w:bCs/>
          <w:sz w:val="32"/>
          <w:szCs w:val="32"/>
        </w:rPr>
        <w:t>一般公共服务</w:t>
      </w:r>
      <w:r>
        <w:rPr>
          <w:rStyle w:val="20"/>
          <w:rFonts w:hint="eastAsia" w:ascii="仿宋" w:hAnsi="仿宋" w:eastAsia="仿宋"/>
          <w:bCs/>
          <w:sz w:val="32"/>
          <w:szCs w:val="32"/>
          <w:lang w:eastAsia="zh-CN"/>
        </w:rPr>
        <w:t>支出</w:t>
      </w:r>
      <w:r>
        <w:rPr>
          <w:rStyle w:val="20"/>
          <w:rFonts w:ascii="仿宋" w:hAnsi="仿宋" w:eastAsia="仿宋"/>
          <w:b w:val="0"/>
          <w:bCs/>
          <w:sz w:val="32"/>
          <w:szCs w:val="32"/>
        </w:rPr>
        <w:t xml:space="preserve"> </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人大事务（2010101）,</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年决算数为</w:t>
      </w:r>
      <w:r>
        <w:rPr>
          <w:rFonts w:hint="eastAsia" w:ascii="仿宋_GB2312" w:eastAsia="仿宋_GB2312"/>
          <w:color w:val="000000"/>
          <w:sz w:val="32"/>
          <w:szCs w:val="32"/>
          <w:lang w:val="en-US" w:eastAsia="zh-CN"/>
        </w:rPr>
        <w:t>23.51</w:t>
      </w:r>
      <w:r>
        <w:rPr>
          <w:rFonts w:hint="eastAsia" w:ascii="仿宋_GB2312" w:eastAsia="仿宋_GB2312"/>
          <w:color w:val="000000"/>
          <w:sz w:val="32"/>
          <w:szCs w:val="32"/>
        </w:rPr>
        <w:t>万元，完成预算100%。</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行政运行(2010301),</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年决算数为</w:t>
      </w:r>
      <w:r>
        <w:rPr>
          <w:rFonts w:hint="eastAsia" w:ascii="仿宋_GB2312" w:eastAsia="仿宋_GB2312"/>
          <w:color w:val="000000"/>
          <w:sz w:val="32"/>
          <w:szCs w:val="32"/>
          <w:lang w:val="en-US" w:eastAsia="zh-CN"/>
        </w:rPr>
        <w:t>566.8</w:t>
      </w:r>
      <w:r>
        <w:rPr>
          <w:rFonts w:hint="eastAsia" w:ascii="仿宋_GB2312" w:eastAsia="仿宋_GB2312"/>
          <w:color w:val="000000"/>
          <w:sz w:val="32"/>
          <w:szCs w:val="32"/>
        </w:rPr>
        <w:t>万元，完成预算100%。</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 xml:space="preserve">  其他政府办公厅（室）及相关机构事务支出(2010399),</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年决算数为</w:t>
      </w:r>
      <w:r>
        <w:rPr>
          <w:rFonts w:hint="eastAsia" w:ascii="仿宋_GB2312" w:eastAsia="仿宋_GB2312"/>
          <w:color w:val="000000"/>
          <w:sz w:val="32"/>
          <w:szCs w:val="32"/>
          <w:lang w:val="en-US" w:eastAsia="zh-CN"/>
        </w:rPr>
        <w:t>6.24</w:t>
      </w:r>
      <w:r>
        <w:rPr>
          <w:rFonts w:hint="eastAsia" w:ascii="仿宋_GB2312" w:eastAsia="仿宋_GB2312"/>
          <w:color w:val="000000"/>
          <w:sz w:val="32"/>
          <w:szCs w:val="32"/>
        </w:rPr>
        <w:t>万元，完成预算100%。</w:t>
      </w:r>
    </w:p>
    <w:p>
      <w:pPr>
        <w:spacing w:line="60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财政行政运行（2010601）</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年决算数</w:t>
      </w:r>
      <w:r>
        <w:rPr>
          <w:rFonts w:hint="eastAsia" w:ascii="仿宋_GB2312" w:eastAsia="仿宋_GB2312"/>
          <w:color w:val="000000"/>
          <w:sz w:val="32"/>
          <w:szCs w:val="32"/>
          <w:lang w:val="en-US" w:eastAsia="zh-CN"/>
        </w:rPr>
        <w:t>43.63</w:t>
      </w:r>
      <w:r>
        <w:rPr>
          <w:rFonts w:hint="eastAsia" w:ascii="仿宋_GB2312" w:eastAsia="仿宋_GB2312"/>
          <w:color w:val="000000"/>
          <w:sz w:val="32"/>
          <w:szCs w:val="32"/>
        </w:rPr>
        <w:t>万元，完成预算100%。</w:t>
      </w:r>
    </w:p>
    <w:p>
      <w:pPr>
        <w:pStyle w:val="7"/>
        <w:rPr>
          <w:rFonts w:hint="default" w:eastAsia="仿宋_GB2312"/>
          <w:lang w:val="en-US" w:eastAsia="zh-CN"/>
        </w:rPr>
      </w:pPr>
      <w:r>
        <w:rPr>
          <w:rFonts w:hint="eastAsia"/>
          <w:color w:val="000000"/>
          <w:sz w:val="32"/>
          <w:szCs w:val="32"/>
          <w:lang w:val="en-US" w:eastAsia="zh-CN"/>
        </w:rPr>
        <w:t xml:space="preserve">    纪检监察行政运行（2011101）2021年决算数1万元，完成预算100%。</w:t>
      </w:r>
    </w:p>
    <w:p>
      <w:pPr>
        <w:spacing w:line="60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行政运行(2013101),</w:t>
      </w:r>
      <w:r>
        <w:rPr>
          <w:rFonts w:hint="eastAsia" w:ascii="仿宋_GB2312" w:eastAsia="仿宋_GB2312"/>
          <w:color w:val="000000"/>
          <w:sz w:val="32"/>
          <w:szCs w:val="32"/>
          <w:lang w:eastAsia="zh-CN"/>
        </w:rPr>
        <w:t>2022</w:t>
      </w:r>
      <w:r>
        <w:rPr>
          <w:rFonts w:hint="eastAsia" w:ascii="仿宋_GB2312" w:eastAsia="仿宋_GB2312"/>
          <w:color w:val="000000"/>
          <w:sz w:val="32"/>
          <w:szCs w:val="32"/>
        </w:rPr>
        <w:t>年决算数为</w:t>
      </w:r>
      <w:r>
        <w:rPr>
          <w:rFonts w:hint="eastAsia" w:ascii="仿宋_GB2312" w:eastAsia="仿宋_GB2312"/>
          <w:color w:val="000000"/>
          <w:sz w:val="32"/>
          <w:szCs w:val="32"/>
          <w:lang w:val="en-US" w:eastAsia="zh-CN"/>
        </w:rPr>
        <w:t>126.51</w:t>
      </w:r>
      <w:r>
        <w:rPr>
          <w:rFonts w:hint="eastAsia" w:ascii="仿宋_GB2312" w:eastAsia="仿宋_GB2312"/>
          <w:color w:val="000000"/>
          <w:sz w:val="32"/>
          <w:szCs w:val="32"/>
        </w:rPr>
        <w:t>万元，完成预算100%。</w:t>
      </w:r>
    </w:p>
    <w:p>
      <w:pPr>
        <w:spacing w:line="600" w:lineRule="exact"/>
        <w:ind w:firstLine="640" w:firstLineChars="200"/>
        <w:rPr>
          <w:rFonts w:hint="eastAsia" w:ascii="仿宋_GB2312" w:eastAsia="仿宋_GB2312"/>
          <w:color w:val="000000"/>
          <w:sz w:val="32"/>
          <w:szCs w:val="32"/>
          <w:lang w:val="en-US" w:eastAsia="zh-CN"/>
        </w:rPr>
      </w:pPr>
      <w:r>
        <w:rPr>
          <w:rFonts w:hint="eastAsia" w:ascii="仿宋_GB2312" w:eastAsia="仿宋_GB2312"/>
          <w:color w:val="000000"/>
          <w:sz w:val="32"/>
          <w:szCs w:val="32"/>
          <w:lang w:eastAsia="zh-CN"/>
        </w:rPr>
        <w:t>行政运行（</w:t>
      </w:r>
      <w:r>
        <w:rPr>
          <w:rFonts w:hint="eastAsia" w:ascii="仿宋_GB2312" w:eastAsia="仿宋_GB2312"/>
          <w:color w:val="000000"/>
          <w:sz w:val="32"/>
          <w:szCs w:val="32"/>
          <w:lang w:val="en-US" w:eastAsia="zh-CN"/>
        </w:rPr>
        <w:t>2012901</w:t>
      </w: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,2022年决算数为4万元，完成预算100%。</w:t>
      </w:r>
    </w:p>
    <w:p>
      <w:pPr>
        <w:numPr>
          <w:numId w:val="0"/>
        </w:numPr>
        <w:spacing w:line="600" w:lineRule="exact"/>
        <w:rPr>
          <w:rFonts w:ascii="仿宋" w:hAnsi="仿宋" w:eastAsia="仿宋"/>
          <w:b/>
          <w:sz w:val="32"/>
          <w:szCs w:val="32"/>
        </w:rPr>
      </w:pPr>
      <w:r>
        <w:rPr>
          <w:rFonts w:hint="eastAsia" w:ascii="仿宋_GB2312" w:eastAsia="仿宋_GB2312"/>
          <w:color w:val="000000"/>
          <w:sz w:val="32"/>
          <w:szCs w:val="32"/>
          <w:lang w:val="en-US" w:eastAsia="zh-CN"/>
        </w:rPr>
        <w:t>其他组织事务支出（2013299）,2022年决算数为1.89万元。完成预算数100%。</w:t>
      </w:r>
    </w:p>
    <w:p>
      <w:pPr>
        <w:spacing w:line="600" w:lineRule="exact"/>
        <w:ind w:firstLine="643" w:firstLineChars="200"/>
        <w:rPr>
          <w:rStyle w:val="20"/>
          <w:rFonts w:ascii="仿宋" w:hAnsi="仿宋" w:eastAsia="仿宋"/>
          <w:bCs/>
          <w:color w:val="000000"/>
          <w:sz w:val="32"/>
          <w:szCs w:val="32"/>
        </w:rPr>
      </w:pPr>
      <w:r>
        <w:rPr>
          <w:rStyle w:val="20"/>
          <w:rFonts w:hint="eastAsia" w:ascii="仿宋" w:hAnsi="仿宋" w:eastAsia="仿宋"/>
          <w:bCs/>
          <w:color w:val="000000"/>
          <w:sz w:val="32"/>
          <w:szCs w:val="32"/>
          <w:lang w:val="en-US" w:eastAsia="zh-CN"/>
        </w:rPr>
        <w:t>2</w:t>
      </w:r>
      <w:r>
        <w:rPr>
          <w:rStyle w:val="20"/>
          <w:rFonts w:ascii="仿宋" w:hAnsi="仿宋" w:eastAsia="仿宋"/>
          <w:bCs/>
          <w:color w:val="000000"/>
          <w:sz w:val="32"/>
          <w:szCs w:val="32"/>
        </w:rPr>
        <w:t>.</w:t>
      </w:r>
      <w:r>
        <w:rPr>
          <w:rStyle w:val="20"/>
          <w:rFonts w:hint="eastAsia" w:ascii="仿宋" w:hAnsi="仿宋" w:eastAsia="仿宋"/>
          <w:bCs/>
          <w:color w:val="000000"/>
          <w:sz w:val="32"/>
          <w:szCs w:val="32"/>
        </w:rPr>
        <w:t>文化体育与传媒支出</w:t>
      </w:r>
    </w:p>
    <w:p>
      <w:pPr>
        <w:spacing w:line="600" w:lineRule="exact"/>
        <w:ind w:firstLine="640" w:firstLineChars="200"/>
        <w:rPr>
          <w:rFonts w:hint="default" w:eastAsia="仿宋_GB2312"/>
          <w:lang w:val="en-US" w:eastAsia="zh-CN"/>
        </w:rPr>
      </w:pPr>
      <w:r>
        <w:rPr>
          <w:rFonts w:hint="eastAsia" w:ascii="仿宋_GB2312" w:eastAsia="仿宋_GB2312"/>
          <w:color w:val="000000"/>
          <w:sz w:val="32"/>
          <w:szCs w:val="32"/>
        </w:rPr>
        <w:t>群众文化(2070109),</w:t>
      </w:r>
      <w:r>
        <w:rPr>
          <w:rFonts w:hint="eastAsia" w:ascii="仿宋_GB2312" w:eastAsia="仿宋_GB2312"/>
          <w:color w:val="000000"/>
          <w:sz w:val="32"/>
          <w:szCs w:val="32"/>
          <w:lang w:eastAsia="zh-CN"/>
        </w:rPr>
        <w:t>2022</w:t>
      </w:r>
      <w:r>
        <w:rPr>
          <w:rFonts w:hint="eastAsia" w:ascii="仿宋_GB2312" w:eastAsia="仿宋_GB2312"/>
          <w:color w:val="000000"/>
          <w:sz w:val="32"/>
          <w:szCs w:val="32"/>
        </w:rPr>
        <w:t>年决算数为</w:t>
      </w:r>
      <w:r>
        <w:rPr>
          <w:rFonts w:hint="eastAsia" w:ascii="仿宋_GB2312" w:eastAsia="仿宋_GB2312"/>
          <w:color w:val="000000"/>
          <w:sz w:val="32"/>
          <w:szCs w:val="32"/>
          <w:lang w:val="en-US" w:eastAsia="zh-CN"/>
        </w:rPr>
        <w:t>191.34</w:t>
      </w:r>
      <w:r>
        <w:rPr>
          <w:rFonts w:hint="eastAsia" w:ascii="仿宋_GB2312" w:eastAsia="仿宋_GB2312"/>
          <w:color w:val="000000"/>
          <w:sz w:val="32"/>
          <w:szCs w:val="32"/>
        </w:rPr>
        <w:t>万元，完成预算100%。</w:t>
      </w:r>
    </w:p>
    <w:p>
      <w:pPr>
        <w:spacing w:line="600" w:lineRule="exact"/>
        <w:ind w:firstLine="643" w:firstLineChars="200"/>
        <w:rPr>
          <w:rStyle w:val="20"/>
          <w:rFonts w:ascii="仿宋" w:hAnsi="仿宋" w:eastAsia="仿宋"/>
          <w:bCs/>
          <w:color w:val="000000"/>
          <w:sz w:val="32"/>
          <w:szCs w:val="32"/>
        </w:rPr>
      </w:pPr>
      <w:r>
        <w:rPr>
          <w:rStyle w:val="20"/>
          <w:rFonts w:hint="eastAsia" w:ascii="仿宋" w:hAnsi="仿宋" w:eastAsia="仿宋"/>
          <w:bCs/>
          <w:color w:val="000000"/>
          <w:sz w:val="32"/>
          <w:szCs w:val="32"/>
          <w:lang w:val="en-US" w:eastAsia="zh-CN"/>
        </w:rPr>
        <w:t>3</w:t>
      </w:r>
      <w:r>
        <w:rPr>
          <w:rStyle w:val="20"/>
          <w:rFonts w:ascii="仿宋" w:hAnsi="仿宋" w:eastAsia="仿宋"/>
          <w:bCs/>
          <w:color w:val="000000"/>
          <w:sz w:val="32"/>
          <w:szCs w:val="32"/>
        </w:rPr>
        <w:t>.</w:t>
      </w:r>
      <w:r>
        <w:rPr>
          <w:rStyle w:val="20"/>
          <w:rFonts w:hint="eastAsia" w:ascii="仿宋" w:hAnsi="仿宋" w:eastAsia="仿宋"/>
          <w:bCs/>
          <w:color w:val="000000"/>
          <w:sz w:val="32"/>
          <w:szCs w:val="32"/>
        </w:rPr>
        <w:t>社会保障和就业支出</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eastAsia="zh-CN"/>
        </w:rPr>
        <w:t>民政管理事务</w:t>
      </w:r>
      <w:r>
        <w:rPr>
          <w:rFonts w:hint="eastAsia" w:ascii="仿宋_GB2312" w:eastAsia="仿宋_GB2312"/>
          <w:color w:val="000000"/>
          <w:sz w:val="32"/>
          <w:szCs w:val="32"/>
        </w:rPr>
        <w:t>（208</w:t>
      </w:r>
      <w:r>
        <w:rPr>
          <w:rFonts w:hint="eastAsia" w:ascii="仿宋_GB2312" w:eastAsia="仿宋_GB2312"/>
          <w:color w:val="000000"/>
          <w:sz w:val="32"/>
          <w:szCs w:val="32"/>
          <w:lang w:val="en-US" w:eastAsia="zh-CN"/>
        </w:rPr>
        <w:t>02</w:t>
      </w:r>
      <w:r>
        <w:rPr>
          <w:rFonts w:hint="eastAsia" w:ascii="仿宋_GB2312" w:eastAsia="仿宋_GB2312"/>
          <w:color w:val="000000"/>
          <w:sz w:val="32"/>
          <w:szCs w:val="32"/>
        </w:rPr>
        <w:t>），</w:t>
      </w:r>
      <w:r>
        <w:rPr>
          <w:rFonts w:hint="eastAsia" w:ascii="仿宋_GB2312" w:eastAsia="仿宋_GB2312"/>
          <w:color w:val="000000"/>
          <w:sz w:val="32"/>
          <w:szCs w:val="32"/>
          <w:lang w:eastAsia="zh-CN"/>
        </w:rPr>
        <w:t>2022</w:t>
      </w:r>
      <w:r>
        <w:rPr>
          <w:rFonts w:hint="eastAsia" w:ascii="仿宋_GB2312" w:eastAsia="仿宋_GB2312"/>
          <w:color w:val="000000"/>
          <w:sz w:val="32"/>
          <w:szCs w:val="32"/>
        </w:rPr>
        <w:t>年决算数</w:t>
      </w:r>
      <w:r>
        <w:rPr>
          <w:rFonts w:hint="eastAsia" w:ascii="仿宋_GB2312" w:eastAsia="仿宋_GB2312"/>
          <w:color w:val="000000"/>
          <w:sz w:val="32"/>
          <w:szCs w:val="32"/>
          <w:lang w:val="en-US" w:eastAsia="zh-CN"/>
        </w:rPr>
        <w:t>4.93</w:t>
      </w:r>
      <w:r>
        <w:rPr>
          <w:rFonts w:hint="eastAsia" w:ascii="仿宋_GB2312" w:eastAsia="仿宋_GB2312"/>
          <w:color w:val="000000"/>
          <w:sz w:val="32"/>
          <w:szCs w:val="32"/>
        </w:rPr>
        <w:t>万元，完成预算100%。</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机关事业单位基本养老保险缴费支出(2080505),</w:t>
      </w:r>
      <w:r>
        <w:rPr>
          <w:rFonts w:hint="eastAsia" w:ascii="仿宋_GB2312" w:eastAsia="仿宋_GB2312"/>
          <w:color w:val="000000"/>
          <w:sz w:val="32"/>
          <w:szCs w:val="32"/>
          <w:lang w:eastAsia="zh-CN"/>
        </w:rPr>
        <w:t>2022</w:t>
      </w:r>
      <w:r>
        <w:rPr>
          <w:rFonts w:hint="eastAsia" w:ascii="仿宋_GB2312" w:eastAsia="仿宋_GB2312"/>
          <w:color w:val="000000"/>
          <w:sz w:val="32"/>
          <w:szCs w:val="32"/>
        </w:rPr>
        <w:t>年决算数为</w:t>
      </w:r>
      <w:r>
        <w:rPr>
          <w:rFonts w:hint="eastAsia" w:ascii="仿宋_GB2312" w:eastAsia="仿宋_GB2312"/>
          <w:color w:val="000000"/>
          <w:sz w:val="32"/>
          <w:szCs w:val="32"/>
          <w:lang w:val="en-US" w:eastAsia="zh-CN"/>
        </w:rPr>
        <w:t>84.32</w:t>
      </w:r>
      <w:r>
        <w:rPr>
          <w:rFonts w:hint="eastAsia" w:ascii="仿宋_GB2312" w:eastAsia="仿宋_GB2312"/>
          <w:color w:val="000000"/>
          <w:sz w:val="32"/>
          <w:szCs w:val="32"/>
        </w:rPr>
        <w:t>万元，完成预算100%。</w:t>
      </w:r>
      <w:r>
        <w:rPr>
          <w:rFonts w:hint="eastAsia" w:ascii="仿宋_GB2312" w:eastAsia="仿宋_GB2312"/>
          <w:color w:val="000000"/>
          <w:sz w:val="32"/>
          <w:szCs w:val="32"/>
          <w:lang w:val="en-US" w:eastAsia="zh-CN"/>
        </w:rPr>
        <w:t xml:space="preserve"> </w:t>
      </w:r>
    </w:p>
    <w:p>
      <w:pPr>
        <w:spacing w:line="600" w:lineRule="exact"/>
        <w:ind w:firstLine="643" w:firstLineChars="200"/>
        <w:rPr>
          <w:rStyle w:val="20"/>
          <w:rFonts w:hint="eastAsia" w:ascii="仿宋" w:hAnsi="仿宋" w:eastAsia="仿宋"/>
          <w:bCs/>
          <w:color w:val="000000"/>
          <w:sz w:val="32"/>
          <w:szCs w:val="32"/>
          <w:lang w:eastAsia="zh-CN"/>
        </w:rPr>
      </w:pPr>
      <w:r>
        <w:rPr>
          <w:rStyle w:val="20"/>
          <w:rFonts w:hint="eastAsia" w:ascii="仿宋" w:hAnsi="仿宋" w:eastAsia="仿宋"/>
          <w:bCs/>
          <w:color w:val="000000"/>
          <w:sz w:val="32"/>
          <w:szCs w:val="32"/>
          <w:lang w:val="en-US" w:eastAsia="zh-CN"/>
        </w:rPr>
        <w:t>4</w:t>
      </w:r>
      <w:r>
        <w:rPr>
          <w:rStyle w:val="20"/>
          <w:rFonts w:ascii="仿宋" w:hAnsi="仿宋" w:eastAsia="仿宋"/>
          <w:bCs/>
          <w:color w:val="000000"/>
          <w:sz w:val="32"/>
          <w:szCs w:val="32"/>
        </w:rPr>
        <w:t>.</w:t>
      </w:r>
      <w:r>
        <w:rPr>
          <w:rStyle w:val="20"/>
          <w:rFonts w:hint="eastAsia" w:ascii="仿宋" w:hAnsi="仿宋" w:eastAsia="仿宋"/>
          <w:bCs/>
          <w:color w:val="000000"/>
          <w:sz w:val="32"/>
          <w:szCs w:val="32"/>
          <w:lang w:eastAsia="zh-CN"/>
        </w:rPr>
        <w:t>卫生健康支出</w:t>
      </w:r>
    </w:p>
    <w:p>
      <w:pPr>
        <w:spacing w:line="60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lang w:eastAsia="zh-CN"/>
        </w:rPr>
        <w:t>公共卫生支出</w:t>
      </w:r>
      <w:r>
        <w:rPr>
          <w:rFonts w:hint="eastAsia" w:ascii="仿宋_GB2312" w:eastAsia="仿宋_GB2312"/>
          <w:color w:val="000000"/>
          <w:sz w:val="32"/>
          <w:szCs w:val="32"/>
        </w:rPr>
        <w:t>(2100</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w:t>
      </w:r>
      <w:r>
        <w:rPr>
          <w:rFonts w:hint="eastAsia" w:ascii="仿宋_GB2312" w:eastAsia="仿宋_GB2312"/>
          <w:color w:val="000000"/>
          <w:sz w:val="32"/>
          <w:szCs w:val="32"/>
          <w:lang w:eastAsia="zh-CN"/>
        </w:rPr>
        <w:t>2022</w:t>
      </w:r>
      <w:r>
        <w:rPr>
          <w:rFonts w:hint="eastAsia" w:ascii="仿宋_GB2312" w:eastAsia="仿宋_GB2312"/>
          <w:color w:val="000000"/>
          <w:sz w:val="32"/>
          <w:szCs w:val="32"/>
        </w:rPr>
        <w:t>年决算数为</w:t>
      </w:r>
      <w:r>
        <w:rPr>
          <w:rFonts w:hint="eastAsia" w:ascii="仿宋_GB2312" w:eastAsia="仿宋_GB2312"/>
          <w:color w:val="000000"/>
          <w:sz w:val="32"/>
          <w:szCs w:val="32"/>
          <w:lang w:val="en-US" w:eastAsia="zh-CN"/>
        </w:rPr>
        <w:t>249.14</w:t>
      </w:r>
      <w:r>
        <w:rPr>
          <w:rFonts w:hint="eastAsia" w:ascii="仿宋_GB2312" w:eastAsia="仿宋_GB2312"/>
          <w:color w:val="000000"/>
          <w:sz w:val="32"/>
          <w:szCs w:val="32"/>
        </w:rPr>
        <w:t>万元，完成预算100%。</w:t>
      </w:r>
    </w:p>
    <w:p>
      <w:pPr>
        <w:pStyle w:val="7"/>
        <w:rPr>
          <w:rFonts w:hint="default" w:eastAsia="仿宋_GB2312"/>
          <w:lang w:val="en-US" w:eastAsia="zh-CN"/>
        </w:rPr>
      </w:pPr>
      <w:r>
        <w:rPr>
          <w:rFonts w:hint="eastAsia"/>
          <w:color w:val="000000"/>
          <w:sz w:val="32"/>
          <w:szCs w:val="32"/>
          <w:lang w:val="en-US" w:eastAsia="zh-CN"/>
        </w:rPr>
        <w:t xml:space="preserve">    重大公共卫生服务（2100409），2022年决算数为249.14万元，完成预算100%。</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行政单位医疗(2101101),</w:t>
      </w:r>
      <w:r>
        <w:rPr>
          <w:rFonts w:hint="eastAsia" w:ascii="仿宋_GB2312" w:eastAsia="仿宋_GB2312"/>
          <w:color w:val="000000"/>
          <w:sz w:val="32"/>
          <w:szCs w:val="32"/>
          <w:lang w:eastAsia="zh-CN"/>
        </w:rPr>
        <w:t>2022</w:t>
      </w:r>
      <w:r>
        <w:rPr>
          <w:rFonts w:hint="eastAsia" w:ascii="仿宋_GB2312" w:eastAsia="仿宋_GB2312"/>
          <w:color w:val="000000"/>
          <w:sz w:val="32"/>
          <w:szCs w:val="32"/>
        </w:rPr>
        <w:t>年决算数为</w:t>
      </w:r>
      <w:r>
        <w:rPr>
          <w:rFonts w:hint="eastAsia" w:ascii="仿宋_GB2312" w:eastAsia="仿宋_GB2312"/>
          <w:color w:val="000000"/>
          <w:sz w:val="32"/>
          <w:szCs w:val="32"/>
          <w:lang w:val="en-US" w:eastAsia="zh-CN"/>
        </w:rPr>
        <w:t>27.99</w:t>
      </w:r>
      <w:r>
        <w:rPr>
          <w:rFonts w:hint="eastAsia" w:ascii="仿宋_GB2312" w:eastAsia="仿宋_GB2312"/>
          <w:color w:val="000000"/>
          <w:sz w:val="32"/>
          <w:szCs w:val="32"/>
        </w:rPr>
        <w:t>万元，完成预算100%。</w:t>
      </w:r>
    </w:p>
    <w:p>
      <w:pPr>
        <w:spacing w:line="60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事业单位医疗(2101102),</w:t>
      </w:r>
      <w:r>
        <w:rPr>
          <w:rFonts w:hint="eastAsia" w:ascii="仿宋_GB2312" w:eastAsia="仿宋_GB2312"/>
          <w:color w:val="000000"/>
          <w:sz w:val="32"/>
          <w:szCs w:val="32"/>
          <w:lang w:eastAsia="zh-CN"/>
        </w:rPr>
        <w:t>2022</w:t>
      </w:r>
      <w:r>
        <w:rPr>
          <w:rFonts w:hint="eastAsia" w:ascii="仿宋_GB2312" w:eastAsia="仿宋_GB2312"/>
          <w:color w:val="000000"/>
          <w:sz w:val="32"/>
          <w:szCs w:val="32"/>
        </w:rPr>
        <w:t>年决算数为</w:t>
      </w:r>
      <w:r>
        <w:rPr>
          <w:rFonts w:hint="eastAsia" w:ascii="仿宋_GB2312" w:eastAsia="仿宋_GB2312"/>
          <w:color w:val="000000"/>
          <w:sz w:val="32"/>
          <w:szCs w:val="32"/>
          <w:lang w:val="en-US" w:eastAsia="zh-CN"/>
        </w:rPr>
        <w:t>16.82</w:t>
      </w:r>
      <w:r>
        <w:rPr>
          <w:rFonts w:hint="eastAsia" w:ascii="仿宋_GB2312" w:eastAsia="仿宋_GB2312"/>
          <w:color w:val="000000"/>
          <w:sz w:val="32"/>
          <w:szCs w:val="32"/>
        </w:rPr>
        <w:t>万元，完成预算100%。</w:t>
      </w:r>
    </w:p>
    <w:p>
      <w:pPr>
        <w:spacing w:line="600" w:lineRule="exact"/>
        <w:ind w:firstLine="640" w:firstLineChars="200"/>
        <w:rPr>
          <w:rFonts w:hint="default" w:ascii="仿宋_GB2312" w:eastAsia="仿宋_GB2312"/>
          <w:color w:val="000000"/>
          <w:sz w:val="32"/>
          <w:szCs w:val="32"/>
          <w:lang w:val="en-US" w:eastAsia="zh-CN"/>
        </w:rPr>
      </w:pPr>
      <w:r>
        <w:rPr>
          <w:rFonts w:hint="eastAsia" w:ascii="仿宋_GB2312" w:eastAsia="仿宋_GB2312"/>
          <w:color w:val="000000"/>
          <w:sz w:val="32"/>
          <w:szCs w:val="32"/>
          <w:lang w:eastAsia="zh-CN"/>
        </w:rPr>
        <w:t>公务员医疗补助（</w:t>
      </w:r>
      <w:r>
        <w:rPr>
          <w:rFonts w:hint="eastAsia" w:ascii="仿宋_GB2312" w:eastAsia="仿宋_GB2312"/>
          <w:color w:val="000000"/>
          <w:sz w:val="32"/>
          <w:szCs w:val="32"/>
          <w:lang w:val="en-US" w:eastAsia="zh-CN"/>
        </w:rPr>
        <w:t>2101103</w:t>
      </w: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,2022年决算数为5.66万元，完成预算100%。</w:t>
      </w:r>
    </w:p>
    <w:p>
      <w:pPr>
        <w:spacing w:line="600" w:lineRule="exact"/>
        <w:ind w:firstLine="645"/>
        <w:rPr>
          <w:rFonts w:ascii="仿宋_GB2312" w:eastAsia="仿宋_GB2312"/>
          <w:b/>
          <w:color w:val="000000"/>
          <w:sz w:val="32"/>
          <w:szCs w:val="32"/>
        </w:rPr>
      </w:pPr>
      <w:r>
        <w:rPr>
          <w:rFonts w:hint="eastAsia" w:ascii="仿宋_GB2312" w:eastAsia="仿宋_GB2312"/>
          <w:b/>
          <w:color w:val="000000"/>
          <w:sz w:val="32"/>
          <w:szCs w:val="32"/>
          <w:lang w:val="en-US" w:eastAsia="zh-CN"/>
        </w:rPr>
        <w:t>5</w:t>
      </w:r>
      <w:r>
        <w:rPr>
          <w:rFonts w:hint="eastAsia" w:ascii="仿宋_GB2312" w:eastAsia="仿宋_GB2312"/>
          <w:b/>
          <w:color w:val="000000"/>
          <w:sz w:val="32"/>
          <w:szCs w:val="32"/>
        </w:rPr>
        <w:t>.节能环保支出</w:t>
      </w:r>
    </w:p>
    <w:p>
      <w:pPr>
        <w:spacing w:line="600" w:lineRule="exact"/>
        <w:ind w:firstLine="640" w:firstLineChars="200"/>
        <w:rPr>
          <w:rFonts w:hint="default" w:ascii="仿宋" w:hAnsi="仿宋" w:eastAsia="仿宋"/>
          <w:color w:val="000000"/>
          <w:sz w:val="32"/>
          <w:szCs w:val="32"/>
          <w:lang w:val="en-US" w:eastAsia="zh-CN"/>
        </w:rPr>
      </w:pPr>
      <w:r>
        <w:rPr>
          <w:rFonts w:hint="eastAsia" w:ascii="仿宋" w:hAnsi="仿宋" w:eastAsia="仿宋"/>
          <w:color w:val="000000"/>
          <w:sz w:val="32"/>
          <w:szCs w:val="32"/>
        </w:rPr>
        <w:t xml:space="preserve"> </w:t>
      </w:r>
      <w:r>
        <w:rPr>
          <w:rFonts w:hint="eastAsia" w:ascii="仿宋" w:hAnsi="仿宋" w:eastAsia="仿宋"/>
          <w:color w:val="000000"/>
          <w:sz w:val="32"/>
          <w:szCs w:val="32"/>
          <w:lang w:val="en-US" w:eastAsia="zh-CN"/>
        </w:rPr>
        <w:t>节能环保支出（211），</w:t>
      </w:r>
      <w:r>
        <w:rPr>
          <w:rFonts w:hint="eastAsia" w:ascii="仿宋_GB2312" w:eastAsia="仿宋_GB2312"/>
          <w:color w:val="000000"/>
          <w:sz w:val="32"/>
          <w:szCs w:val="32"/>
          <w:lang w:val="en-US" w:eastAsia="zh-CN"/>
        </w:rPr>
        <w:t>2022年决算数为35.8万元，完成预算100%。</w:t>
      </w:r>
    </w:p>
    <w:p>
      <w:pPr>
        <w:numPr>
          <w:numId w:val="0"/>
        </w:numPr>
        <w:spacing w:line="600" w:lineRule="exact"/>
        <w:ind w:firstLine="643" w:firstLineChars="200"/>
        <w:rPr>
          <w:rFonts w:hint="eastAsia" w:ascii="仿宋" w:hAnsi="仿宋" w:eastAsia="仿宋"/>
          <w:b/>
          <w:color w:val="000000"/>
          <w:sz w:val="32"/>
          <w:szCs w:val="32"/>
        </w:rPr>
      </w:pPr>
      <w:r>
        <w:rPr>
          <w:rFonts w:hint="eastAsia" w:ascii="仿宋" w:hAnsi="仿宋" w:eastAsia="仿宋"/>
          <w:b/>
          <w:color w:val="000000"/>
          <w:sz w:val="32"/>
          <w:szCs w:val="32"/>
          <w:lang w:val="en-US" w:eastAsia="zh-CN"/>
        </w:rPr>
        <w:t>6.</w:t>
      </w:r>
      <w:r>
        <w:rPr>
          <w:rFonts w:hint="eastAsia" w:ascii="仿宋" w:hAnsi="仿宋" w:eastAsia="仿宋"/>
          <w:b/>
          <w:color w:val="000000"/>
          <w:sz w:val="32"/>
          <w:szCs w:val="32"/>
        </w:rPr>
        <w:t>城乡社区支出</w:t>
      </w:r>
    </w:p>
    <w:p>
      <w:pPr>
        <w:spacing w:line="600" w:lineRule="exact"/>
        <w:ind w:firstLine="640" w:firstLineChars="200"/>
        <w:rPr>
          <w:rFonts w:hint="default" w:ascii="仿宋" w:hAnsi="仿宋" w:eastAsia="仿宋"/>
          <w:color w:val="000000"/>
          <w:sz w:val="32"/>
          <w:szCs w:val="32"/>
          <w:lang w:val="en-US" w:eastAsia="zh-CN"/>
        </w:rPr>
      </w:pPr>
      <w:r>
        <w:rPr>
          <w:rFonts w:hint="eastAsia" w:ascii="仿宋" w:hAnsi="仿宋" w:eastAsia="仿宋"/>
          <w:color w:val="000000"/>
          <w:sz w:val="32"/>
          <w:szCs w:val="32"/>
          <w:lang w:val="en-US" w:eastAsia="zh-CN"/>
        </w:rPr>
        <w:t>城乡社区环境卫生（2120501），</w:t>
      </w:r>
      <w:r>
        <w:rPr>
          <w:rFonts w:hint="eastAsia" w:ascii="仿宋_GB2312" w:eastAsia="仿宋_GB2312"/>
          <w:color w:val="000000"/>
          <w:sz w:val="32"/>
          <w:szCs w:val="32"/>
          <w:lang w:val="en-US" w:eastAsia="zh-CN"/>
        </w:rPr>
        <w:t>2022年决算数为79.04万元，完成预算100%。</w:t>
      </w:r>
    </w:p>
    <w:p>
      <w:pPr>
        <w:spacing w:line="600" w:lineRule="exact"/>
        <w:rPr>
          <w:rFonts w:hint="eastAsia" w:ascii="仿宋" w:hAnsi="仿宋" w:eastAsia="仿宋" w:cs="Times New Roman"/>
          <w:b/>
          <w:color w:val="000000"/>
          <w:sz w:val="32"/>
          <w:szCs w:val="32"/>
        </w:rPr>
      </w:pPr>
      <w:r>
        <w:rPr>
          <w:rFonts w:hint="eastAsia" w:ascii="仿宋" w:hAnsi="仿宋" w:eastAsia="仿宋"/>
          <w:b/>
          <w:color w:val="000000"/>
          <w:sz w:val="32"/>
          <w:szCs w:val="32"/>
        </w:rPr>
        <w:t xml:space="preserve"> </w:t>
      </w:r>
      <w:r>
        <w:rPr>
          <w:rFonts w:hint="eastAsia" w:ascii="仿宋" w:hAnsi="仿宋" w:eastAsia="仿宋"/>
          <w:color w:val="000000"/>
          <w:sz w:val="32"/>
          <w:szCs w:val="32"/>
        </w:rPr>
        <w:t xml:space="preserve">    </w:t>
      </w:r>
      <w:r>
        <w:rPr>
          <w:rFonts w:hint="eastAsia" w:ascii="仿宋" w:hAnsi="仿宋" w:eastAsia="仿宋" w:cs="Times New Roman"/>
          <w:b/>
          <w:color w:val="000000"/>
          <w:sz w:val="32"/>
          <w:szCs w:val="32"/>
        </w:rPr>
        <w:t xml:space="preserve"> </w:t>
      </w:r>
      <w:r>
        <w:rPr>
          <w:rFonts w:hint="eastAsia" w:ascii="仿宋" w:hAnsi="仿宋" w:eastAsia="仿宋" w:cs="Times New Roman"/>
          <w:b/>
          <w:color w:val="000000"/>
          <w:sz w:val="32"/>
          <w:szCs w:val="32"/>
          <w:lang w:val="en-US" w:eastAsia="zh-CN"/>
        </w:rPr>
        <w:t>7</w:t>
      </w:r>
      <w:r>
        <w:rPr>
          <w:rFonts w:hint="eastAsia" w:ascii="仿宋" w:hAnsi="仿宋" w:eastAsia="仿宋" w:cs="Times New Roman"/>
          <w:b/>
          <w:color w:val="000000"/>
          <w:sz w:val="32"/>
          <w:szCs w:val="32"/>
        </w:rPr>
        <w:t>.农林水支出</w:t>
      </w:r>
    </w:p>
    <w:p>
      <w:pPr>
        <w:spacing w:line="600" w:lineRule="exact"/>
        <w:rPr>
          <w:rFonts w:ascii="仿宋" w:hAnsi="仿宋" w:eastAsia="仿宋"/>
          <w:color w:val="000000"/>
          <w:sz w:val="32"/>
          <w:szCs w:val="32"/>
        </w:rPr>
      </w:pPr>
      <w:r>
        <w:rPr>
          <w:rFonts w:hint="eastAsia" w:ascii="仿宋" w:hAnsi="仿宋" w:eastAsia="仿宋"/>
          <w:color w:val="000000"/>
          <w:sz w:val="32"/>
          <w:szCs w:val="32"/>
        </w:rPr>
        <w:t xml:space="preserve">      事业运行（2130104）,</w:t>
      </w:r>
      <w:r>
        <w:rPr>
          <w:rFonts w:hint="eastAsia" w:ascii="仿宋" w:hAnsi="仿宋" w:eastAsia="仿宋"/>
          <w:color w:val="000000"/>
          <w:sz w:val="32"/>
          <w:szCs w:val="32"/>
          <w:lang w:eastAsia="zh-CN"/>
        </w:rPr>
        <w:t>2022</w:t>
      </w:r>
      <w:r>
        <w:rPr>
          <w:rFonts w:hint="eastAsia" w:ascii="仿宋" w:hAnsi="仿宋" w:eastAsia="仿宋"/>
          <w:color w:val="000000"/>
          <w:sz w:val="32"/>
          <w:szCs w:val="32"/>
        </w:rPr>
        <w:t>年决算数为</w:t>
      </w:r>
      <w:r>
        <w:rPr>
          <w:rFonts w:hint="eastAsia" w:ascii="仿宋" w:hAnsi="仿宋" w:eastAsia="仿宋"/>
          <w:color w:val="000000"/>
          <w:sz w:val="32"/>
          <w:szCs w:val="32"/>
          <w:lang w:val="en-US" w:eastAsia="zh-CN"/>
        </w:rPr>
        <w:t>185.08</w:t>
      </w:r>
      <w:r>
        <w:rPr>
          <w:rFonts w:hint="eastAsia" w:ascii="仿宋" w:hAnsi="仿宋" w:eastAsia="仿宋"/>
          <w:color w:val="000000"/>
          <w:sz w:val="32"/>
          <w:szCs w:val="32"/>
        </w:rPr>
        <w:t>万元，完成预算数100%。</w:t>
      </w:r>
    </w:p>
    <w:p>
      <w:pPr>
        <w:spacing w:line="600" w:lineRule="exact"/>
        <w:rPr>
          <w:rFonts w:ascii="仿宋" w:hAnsi="仿宋" w:eastAsia="仿宋"/>
          <w:color w:val="000000"/>
          <w:sz w:val="32"/>
          <w:szCs w:val="32"/>
        </w:rPr>
      </w:pPr>
      <w:r>
        <w:rPr>
          <w:rFonts w:hint="eastAsia" w:ascii="仿宋" w:hAnsi="仿宋" w:eastAsia="仿宋"/>
          <w:color w:val="000000"/>
          <w:sz w:val="32"/>
          <w:szCs w:val="32"/>
        </w:rPr>
        <w:t xml:space="preserve">      对村民委员会和村党支部的补助（2130705）,</w:t>
      </w:r>
      <w:r>
        <w:rPr>
          <w:rFonts w:hint="eastAsia" w:ascii="仿宋" w:hAnsi="仿宋" w:eastAsia="仿宋"/>
          <w:color w:val="000000"/>
          <w:sz w:val="32"/>
          <w:szCs w:val="32"/>
          <w:lang w:eastAsia="zh-CN"/>
        </w:rPr>
        <w:t>2022</w:t>
      </w:r>
      <w:r>
        <w:rPr>
          <w:rFonts w:hint="eastAsia" w:ascii="仿宋" w:hAnsi="仿宋" w:eastAsia="仿宋"/>
          <w:color w:val="000000"/>
          <w:sz w:val="32"/>
          <w:szCs w:val="32"/>
        </w:rPr>
        <w:t>年决算数为</w:t>
      </w:r>
      <w:r>
        <w:rPr>
          <w:rFonts w:hint="eastAsia" w:ascii="仿宋" w:hAnsi="仿宋" w:eastAsia="仿宋"/>
          <w:color w:val="000000"/>
          <w:sz w:val="32"/>
          <w:szCs w:val="32"/>
          <w:lang w:val="en-US" w:eastAsia="zh-CN"/>
        </w:rPr>
        <w:t>713.07</w:t>
      </w:r>
      <w:r>
        <w:rPr>
          <w:rFonts w:hint="eastAsia" w:ascii="仿宋" w:hAnsi="仿宋" w:eastAsia="仿宋"/>
          <w:color w:val="000000"/>
          <w:sz w:val="32"/>
          <w:szCs w:val="32"/>
        </w:rPr>
        <w:t>万元，完成预算数100%。</w:t>
      </w:r>
    </w:p>
    <w:p>
      <w:pPr>
        <w:spacing w:line="600" w:lineRule="exact"/>
        <w:rPr>
          <w:rFonts w:ascii="仿宋" w:hAnsi="仿宋" w:eastAsia="仿宋"/>
          <w:b/>
          <w:color w:val="000000"/>
          <w:sz w:val="32"/>
          <w:szCs w:val="32"/>
        </w:rPr>
      </w:pPr>
      <w:r>
        <w:rPr>
          <w:rFonts w:hint="eastAsia" w:ascii="仿宋" w:hAnsi="仿宋" w:eastAsia="仿宋"/>
          <w:color w:val="000000"/>
          <w:sz w:val="32"/>
          <w:szCs w:val="32"/>
        </w:rPr>
        <w:t xml:space="preserve">      </w:t>
      </w:r>
      <w:r>
        <w:rPr>
          <w:rFonts w:hint="eastAsia" w:ascii="仿宋" w:hAnsi="仿宋" w:eastAsia="仿宋"/>
          <w:color w:val="000000"/>
          <w:sz w:val="32"/>
          <w:szCs w:val="32"/>
          <w:lang w:val="en-US" w:eastAsia="zh-CN"/>
        </w:rPr>
        <w:t>8.</w:t>
      </w:r>
      <w:r>
        <w:rPr>
          <w:rFonts w:hint="eastAsia" w:ascii="仿宋" w:hAnsi="仿宋" w:eastAsia="仿宋"/>
          <w:b/>
          <w:color w:val="000000"/>
          <w:sz w:val="32"/>
          <w:szCs w:val="32"/>
        </w:rPr>
        <w:t>交通运输支出</w:t>
      </w:r>
    </w:p>
    <w:p>
      <w:pPr>
        <w:spacing w:line="600" w:lineRule="exact"/>
        <w:rPr>
          <w:rFonts w:hint="eastAsia" w:ascii="仿宋" w:hAnsi="仿宋" w:eastAsia="仿宋"/>
          <w:color w:val="000000"/>
          <w:sz w:val="32"/>
          <w:szCs w:val="32"/>
          <w:lang w:val="en-US" w:eastAsia="zh-CN"/>
        </w:rPr>
      </w:pPr>
      <w:r>
        <w:rPr>
          <w:rFonts w:hint="eastAsia" w:ascii="仿宋" w:hAnsi="仿宋" w:eastAsia="仿宋"/>
          <w:color w:val="000000"/>
          <w:sz w:val="32"/>
          <w:szCs w:val="32"/>
        </w:rPr>
        <w:t xml:space="preserve">     </w:t>
      </w:r>
      <w:r>
        <w:rPr>
          <w:rFonts w:hint="eastAsia" w:ascii="仿宋" w:hAnsi="仿宋" w:eastAsia="仿宋"/>
          <w:color w:val="000000"/>
          <w:sz w:val="32"/>
          <w:szCs w:val="32"/>
          <w:lang w:val="en-US" w:eastAsia="zh-CN"/>
        </w:rPr>
        <w:t>无</w:t>
      </w:r>
    </w:p>
    <w:p>
      <w:pPr>
        <w:spacing w:line="600" w:lineRule="exact"/>
        <w:rPr>
          <w:rFonts w:ascii="仿宋" w:hAnsi="仿宋" w:eastAsia="仿宋"/>
          <w:color w:val="000000"/>
          <w:sz w:val="32"/>
          <w:szCs w:val="32"/>
        </w:rPr>
      </w:pPr>
      <w:r>
        <w:rPr>
          <w:rFonts w:hint="eastAsia" w:ascii="仿宋" w:hAnsi="仿宋" w:eastAsia="仿宋"/>
          <w:color w:val="000000"/>
          <w:sz w:val="32"/>
          <w:szCs w:val="32"/>
        </w:rPr>
        <w:t xml:space="preserve">     </w:t>
      </w:r>
      <w:r>
        <w:rPr>
          <w:rFonts w:hint="eastAsia" w:ascii="仿宋" w:hAnsi="仿宋" w:eastAsia="仿宋"/>
          <w:color w:val="000000"/>
          <w:sz w:val="32"/>
          <w:szCs w:val="32"/>
          <w:lang w:val="en-US" w:eastAsia="zh-CN"/>
        </w:rPr>
        <w:t>9.</w:t>
      </w:r>
      <w:r>
        <w:rPr>
          <w:rFonts w:hint="eastAsia" w:ascii="仿宋" w:hAnsi="仿宋" w:eastAsia="仿宋"/>
          <w:b/>
          <w:color w:val="000000"/>
          <w:sz w:val="32"/>
          <w:szCs w:val="32"/>
        </w:rPr>
        <w:t>住房保障支出</w:t>
      </w:r>
    </w:p>
    <w:p>
      <w:pPr>
        <w:spacing w:line="600" w:lineRule="exact"/>
        <w:rPr>
          <w:rFonts w:hint="eastAsia" w:ascii="仿宋" w:hAnsi="仿宋" w:eastAsia="仿宋"/>
          <w:color w:val="000000"/>
          <w:sz w:val="32"/>
          <w:szCs w:val="32"/>
        </w:rPr>
      </w:pPr>
      <w:r>
        <w:rPr>
          <w:rFonts w:hint="eastAsia" w:ascii="仿宋" w:hAnsi="仿宋" w:eastAsia="仿宋"/>
          <w:color w:val="000000"/>
          <w:sz w:val="32"/>
          <w:szCs w:val="32"/>
        </w:rPr>
        <w:t xml:space="preserve">      住房公积金（2210201）,</w:t>
      </w:r>
      <w:r>
        <w:rPr>
          <w:rFonts w:hint="eastAsia" w:ascii="仿宋" w:hAnsi="仿宋" w:eastAsia="仿宋"/>
          <w:color w:val="000000"/>
          <w:sz w:val="32"/>
          <w:szCs w:val="32"/>
          <w:lang w:eastAsia="zh-CN"/>
        </w:rPr>
        <w:t>2022</w:t>
      </w:r>
      <w:r>
        <w:rPr>
          <w:rFonts w:hint="eastAsia" w:ascii="仿宋" w:hAnsi="仿宋" w:eastAsia="仿宋"/>
          <w:color w:val="000000"/>
          <w:sz w:val="32"/>
          <w:szCs w:val="32"/>
        </w:rPr>
        <w:t>年决算数为</w:t>
      </w:r>
      <w:r>
        <w:rPr>
          <w:rFonts w:hint="eastAsia" w:ascii="仿宋" w:hAnsi="仿宋" w:eastAsia="仿宋"/>
          <w:color w:val="000000"/>
          <w:sz w:val="32"/>
          <w:szCs w:val="32"/>
          <w:lang w:val="en-US" w:eastAsia="zh-CN"/>
        </w:rPr>
        <w:t>107.12</w:t>
      </w:r>
      <w:r>
        <w:rPr>
          <w:rFonts w:hint="eastAsia" w:ascii="仿宋" w:hAnsi="仿宋" w:eastAsia="仿宋"/>
          <w:color w:val="000000"/>
          <w:sz w:val="32"/>
          <w:szCs w:val="32"/>
        </w:rPr>
        <w:t>万元，完成预算数100%。</w:t>
      </w:r>
    </w:p>
    <w:p>
      <w:pPr>
        <w:spacing w:line="600" w:lineRule="exact"/>
        <w:ind w:firstLine="640" w:firstLineChars="200"/>
        <w:rPr>
          <w:rFonts w:hint="eastAsia" w:ascii="仿宋" w:hAnsi="仿宋" w:eastAsia="仿宋"/>
          <w:b/>
          <w:color w:val="000000"/>
          <w:sz w:val="32"/>
          <w:szCs w:val="32"/>
          <w:lang w:val="en-US" w:eastAsia="zh-CN"/>
        </w:rPr>
      </w:pPr>
      <w:r>
        <w:rPr>
          <w:rFonts w:hint="eastAsia" w:ascii="仿宋" w:hAnsi="仿宋" w:eastAsia="仿宋"/>
          <w:color w:val="000000"/>
          <w:sz w:val="32"/>
          <w:szCs w:val="32"/>
          <w:lang w:val="en-US" w:eastAsia="zh-CN"/>
        </w:rPr>
        <w:t>10.</w:t>
      </w:r>
      <w:r>
        <w:rPr>
          <w:rFonts w:hint="eastAsia" w:ascii="仿宋" w:hAnsi="仿宋" w:eastAsia="仿宋"/>
          <w:b/>
          <w:color w:val="000000"/>
          <w:sz w:val="32"/>
          <w:szCs w:val="32"/>
          <w:lang w:val="en-US" w:eastAsia="zh-CN"/>
        </w:rPr>
        <w:t>灾害防治及应急管理支出</w:t>
      </w:r>
    </w:p>
    <w:p>
      <w:pPr>
        <w:numPr>
          <w:ilvl w:val="0"/>
          <w:numId w:val="0"/>
        </w:numPr>
        <w:spacing w:line="600" w:lineRule="exact"/>
        <w:rPr>
          <w:rFonts w:hint="eastAsia" w:ascii="仿宋" w:hAnsi="仿宋" w:eastAsia="仿宋"/>
          <w:color w:val="000000"/>
          <w:sz w:val="32"/>
          <w:szCs w:val="32"/>
          <w:lang w:val="en-US" w:eastAsia="zh-CN"/>
        </w:rPr>
      </w:pPr>
      <w:r>
        <w:rPr>
          <w:rFonts w:hint="eastAsia" w:ascii="仿宋" w:hAnsi="仿宋" w:eastAsia="仿宋"/>
          <w:b/>
          <w:color w:val="000000"/>
          <w:sz w:val="32"/>
          <w:szCs w:val="32"/>
          <w:lang w:val="en-US" w:eastAsia="zh-CN"/>
        </w:rPr>
        <w:t xml:space="preserve">      自然灾害救灾补助</w:t>
      </w:r>
      <w:r>
        <w:rPr>
          <w:rFonts w:hint="eastAsia" w:ascii="仿宋" w:hAnsi="仿宋" w:eastAsia="仿宋"/>
          <w:color w:val="000000"/>
          <w:sz w:val="32"/>
          <w:szCs w:val="32"/>
          <w:lang w:val="en-US" w:eastAsia="zh-CN"/>
        </w:rPr>
        <w:t>（2240703）,2022年决算为13万元，完成预算数100%。</w:t>
      </w:r>
    </w:p>
    <w:p>
      <w:pPr>
        <w:spacing w:line="600" w:lineRule="exact"/>
        <w:ind w:firstLine="640"/>
        <w:rPr>
          <w:rFonts w:ascii="仿宋" w:hAnsi="仿宋" w:eastAsia="仿宋"/>
          <w:b/>
          <w:sz w:val="32"/>
          <w:szCs w:val="32"/>
        </w:rPr>
      </w:pPr>
    </w:p>
    <w:p>
      <w:pPr>
        <w:tabs>
          <w:tab w:val="right" w:pos="8306"/>
        </w:tabs>
        <w:spacing w:line="600" w:lineRule="exact"/>
        <w:ind w:firstLine="640"/>
        <w:outlineLvl w:val="1"/>
        <w:rPr>
          <w:rStyle w:val="32"/>
        </w:rPr>
      </w:pPr>
      <w:bookmarkStart w:id="34" w:name="_Toc15396608"/>
      <w:bookmarkStart w:id="35" w:name="_Toc15377214"/>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32"/>
          <w:rFonts w:hint="eastAsia" w:ascii="黑体" w:hAnsi="黑体" w:eastAsia="黑体"/>
          <w:b w:val="0"/>
        </w:rPr>
        <w:t>般公共预算财政拨款基本支出决算情况说明</w:t>
      </w:r>
      <w:bookmarkEnd w:id="34"/>
      <w:bookmarkEnd w:id="35"/>
      <w:r>
        <w:rPr>
          <w:rStyle w:val="32"/>
          <w:rFonts w:ascii="黑体" w:hAnsi="黑体" w:eastAsia="黑体"/>
          <w:b w:val="0"/>
        </w:rPr>
        <w:tab/>
      </w:r>
    </w:p>
    <w:p>
      <w:pPr>
        <w:spacing w:line="600" w:lineRule="exact"/>
        <w:ind w:firstLine="645"/>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22年一般公共预算财政拨款基本支出</w:t>
      </w:r>
      <w:r>
        <w:rPr>
          <w:rFonts w:hint="eastAsia" w:ascii="仿宋" w:hAnsi="仿宋" w:eastAsia="仿宋"/>
          <w:sz w:val="32"/>
          <w:szCs w:val="32"/>
          <w:lang w:val="en-US" w:eastAsia="zh-CN"/>
        </w:rPr>
        <w:t>2132.74</w:t>
      </w:r>
      <w:r>
        <w:rPr>
          <w:rFonts w:hint="eastAsia" w:ascii="仿宋" w:hAnsi="仿宋" w:eastAsia="仿宋"/>
          <w:sz w:val="32"/>
          <w:szCs w:val="32"/>
        </w:rPr>
        <w:t>万元，其中：</w:t>
      </w:r>
    </w:p>
    <w:p>
      <w:pPr>
        <w:spacing w:line="600" w:lineRule="exact"/>
        <w:ind w:firstLine="645"/>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1834.89</w:t>
      </w:r>
      <w:r>
        <w:rPr>
          <w:rFonts w:hint="eastAsia" w:ascii="仿宋" w:hAnsi="仿宋" w:eastAsia="仿宋"/>
          <w:sz w:val="32"/>
          <w:szCs w:val="32"/>
        </w:rPr>
        <w:t>万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r>
        <w:rPr>
          <w:rFonts w:ascii="仿宋" w:hAnsi="仿宋" w:eastAsia="仿宋"/>
          <w:sz w:val="32"/>
          <w:szCs w:val="32"/>
        </w:rPr>
        <w:br w:type="textWrapping"/>
      </w:r>
      <w:r>
        <w:rPr>
          <w:rFonts w:hint="eastAsia" w:ascii="仿宋" w:hAnsi="仿宋" w:eastAsia="仿宋"/>
          <w:sz w:val="32"/>
          <w:szCs w:val="32"/>
        </w:rPr>
        <w:t>　　公用经费</w:t>
      </w:r>
      <w:r>
        <w:rPr>
          <w:rFonts w:hint="eastAsia" w:ascii="仿宋" w:hAnsi="仿宋" w:eastAsia="仿宋"/>
          <w:sz w:val="32"/>
          <w:szCs w:val="32"/>
          <w:lang w:val="en-US" w:eastAsia="zh-CN"/>
        </w:rPr>
        <w:t>297.85</w:t>
      </w:r>
      <w:r>
        <w:rPr>
          <w:rFonts w:hint="eastAsia" w:ascii="仿宋" w:hAnsi="仿宋" w:eastAsia="仿宋"/>
          <w:sz w:val="32"/>
          <w:szCs w:val="32"/>
        </w:rPr>
        <w:t>万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pPr>
        <w:spacing w:line="600" w:lineRule="exact"/>
        <w:ind w:firstLine="640"/>
        <w:rPr>
          <w:rFonts w:ascii="仿宋" w:hAnsi="仿宋" w:eastAsia="仿宋"/>
          <w:b/>
          <w:sz w:val="32"/>
          <w:szCs w:val="32"/>
        </w:rPr>
      </w:pPr>
    </w:p>
    <w:p>
      <w:pPr>
        <w:spacing w:line="600" w:lineRule="exact"/>
        <w:ind w:firstLine="640"/>
        <w:outlineLvl w:val="1"/>
        <w:rPr>
          <w:rStyle w:val="32"/>
          <w:rFonts w:ascii="黑体" w:hAnsi="黑体" w:eastAsia="黑体"/>
          <w:b w:val="0"/>
        </w:rPr>
      </w:pPr>
      <w:bookmarkStart w:id="36" w:name="_Toc15396609"/>
      <w:bookmarkStart w:id="37" w:name="_Toc15377215"/>
      <w:r>
        <w:rPr>
          <w:rFonts w:hint="eastAsia" w:ascii="黑体" w:eastAsia="黑体"/>
          <w:sz w:val="32"/>
          <w:szCs w:val="32"/>
        </w:rPr>
        <w:t>七、</w:t>
      </w:r>
      <w:r>
        <w:rPr>
          <w:rStyle w:val="32"/>
          <w:rFonts w:hint="eastAsia" w:ascii="黑体" w:hAnsi="黑体" w:eastAsia="黑体"/>
          <w:b w:val="0"/>
        </w:rPr>
        <w:t>财政拨款</w:t>
      </w:r>
      <w:r>
        <w:rPr>
          <w:rStyle w:val="32"/>
          <w:rFonts w:hint="eastAsia" w:ascii="黑体" w:hAnsi="黑体" w:eastAsia="黑体"/>
        </w:rPr>
        <w:t>“</w:t>
      </w:r>
      <w:r>
        <w:rPr>
          <w:rStyle w:val="32"/>
          <w:rFonts w:hint="eastAsia" w:ascii="黑体" w:hAnsi="黑体" w:eastAsia="黑体"/>
          <w:b w:val="0"/>
        </w:rPr>
        <w:t>三公”经费支出决算情况说明</w:t>
      </w:r>
      <w:bookmarkEnd w:id="36"/>
      <w:bookmarkEnd w:id="37"/>
    </w:p>
    <w:p>
      <w:pPr>
        <w:spacing w:line="600" w:lineRule="exact"/>
        <w:ind w:firstLine="640"/>
        <w:outlineLvl w:val="2"/>
        <w:rPr>
          <w:rFonts w:ascii="仿宋" w:hAnsi="仿宋" w:eastAsia="仿宋"/>
          <w:b/>
          <w:sz w:val="32"/>
          <w:szCs w:val="32"/>
        </w:rPr>
      </w:pPr>
      <w:bookmarkStart w:id="38" w:name="_Toc15377216"/>
      <w:r>
        <w:rPr>
          <w:rFonts w:hint="eastAsia" w:ascii="仿宋" w:hAnsi="仿宋" w:eastAsia="仿宋"/>
          <w:b/>
          <w:sz w:val="32"/>
          <w:szCs w:val="32"/>
        </w:rPr>
        <w:t>（一）“三公”经费财政拨款支出决算总体情况说明</w:t>
      </w:r>
      <w:bookmarkEnd w:id="38"/>
    </w:p>
    <w:p>
      <w:pPr>
        <w:spacing w:line="600" w:lineRule="exact"/>
        <w:ind w:firstLine="64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22年“三公”经费财政拨款支出决算为</w:t>
      </w:r>
      <w:r>
        <w:rPr>
          <w:rFonts w:hint="eastAsia" w:ascii="仿宋" w:hAnsi="仿宋" w:eastAsia="仿宋"/>
          <w:sz w:val="32"/>
          <w:szCs w:val="32"/>
          <w:lang w:val="en-US" w:eastAsia="zh-CN"/>
        </w:rPr>
        <w:t>1</w:t>
      </w:r>
      <w:r>
        <w:rPr>
          <w:rFonts w:hint="eastAsia" w:ascii="仿宋" w:hAnsi="仿宋" w:eastAsia="仿宋"/>
          <w:sz w:val="32"/>
          <w:szCs w:val="32"/>
        </w:rPr>
        <w:t>万元，完成预算</w:t>
      </w:r>
      <w:r>
        <w:rPr>
          <w:rFonts w:hint="eastAsia" w:ascii="仿宋" w:hAnsi="仿宋" w:eastAsia="仿宋"/>
          <w:sz w:val="32"/>
          <w:szCs w:val="32"/>
          <w:lang w:val="en-US" w:eastAsia="zh-CN"/>
        </w:rPr>
        <w:t>25</w:t>
      </w:r>
      <w:r>
        <w:rPr>
          <w:rFonts w:ascii="仿宋" w:hAnsi="仿宋" w:eastAsia="仿宋"/>
          <w:sz w:val="32"/>
          <w:szCs w:val="32"/>
        </w:rPr>
        <w:t>%</w:t>
      </w:r>
      <w:r>
        <w:rPr>
          <w:rFonts w:hint="eastAsia" w:ascii="仿宋" w:hAnsi="仿宋" w:eastAsia="仿宋"/>
          <w:sz w:val="32"/>
          <w:szCs w:val="32"/>
        </w:rPr>
        <w:t>，较上年减少</w:t>
      </w:r>
      <w:r>
        <w:rPr>
          <w:rFonts w:hint="eastAsia" w:ascii="仿宋" w:hAnsi="仿宋" w:eastAsia="仿宋"/>
          <w:sz w:val="32"/>
          <w:szCs w:val="32"/>
          <w:lang w:val="en-US" w:eastAsia="zh-CN"/>
        </w:rPr>
        <w:t>2.81</w:t>
      </w:r>
      <w:r>
        <w:rPr>
          <w:rFonts w:hint="eastAsia" w:ascii="仿宋" w:hAnsi="仿宋" w:eastAsia="仿宋"/>
          <w:sz w:val="32"/>
          <w:szCs w:val="32"/>
        </w:rPr>
        <w:t>万元，下降</w:t>
      </w:r>
      <w:r>
        <w:rPr>
          <w:rFonts w:hint="eastAsia" w:ascii="仿宋" w:hAnsi="仿宋" w:eastAsia="仿宋"/>
          <w:sz w:val="32"/>
          <w:szCs w:val="32"/>
          <w:lang w:val="en-US" w:eastAsia="zh-CN"/>
        </w:rPr>
        <w:t>73.75</w:t>
      </w:r>
      <w:r>
        <w:rPr>
          <w:rFonts w:hint="eastAsia" w:ascii="仿宋" w:hAnsi="仿宋" w:eastAsia="仿宋"/>
          <w:sz w:val="32"/>
          <w:szCs w:val="32"/>
        </w:rPr>
        <w:t>%。决算数小于预算数（或与预算数持平）的主要原因</w:t>
      </w:r>
      <w:r>
        <w:rPr>
          <w:rFonts w:hint="eastAsia" w:ascii="仿宋" w:hAnsi="仿宋" w:eastAsia="仿宋"/>
          <w:sz w:val="32"/>
          <w:szCs w:val="32"/>
          <w:lang w:eastAsia="zh-CN"/>
        </w:rPr>
        <w:t>是财政困难，</w:t>
      </w:r>
      <w:r>
        <w:rPr>
          <w:rFonts w:hint="eastAsia" w:ascii="仿宋_GB2312" w:eastAsia="仿宋_GB2312"/>
          <w:color w:val="000000"/>
          <w:sz w:val="32"/>
          <w:szCs w:val="32"/>
          <w:lang w:val="en-US" w:eastAsia="zh-CN"/>
        </w:rPr>
        <w:t>上年接待费用未及时报账</w:t>
      </w:r>
      <w:r>
        <w:rPr>
          <w:rFonts w:hint="eastAsia" w:ascii="仿宋" w:hAnsi="仿宋" w:eastAsia="仿宋"/>
          <w:sz w:val="32"/>
          <w:szCs w:val="32"/>
        </w:rPr>
        <w:t>。</w:t>
      </w:r>
    </w:p>
    <w:p>
      <w:pPr>
        <w:spacing w:line="600" w:lineRule="exact"/>
        <w:ind w:firstLine="640"/>
        <w:rPr>
          <w:rFonts w:ascii="仿宋" w:hAnsi="仿宋" w:eastAsia="仿宋"/>
          <w:b/>
          <w:sz w:val="32"/>
          <w:szCs w:val="32"/>
        </w:rPr>
      </w:pPr>
      <w:bookmarkStart w:id="39" w:name="_Toc15377217"/>
      <w:r>
        <w:rPr>
          <w:rFonts w:hint="eastAsia" w:ascii="仿宋" w:hAnsi="仿宋" w:eastAsia="仿宋"/>
          <w:b/>
          <w:sz w:val="32"/>
          <w:szCs w:val="32"/>
        </w:rPr>
        <w:t>（二）“三公”经费财政拨款支出决算具体情况说明</w:t>
      </w:r>
      <w:bookmarkEnd w:id="39"/>
    </w:p>
    <w:p>
      <w:pPr>
        <w:spacing w:line="600" w:lineRule="exact"/>
        <w:ind w:firstLine="64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22年“三公”经费财政拨款支出决算中，因公出国（境）费支出决算</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；公务用车购置及运行维护费支出决算</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；公务接待费支出决算</w:t>
      </w:r>
      <w:r>
        <w:rPr>
          <w:rFonts w:hint="eastAsia" w:ascii="仿宋" w:hAnsi="仿宋" w:eastAsia="仿宋"/>
          <w:sz w:val="32"/>
          <w:szCs w:val="32"/>
          <w:lang w:val="en-US" w:eastAsia="zh-CN"/>
        </w:rPr>
        <w:t>1</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ascii="仿宋" w:hAnsi="仿宋" w:eastAsia="仿宋"/>
          <w:sz w:val="32"/>
          <w:szCs w:val="32"/>
        </w:rPr>
        <w:t>%</w:t>
      </w:r>
      <w:r>
        <w:rPr>
          <w:rFonts w:hint="eastAsia" w:ascii="仿宋" w:hAnsi="仿宋" w:eastAsia="仿宋"/>
          <w:sz w:val="32"/>
          <w:szCs w:val="32"/>
        </w:rPr>
        <w:t>。具体情况如下：</w:t>
      </w:r>
    </w:p>
    <w:p>
      <w:pPr>
        <w:spacing w:line="600" w:lineRule="exact"/>
        <w:ind w:firstLine="640"/>
        <w:rPr>
          <w:rFonts w:hint="eastAsia" w:ascii="仿宋_GB2312" w:eastAsia="仿宋_GB2312"/>
          <w:b/>
          <w:sz w:val="32"/>
          <w:szCs w:val="32"/>
          <w:lang w:eastAsia="zh-CN"/>
        </w:rPr>
      </w:pPr>
      <w:r>
        <w:rPr>
          <w:rFonts w:ascii="仿宋_GB2312" w:eastAsia="仿宋_GB2312"/>
          <w:b/>
          <w:sz w:val="32"/>
          <w:szCs w:val="32"/>
        </w:rPr>
        <w:t>1.</w:t>
      </w:r>
      <w:r>
        <w:rPr>
          <w:rFonts w:hint="eastAsia" w:ascii="仿宋_GB2312" w:eastAsia="仿宋_GB2312"/>
          <w:b/>
          <w:sz w:val="32"/>
          <w:szCs w:val="32"/>
        </w:rPr>
        <w:t>因公出国（境）经费支出</w:t>
      </w:r>
      <w:r>
        <w:rPr>
          <w:rFonts w:hint="eastAsia" w:ascii="仿宋_GB2312" w:eastAsia="仿宋_GB2312"/>
          <w:b/>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w:t>
      </w:r>
    </w:p>
    <w:p>
      <w:pPr>
        <w:spacing w:line="600" w:lineRule="exact"/>
        <w:ind w:firstLine="640"/>
      </w:pPr>
      <w:r>
        <w:rPr>
          <w:rFonts w:ascii="仿宋_GB2312" w:eastAsia="仿宋_GB2312"/>
          <w:b/>
          <w:sz w:val="32"/>
          <w:szCs w:val="32"/>
        </w:rPr>
        <w:t>2.</w:t>
      </w:r>
      <w:r>
        <w:rPr>
          <w:rFonts w:hint="eastAsia" w:ascii="仿宋_GB2312" w:eastAsia="仿宋_GB2312"/>
          <w:b/>
          <w:sz w:val="32"/>
          <w:szCs w:val="32"/>
        </w:rPr>
        <w:t>公务用车购置及运行维护费支出</w:t>
      </w:r>
      <w:r>
        <w:rPr>
          <w:rFonts w:hint="eastAsia" w:ascii="仿宋_GB2312" w:eastAsia="仿宋_GB2312"/>
          <w:b/>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，无公务用车。</w:t>
      </w:r>
    </w:p>
    <w:p>
      <w:pPr>
        <w:spacing w:line="600" w:lineRule="exact"/>
        <w:ind w:firstLine="640"/>
        <w:rPr>
          <w:rFonts w:ascii="仿宋_GB2312" w:eastAsia="仿宋_GB2312"/>
          <w:sz w:val="32"/>
          <w:szCs w:val="32"/>
        </w:rPr>
      </w:pPr>
      <w:r>
        <w:rPr>
          <w:rFonts w:ascii="仿宋_GB2312" w:eastAsia="仿宋_GB2312"/>
          <w:b/>
          <w:sz w:val="32"/>
          <w:szCs w:val="32"/>
        </w:rPr>
        <w:t>3.</w:t>
      </w:r>
      <w:r>
        <w:rPr>
          <w:rFonts w:hint="eastAsia" w:ascii="仿宋_GB2312" w:eastAsia="仿宋_GB2312"/>
          <w:b/>
          <w:sz w:val="32"/>
          <w:szCs w:val="32"/>
        </w:rPr>
        <w:t>公务接待费支出</w:t>
      </w:r>
      <w:r>
        <w:rPr>
          <w:rFonts w:hint="eastAsia" w:ascii="仿宋_GB2312" w:eastAsia="仿宋_GB2312"/>
          <w:b/>
          <w:sz w:val="32"/>
          <w:szCs w:val="32"/>
          <w:lang w:val="en-US" w:eastAsia="zh-CN"/>
        </w:rPr>
        <w:t>1</w:t>
      </w:r>
      <w:r>
        <w:rPr>
          <w:rFonts w:hint="eastAsia" w:ascii="仿宋_GB2312" w:eastAsia="仿宋_GB2312"/>
          <w:sz w:val="32"/>
          <w:szCs w:val="32"/>
        </w:rPr>
        <w:t>万元，</w:t>
      </w:r>
      <w:r>
        <w:rPr>
          <w:rStyle w:val="20"/>
          <w:rFonts w:hint="eastAsia" w:ascii="仿宋" w:hAnsi="仿宋" w:eastAsia="仿宋"/>
          <w:b w:val="0"/>
          <w:bCs/>
          <w:sz w:val="32"/>
          <w:szCs w:val="32"/>
        </w:rPr>
        <w:t>完成预算</w:t>
      </w:r>
      <w:r>
        <w:rPr>
          <w:rStyle w:val="20"/>
          <w:rFonts w:hint="eastAsia" w:ascii="仿宋" w:hAnsi="仿宋" w:eastAsia="仿宋"/>
          <w:b w:val="0"/>
          <w:bCs/>
          <w:sz w:val="32"/>
          <w:szCs w:val="32"/>
          <w:lang w:val="en-US" w:eastAsia="zh-CN"/>
        </w:rPr>
        <w:t>25</w:t>
      </w:r>
      <w:r>
        <w:rPr>
          <w:rStyle w:val="20"/>
          <w:rFonts w:ascii="仿宋" w:hAnsi="仿宋" w:eastAsia="仿宋"/>
          <w:b w:val="0"/>
          <w:bCs/>
          <w:sz w:val="32"/>
          <w:szCs w:val="32"/>
        </w:rPr>
        <w:t>%</w:t>
      </w:r>
      <w:r>
        <w:rPr>
          <w:rStyle w:val="20"/>
          <w:rFonts w:hint="eastAsia" w:ascii="仿宋" w:hAnsi="仿宋" w:eastAsia="仿宋"/>
          <w:b w:val="0"/>
          <w:bCs/>
          <w:sz w:val="32"/>
          <w:szCs w:val="32"/>
        </w:rPr>
        <w:t>。</w:t>
      </w:r>
      <w:r>
        <w:rPr>
          <w:rFonts w:hint="eastAsia" w:ascii="仿宋_GB2312" w:eastAsia="仿宋_GB2312"/>
          <w:sz w:val="32"/>
          <w:szCs w:val="32"/>
        </w:rPr>
        <w:t>公务接待费支出决算比</w:t>
      </w:r>
      <w:r>
        <w:rPr>
          <w:rFonts w:ascii="仿宋_GB2312" w:eastAsia="仿宋_GB2312"/>
          <w:sz w:val="32"/>
          <w:szCs w:val="32"/>
        </w:rPr>
        <w:t>20</w:t>
      </w:r>
      <w:r>
        <w:rPr>
          <w:rFonts w:hint="eastAsia" w:ascii="仿宋_GB2312" w:eastAsia="仿宋_GB2312"/>
          <w:sz w:val="32"/>
          <w:szCs w:val="32"/>
        </w:rPr>
        <w:t>21年减少</w:t>
      </w:r>
      <w:r>
        <w:rPr>
          <w:rFonts w:hint="eastAsia" w:ascii="仿宋_GB2312" w:eastAsia="仿宋_GB2312"/>
          <w:sz w:val="32"/>
          <w:szCs w:val="32"/>
          <w:lang w:val="en-US" w:eastAsia="zh-CN"/>
        </w:rPr>
        <w:t>2.81</w:t>
      </w:r>
      <w:r>
        <w:rPr>
          <w:rFonts w:hint="eastAsia" w:ascii="仿宋_GB2312" w:eastAsia="仿宋_GB2312"/>
          <w:sz w:val="32"/>
          <w:szCs w:val="32"/>
        </w:rPr>
        <w:t>万元，下降</w:t>
      </w:r>
      <w:r>
        <w:rPr>
          <w:rFonts w:hint="eastAsia" w:ascii="仿宋_GB2312" w:eastAsia="仿宋_GB2312"/>
          <w:sz w:val="32"/>
          <w:szCs w:val="32"/>
          <w:lang w:val="en-US" w:eastAsia="zh-CN"/>
        </w:rPr>
        <w:t>73.75</w:t>
      </w:r>
      <w:r>
        <w:rPr>
          <w:rFonts w:ascii="仿宋_GB2312" w:eastAsia="仿宋_GB2312"/>
          <w:sz w:val="32"/>
          <w:szCs w:val="32"/>
        </w:rPr>
        <w:t>%</w:t>
      </w:r>
      <w:r>
        <w:rPr>
          <w:rFonts w:hint="eastAsia" w:ascii="仿宋_GB2312" w:eastAsia="仿宋_GB2312"/>
          <w:sz w:val="32"/>
          <w:szCs w:val="32"/>
        </w:rPr>
        <w:t>。主要原因是</w:t>
      </w:r>
      <w:r>
        <w:rPr>
          <w:rFonts w:hint="eastAsia" w:ascii="仿宋" w:hAnsi="仿宋" w:eastAsia="仿宋"/>
          <w:sz w:val="32"/>
          <w:szCs w:val="32"/>
          <w:lang w:eastAsia="zh-CN"/>
        </w:rPr>
        <w:t>财政困难，</w:t>
      </w:r>
      <w:r>
        <w:rPr>
          <w:rFonts w:hint="eastAsia" w:ascii="仿宋_GB2312" w:eastAsia="仿宋_GB2312"/>
          <w:color w:val="000000"/>
          <w:sz w:val="32"/>
          <w:szCs w:val="32"/>
          <w:lang w:val="en-US" w:eastAsia="zh-CN"/>
        </w:rPr>
        <w:t>上年接待费用未及时报账</w:t>
      </w:r>
      <w:r>
        <w:rPr>
          <w:rFonts w:hint="eastAsia" w:ascii="仿宋_GB2312" w:eastAsia="仿宋_GB2312"/>
          <w:sz w:val="32"/>
          <w:szCs w:val="32"/>
        </w:rPr>
        <w:t>。其中：</w:t>
      </w:r>
    </w:p>
    <w:p>
      <w:pPr>
        <w:spacing w:line="600" w:lineRule="exact"/>
        <w:ind w:firstLine="643" w:firstLineChars="200"/>
        <w:rPr>
          <w:rFonts w:ascii="黑体" w:eastAsia="黑体"/>
          <w:color w:val="000000"/>
          <w:sz w:val="32"/>
          <w:szCs w:val="32"/>
        </w:rPr>
      </w:pPr>
      <w:r>
        <w:rPr>
          <w:rFonts w:hint="eastAsia" w:ascii="仿宋" w:hAnsi="仿宋" w:eastAsia="仿宋"/>
          <w:b/>
          <w:sz w:val="32"/>
          <w:szCs w:val="32"/>
        </w:rPr>
        <w:t>国内公务接待支出</w:t>
      </w:r>
      <w:r>
        <w:rPr>
          <w:rFonts w:hint="eastAsia" w:ascii="仿宋" w:hAnsi="仿宋" w:eastAsia="仿宋"/>
          <w:b/>
          <w:sz w:val="32"/>
          <w:szCs w:val="32"/>
          <w:lang w:val="en-US" w:eastAsia="zh-CN"/>
        </w:rPr>
        <w:t>1</w:t>
      </w:r>
      <w:r>
        <w:rPr>
          <w:rFonts w:hint="eastAsia" w:ascii="仿宋_GB2312" w:eastAsia="仿宋_GB2312"/>
          <w:sz w:val="32"/>
          <w:szCs w:val="32"/>
        </w:rPr>
        <w:t>万元，</w:t>
      </w:r>
      <w:r>
        <w:rPr>
          <w:rFonts w:hint="eastAsia" w:ascii="仿宋_GB2312" w:eastAsia="仿宋_GB2312"/>
          <w:color w:val="000000"/>
          <w:sz w:val="32"/>
          <w:szCs w:val="32"/>
        </w:rPr>
        <w:t>主要用于执行公务、开展业务活动开支的交通费、住宿费、用餐费等。共计支出</w:t>
      </w:r>
      <w:r>
        <w:rPr>
          <w:rFonts w:hint="eastAsia" w:ascii="仿宋_GB2312" w:eastAsia="仿宋_GB2312"/>
          <w:color w:val="000000"/>
          <w:sz w:val="32"/>
          <w:szCs w:val="32"/>
          <w:lang w:val="en-US" w:eastAsia="zh-CN"/>
        </w:rPr>
        <w:t>1</w:t>
      </w:r>
      <w:r>
        <w:rPr>
          <w:rFonts w:hint="eastAsia" w:ascii="仿宋_GB2312" w:eastAsia="仿宋_GB2312"/>
          <w:color w:val="000000"/>
          <w:sz w:val="32"/>
          <w:szCs w:val="32"/>
        </w:rPr>
        <w:t>万元。</w:t>
      </w:r>
      <w:r>
        <w:rPr>
          <w:rFonts w:ascii="黑体" w:eastAsia="黑体"/>
          <w:color w:val="000000"/>
          <w:sz w:val="32"/>
          <w:szCs w:val="32"/>
        </w:rPr>
        <w:t xml:space="preserve"> </w:t>
      </w:r>
    </w:p>
    <w:p>
      <w:pPr>
        <w:spacing w:line="600" w:lineRule="exact"/>
        <w:outlineLvl w:val="1"/>
        <w:rPr>
          <w:rFonts w:ascii="黑体" w:eastAsia="黑体"/>
          <w:sz w:val="32"/>
          <w:szCs w:val="32"/>
        </w:rPr>
      </w:pPr>
      <w:bookmarkStart w:id="40" w:name="_Toc15377218"/>
      <w:bookmarkStart w:id="41" w:name="_Toc15396610"/>
    </w:p>
    <w:p>
      <w:pPr>
        <w:spacing w:line="600" w:lineRule="exact"/>
        <w:ind w:firstLine="640"/>
        <w:outlineLvl w:val="1"/>
        <w:rPr>
          <w:rStyle w:val="32"/>
          <w:rFonts w:ascii="黑体" w:hAnsi="黑体" w:eastAsia="黑体"/>
        </w:rPr>
      </w:pPr>
      <w:r>
        <w:rPr>
          <w:rFonts w:hint="eastAsia" w:ascii="黑体" w:eastAsia="黑体"/>
          <w:sz w:val="32"/>
          <w:szCs w:val="32"/>
        </w:rPr>
        <w:t>八、</w:t>
      </w:r>
      <w:r>
        <w:rPr>
          <w:rStyle w:val="32"/>
          <w:rFonts w:hint="eastAsia" w:ascii="黑体" w:hAnsi="黑体" w:eastAsia="黑体"/>
          <w:b w:val="0"/>
        </w:rPr>
        <w:t>政府性基金预算支出决算情况说明</w:t>
      </w:r>
      <w:bookmarkEnd w:id="40"/>
      <w:bookmarkEnd w:id="41"/>
    </w:p>
    <w:p>
      <w:pPr>
        <w:spacing w:line="600" w:lineRule="exact"/>
        <w:ind w:firstLine="64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22年政府性基金预算财政拨款支出</w:t>
      </w:r>
      <w:r>
        <w:rPr>
          <w:rFonts w:hint="eastAsia" w:ascii="仿宋_GB2312" w:eastAsia="仿宋_GB2312"/>
          <w:sz w:val="32"/>
          <w:szCs w:val="32"/>
          <w:lang w:val="en-US" w:eastAsia="zh-CN"/>
        </w:rPr>
        <w:t>355.4</w:t>
      </w:r>
      <w:r>
        <w:rPr>
          <w:rFonts w:hint="eastAsia" w:ascii="仿宋_GB2312" w:eastAsia="仿宋_GB2312"/>
          <w:sz w:val="32"/>
          <w:szCs w:val="32"/>
        </w:rPr>
        <w:t>万元。</w:t>
      </w:r>
    </w:p>
    <w:p>
      <w:pPr>
        <w:numPr>
          <w:ilvl w:val="0"/>
          <w:numId w:val="3"/>
        </w:numPr>
        <w:spacing w:line="600" w:lineRule="exact"/>
        <w:ind w:firstLine="640"/>
        <w:outlineLvl w:val="1"/>
        <w:rPr>
          <w:rStyle w:val="32"/>
          <w:rFonts w:ascii="黑体" w:hAnsi="黑体" w:eastAsia="黑体"/>
          <w:b w:val="0"/>
        </w:rPr>
      </w:pPr>
      <w:bookmarkStart w:id="42" w:name="_Toc15396611"/>
      <w:bookmarkStart w:id="43" w:name="_Toc15377219"/>
      <w:r>
        <w:rPr>
          <w:rStyle w:val="32"/>
          <w:rFonts w:hint="eastAsia" w:ascii="黑体" w:hAnsi="黑体" w:eastAsia="黑体"/>
          <w:b w:val="0"/>
        </w:rPr>
        <w:t>国有资本经营预算支出决算情况说明</w:t>
      </w:r>
      <w:bookmarkEnd w:id="42"/>
      <w:bookmarkEnd w:id="43"/>
    </w:p>
    <w:p>
      <w:pPr>
        <w:spacing w:line="600" w:lineRule="exact"/>
        <w:ind w:firstLine="640"/>
        <w:rPr>
          <w:rFonts w:ascii="方正小标宋简体" w:hAnsi="方正小标宋简体" w:eastAsia="方正小标宋简体" w:cs="方正小标宋简体"/>
          <w:sz w:val="44"/>
          <w:szCs w:val="44"/>
        </w:rPr>
      </w:pPr>
      <w:r>
        <w:rPr>
          <w:rFonts w:ascii="仿宋_GB2312" w:eastAsia="仿宋_GB2312"/>
          <w:sz w:val="32"/>
          <w:szCs w:val="32"/>
        </w:rPr>
        <w:t>20</w:t>
      </w:r>
      <w:r>
        <w:rPr>
          <w:rFonts w:hint="eastAsia" w:ascii="仿宋_GB2312" w:eastAsia="仿宋_GB2312"/>
          <w:sz w:val="32"/>
          <w:szCs w:val="32"/>
        </w:rPr>
        <w:t>22年国有资本经营预算财政拨款支出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numPr>
          <w:ilvl w:val="0"/>
          <w:numId w:val="3"/>
        </w:numPr>
        <w:spacing w:line="600" w:lineRule="exact"/>
        <w:ind w:firstLine="640"/>
        <w:outlineLvl w:val="1"/>
        <w:rPr>
          <w:rStyle w:val="32"/>
          <w:rFonts w:ascii="黑体" w:hAnsi="黑体" w:eastAsia="黑体"/>
          <w:b w:val="0"/>
        </w:rPr>
      </w:pPr>
      <w:bookmarkStart w:id="44" w:name="_Toc15396612"/>
      <w:bookmarkStart w:id="45" w:name="_Toc15377221"/>
      <w:r>
        <w:rPr>
          <w:rStyle w:val="32"/>
          <w:rFonts w:hint="eastAsia" w:ascii="黑体" w:hAnsi="黑体" w:eastAsia="黑体"/>
          <w:b w:val="0"/>
        </w:rPr>
        <w:t>其他重要事项的情况说明</w:t>
      </w:r>
      <w:bookmarkEnd w:id="44"/>
      <w:bookmarkEnd w:id="45"/>
    </w:p>
    <w:p>
      <w:pPr>
        <w:spacing w:line="600" w:lineRule="exact"/>
        <w:ind w:firstLine="643" w:firstLineChars="200"/>
        <w:outlineLvl w:val="2"/>
        <w:rPr>
          <w:rFonts w:ascii="仿宋" w:hAnsi="仿宋" w:eastAsia="仿宋"/>
          <w:sz w:val="32"/>
          <w:szCs w:val="32"/>
        </w:rPr>
      </w:pPr>
      <w:bookmarkStart w:id="46" w:name="_Toc15377222"/>
      <w:r>
        <w:rPr>
          <w:rFonts w:hint="eastAsia" w:ascii="仿宋" w:hAnsi="仿宋" w:eastAsia="仿宋"/>
          <w:b/>
          <w:sz w:val="32"/>
          <w:szCs w:val="32"/>
        </w:rPr>
        <w:t>（一）机关运行经费支出情况</w:t>
      </w:r>
      <w:bookmarkEnd w:id="46"/>
    </w:p>
    <w:p>
      <w:pPr>
        <w:spacing w:line="600" w:lineRule="exact"/>
        <w:ind w:firstLine="640" w:firstLineChars="20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22年，</w:t>
      </w:r>
      <w:r>
        <w:rPr>
          <w:rFonts w:hint="eastAsia" w:ascii="仿宋_GB2312" w:eastAsia="仿宋_GB2312"/>
          <w:sz w:val="32"/>
          <w:szCs w:val="32"/>
          <w:lang w:eastAsia="zh-CN"/>
        </w:rPr>
        <w:t>童家镇</w:t>
      </w:r>
      <w:r>
        <w:rPr>
          <w:rFonts w:hint="eastAsia" w:ascii="仿宋_GB2312" w:eastAsia="仿宋_GB2312"/>
          <w:sz w:val="32"/>
          <w:szCs w:val="32"/>
        </w:rPr>
        <w:t>机关运行经费支出</w:t>
      </w:r>
      <w:r>
        <w:rPr>
          <w:rFonts w:hint="eastAsia" w:ascii="仿宋_GB2312" w:eastAsia="仿宋_GB2312"/>
          <w:sz w:val="32"/>
          <w:szCs w:val="32"/>
          <w:lang w:val="en-US" w:eastAsia="zh-CN"/>
        </w:rPr>
        <w:t>0</w:t>
      </w:r>
      <w:r>
        <w:rPr>
          <w:rFonts w:hint="eastAsia" w:ascii="仿宋_GB2312" w:eastAsia="仿宋_GB2312"/>
          <w:sz w:val="32"/>
          <w:szCs w:val="32"/>
        </w:rPr>
        <w:t>万元，比</w:t>
      </w:r>
      <w:r>
        <w:rPr>
          <w:rFonts w:ascii="仿宋_GB2312" w:eastAsia="仿宋_GB2312"/>
          <w:sz w:val="32"/>
          <w:szCs w:val="32"/>
        </w:rPr>
        <w:t>20</w:t>
      </w:r>
      <w:r>
        <w:rPr>
          <w:rFonts w:hint="eastAsia" w:ascii="仿宋_GB2312" w:eastAsia="仿宋_GB2312"/>
          <w:sz w:val="32"/>
          <w:szCs w:val="32"/>
        </w:rPr>
        <w:t>21年增加</w:t>
      </w:r>
      <w:r>
        <w:rPr>
          <w:rFonts w:ascii="仿宋_GB2312" w:eastAsia="仿宋_GB2312"/>
          <w:sz w:val="32"/>
          <w:szCs w:val="32"/>
        </w:rPr>
        <w:t>/</w:t>
      </w:r>
      <w:r>
        <w:rPr>
          <w:rFonts w:hint="eastAsia" w:ascii="仿宋_GB2312" w:eastAsia="仿宋_GB2312"/>
          <w:sz w:val="32"/>
          <w:szCs w:val="32"/>
        </w:rPr>
        <w:t>减少</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ascii="仿宋_GB2312" w:eastAsia="仿宋_GB2312"/>
          <w:sz w:val="32"/>
          <w:szCs w:val="32"/>
        </w:rPr>
        <w:t>/</w:t>
      </w:r>
      <w:r>
        <w:rPr>
          <w:rFonts w:hint="eastAsia" w:ascii="仿宋_GB2312" w:eastAsia="仿宋_GB2312"/>
          <w:sz w:val="32"/>
          <w:szCs w:val="32"/>
        </w:rPr>
        <w:t>下降</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（或与</w:t>
      </w:r>
      <w:r>
        <w:rPr>
          <w:rFonts w:ascii="仿宋_GB2312" w:eastAsia="仿宋_GB2312"/>
          <w:sz w:val="32"/>
          <w:szCs w:val="32"/>
        </w:rPr>
        <w:t>20</w:t>
      </w:r>
      <w:r>
        <w:rPr>
          <w:rFonts w:hint="eastAsia" w:ascii="仿宋_GB2312" w:eastAsia="仿宋_GB2312"/>
          <w:sz w:val="32"/>
          <w:szCs w:val="32"/>
        </w:rPr>
        <w:t>21年决算数持平）。</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47" w:name="_Toc15377223"/>
      <w:r>
        <w:rPr>
          <w:rFonts w:hint="eastAsia" w:ascii="仿宋" w:hAnsi="仿宋" w:eastAsia="仿宋"/>
          <w:b/>
          <w:sz w:val="32"/>
          <w:szCs w:val="32"/>
        </w:rPr>
        <w:t>（二）政府采购支出情况</w:t>
      </w:r>
      <w:bookmarkEnd w:id="47"/>
    </w:p>
    <w:p>
      <w:pPr>
        <w:spacing w:line="600" w:lineRule="exact"/>
        <w:ind w:firstLine="640" w:firstLineChars="20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22年，</w:t>
      </w:r>
      <w:r>
        <w:rPr>
          <w:rFonts w:hint="eastAsia" w:ascii="仿宋_GB2312" w:eastAsia="仿宋_GB2312"/>
          <w:sz w:val="32"/>
          <w:szCs w:val="32"/>
          <w:lang w:eastAsia="zh-CN"/>
        </w:rPr>
        <w:t>童家镇人民</w:t>
      </w:r>
      <w:r>
        <w:rPr>
          <w:rFonts w:hint="eastAsia" w:ascii="仿宋_GB2312" w:eastAsia="仿宋_GB2312"/>
          <w:sz w:val="32"/>
          <w:szCs w:val="32"/>
        </w:rPr>
        <w:t>政府采购支出总额</w:t>
      </w:r>
      <w:r>
        <w:rPr>
          <w:rFonts w:hint="eastAsia" w:ascii="仿宋_GB2312" w:eastAsia="仿宋_GB2312"/>
          <w:sz w:val="32"/>
          <w:szCs w:val="32"/>
          <w:lang w:val="en-US" w:eastAsia="zh-CN"/>
        </w:rPr>
        <w:t>0</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0</w:t>
      </w:r>
      <w:r>
        <w:rPr>
          <w:rFonts w:hint="eastAsia" w:ascii="仿宋_GB2312" w:eastAsia="仿宋_GB2312"/>
          <w:sz w:val="32"/>
          <w:szCs w:val="32"/>
        </w:rPr>
        <w:t>万元、政府采购工程支出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万元、政府采购服务支出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48" w:name="_Toc15377224"/>
      <w:r>
        <w:rPr>
          <w:rFonts w:hint="eastAsia" w:ascii="仿宋" w:hAnsi="仿宋" w:eastAsia="仿宋"/>
          <w:b/>
          <w:sz w:val="32"/>
          <w:szCs w:val="32"/>
        </w:rPr>
        <w:t>（三）国有资产占有使用情况</w:t>
      </w:r>
      <w:bookmarkEnd w:id="48"/>
    </w:p>
    <w:p>
      <w:pPr>
        <w:autoSpaceDE w:val="0"/>
        <w:autoSpaceDN w:val="0"/>
        <w:adjustRightInd w:val="0"/>
        <w:spacing w:line="600" w:lineRule="exact"/>
        <w:ind w:firstLine="640" w:firstLineChars="200"/>
        <w:jc w:val="left"/>
        <w:rPr>
          <w:rFonts w:ascii="仿宋_GB2312" w:eastAsia="仿宋_GB2312"/>
          <w:b/>
          <w:sz w:val="32"/>
          <w:szCs w:val="32"/>
        </w:rPr>
      </w:pPr>
      <w:r>
        <w:rPr>
          <w:rFonts w:hint="eastAsia" w:ascii="仿宋_GB2312" w:eastAsia="仿宋_GB2312"/>
          <w:sz w:val="32"/>
          <w:szCs w:val="32"/>
        </w:rPr>
        <w:t>截至</w:t>
      </w:r>
      <w:r>
        <w:rPr>
          <w:rFonts w:ascii="仿宋_GB2312" w:eastAsia="仿宋_GB2312"/>
          <w:sz w:val="32"/>
          <w:szCs w:val="32"/>
        </w:rPr>
        <w:t>20</w:t>
      </w:r>
      <w:r>
        <w:rPr>
          <w:rFonts w:hint="eastAsia" w:ascii="仿宋_GB2312" w:eastAsia="仿宋_GB2312"/>
          <w:sz w:val="32"/>
          <w:szCs w:val="32"/>
        </w:rPr>
        <w:t>22年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hint="eastAsia" w:ascii="仿宋_GB2312" w:eastAsia="仿宋_GB2312"/>
          <w:sz w:val="32"/>
          <w:szCs w:val="32"/>
          <w:lang w:eastAsia="zh-CN"/>
        </w:rPr>
        <w:t>童家镇</w:t>
      </w:r>
      <w:r>
        <w:rPr>
          <w:rFonts w:hint="eastAsia" w:ascii="仿宋_GB2312" w:eastAsia="仿宋_GB2312"/>
          <w:sz w:val="32"/>
          <w:szCs w:val="32"/>
        </w:rPr>
        <w:t>共有车辆</w:t>
      </w:r>
      <w:r>
        <w:rPr>
          <w:rFonts w:hint="eastAsia" w:ascii="仿宋_GB2312" w:eastAsia="仿宋_GB2312"/>
          <w:sz w:val="32"/>
          <w:szCs w:val="32"/>
          <w:lang w:val="en-US" w:eastAsia="zh-CN"/>
        </w:rPr>
        <w:t>0</w:t>
      </w:r>
      <w:r>
        <w:rPr>
          <w:rFonts w:hint="eastAsia" w:ascii="仿宋_GB2312" w:eastAsia="仿宋_GB2312"/>
          <w:sz w:val="32"/>
          <w:szCs w:val="32"/>
        </w:rPr>
        <w:t>辆</w:t>
      </w:r>
      <w:r>
        <w:rPr>
          <w:rFonts w:hint="eastAsia" w:ascii="仿宋_GB2312" w:eastAsia="仿宋_GB2312"/>
          <w:sz w:val="32"/>
          <w:szCs w:val="32"/>
          <w:lang w:eastAsia="zh-CN"/>
        </w:rPr>
        <w:t>。</w:t>
      </w:r>
      <w:r>
        <w:rPr>
          <w:rFonts w:ascii="仿宋_GB2312" w:eastAsia="仿宋_GB2312"/>
          <w:b/>
          <w:sz w:val="32"/>
          <w:szCs w:val="32"/>
        </w:rPr>
        <w:br w:type="page"/>
      </w:r>
    </w:p>
    <w:p>
      <w:pPr>
        <w:pStyle w:val="7"/>
        <w:spacing w:before="93"/>
      </w:pPr>
    </w:p>
    <w:p>
      <w:pPr>
        <w:numPr>
          <w:ilvl w:val="0"/>
          <w:numId w:val="4"/>
        </w:numPr>
        <w:spacing w:line="600" w:lineRule="exact"/>
        <w:ind w:firstLine="660" w:firstLineChars="150"/>
        <w:jc w:val="center"/>
        <w:outlineLvl w:val="0"/>
        <w:rPr>
          <w:rStyle w:val="31"/>
          <w:rFonts w:ascii="黑体" w:hAnsi="黑体" w:eastAsia="黑体"/>
          <w:b w:val="0"/>
        </w:rPr>
      </w:pPr>
      <w:bookmarkStart w:id="49" w:name="_Toc15377225"/>
      <w:bookmarkStart w:id="50" w:name="_Toc15396613"/>
      <w:r>
        <w:rPr>
          <w:rFonts w:hint="eastAsia" w:ascii="黑体" w:hAnsi="黑体" w:eastAsia="黑体"/>
          <w:sz w:val="44"/>
          <w:szCs w:val="44"/>
        </w:rPr>
        <w:t>名</w:t>
      </w:r>
      <w:r>
        <w:rPr>
          <w:rStyle w:val="31"/>
          <w:rFonts w:hint="eastAsia" w:ascii="黑体" w:hAnsi="黑体" w:eastAsia="黑体"/>
          <w:b w:val="0"/>
        </w:rPr>
        <w:t>词解释</w:t>
      </w:r>
      <w:bookmarkEnd w:id="49"/>
      <w:bookmarkEnd w:id="50"/>
    </w:p>
    <w:p>
      <w:pPr>
        <w:spacing w:line="600" w:lineRule="exact"/>
        <w:jc w:val="left"/>
        <w:rPr>
          <w:rFonts w:ascii="宋体"/>
          <w:b/>
          <w:sz w:val="44"/>
          <w:szCs w:val="44"/>
        </w:rPr>
      </w:pPr>
    </w:p>
    <w:p>
      <w:pPr>
        <w:pStyle w:val="29"/>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p>
    <w:p>
      <w:pPr>
        <w:pStyle w:val="29"/>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2.</w:t>
      </w:r>
      <w:r>
        <w:rPr>
          <w:rFonts w:hint="eastAsia" w:ascii="仿宋_GB2312" w:eastAsia="仿宋_GB2312"/>
          <w:color w:val="auto"/>
          <w:sz w:val="32"/>
          <w:szCs w:val="32"/>
        </w:rPr>
        <w:t>事业收入：指事业单位开展专业业务活动及辅助活动取得的收入。如…（二级预算单位事业收入情况）等。</w:t>
      </w:r>
    </w:p>
    <w:p>
      <w:pPr>
        <w:pStyle w:val="29"/>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3.</w:t>
      </w:r>
      <w:r>
        <w:rPr>
          <w:rFonts w:hint="eastAsia" w:ascii="仿宋_GB2312" w:eastAsia="仿宋_GB2312"/>
          <w:color w:val="auto"/>
          <w:sz w:val="32"/>
          <w:szCs w:val="32"/>
        </w:rPr>
        <w:t>经营收入：指事业单位在专业业务活动及其辅助活动之外开展非独立核算经营活动取得的收入。如…（二级预算单位经营收入情况）等。</w:t>
      </w:r>
    </w:p>
    <w:p>
      <w:pPr>
        <w:pStyle w:val="29"/>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4.</w:t>
      </w:r>
      <w:r>
        <w:rPr>
          <w:rFonts w:hint="eastAsia" w:ascii="仿宋_GB2312" w:eastAsia="仿宋_GB2312"/>
          <w:color w:val="auto"/>
          <w:sz w:val="32"/>
          <w:szCs w:val="32"/>
        </w:rPr>
        <w:t>其他收入：指单位取得的除上述收入以外的各项收入。主要是…（收入类型）等。</w:t>
      </w:r>
      <w:r>
        <w:rPr>
          <w:rFonts w:ascii="仿宋_GB2312" w:eastAsia="仿宋_GB2312"/>
          <w:color w:val="auto"/>
          <w:sz w:val="32"/>
          <w:szCs w:val="32"/>
        </w:rPr>
        <w:t xml:space="preserve"> </w:t>
      </w:r>
    </w:p>
    <w:p>
      <w:pPr>
        <w:pStyle w:val="29"/>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5.</w:t>
      </w:r>
      <w:r>
        <w:rPr>
          <w:rFonts w:hint="eastAsia" w:ascii="仿宋_GB2312" w:eastAsia="仿宋_GB2312"/>
          <w:color w:val="auto"/>
          <w:sz w:val="32"/>
          <w:szCs w:val="32"/>
        </w:rPr>
        <w:t>使用非财政拨款结余：指事业单位使用以前年度积累的非财政拨款结余弥补当年收支差额的金额。</w:t>
      </w:r>
      <w:r>
        <w:rPr>
          <w:rFonts w:ascii="仿宋_GB2312" w:eastAsia="仿宋_GB2312"/>
          <w:color w:val="auto"/>
          <w:sz w:val="32"/>
          <w:szCs w:val="32"/>
        </w:rPr>
        <w:t xml:space="preserve"> </w:t>
      </w:r>
    </w:p>
    <w:p>
      <w:pPr>
        <w:pStyle w:val="29"/>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6.</w:t>
      </w:r>
      <w:r>
        <w:rPr>
          <w:rFonts w:hint="eastAsia" w:ascii="仿宋_GB2312" w:eastAsia="仿宋_GB2312"/>
          <w:color w:val="auto"/>
          <w:sz w:val="32"/>
          <w:szCs w:val="32"/>
        </w:rPr>
        <w:t>年初结转和结余：指以前年度尚未完成、结转到本年按有关规定继续使用的资金。</w:t>
      </w:r>
      <w:r>
        <w:rPr>
          <w:rFonts w:ascii="仿宋_GB2312" w:eastAsia="仿宋_GB2312"/>
          <w:color w:val="auto"/>
          <w:sz w:val="32"/>
          <w:szCs w:val="32"/>
        </w:rPr>
        <w:t xml:space="preserve"> </w:t>
      </w:r>
    </w:p>
    <w:p>
      <w:pPr>
        <w:pStyle w:val="29"/>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7.</w:t>
      </w:r>
      <w:r>
        <w:rPr>
          <w:rFonts w:hint="eastAsia" w:ascii="仿宋_GB2312" w:eastAsia="仿宋_GB2312"/>
          <w:color w:val="auto"/>
          <w:sz w:val="32"/>
          <w:szCs w:val="32"/>
        </w:rPr>
        <w:t>结余分配：指事业单位按照会计制度规定缴纳的所得税、提取的专用结余以及转入非财政拨款结余的金额等。</w:t>
      </w:r>
    </w:p>
    <w:p>
      <w:pPr>
        <w:pStyle w:val="29"/>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8</w:t>
      </w:r>
      <w:r>
        <w:rPr>
          <w:rFonts w:hint="eastAsia" w:ascii="仿宋_GB2312" w:eastAsia="仿宋_GB2312"/>
          <w:color w:val="auto"/>
          <w:sz w:val="32"/>
          <w:szCs w:val="32"/>
        </w:rPr>
        <w:t>.年末结转和结余：指单位按有关规定结转到下年或以后年度继续使用的资金。</w:t>
      </w:r>
    </w:p>
    <w:p>
      <w:pPr>
        <w:ind w:firstLine="640" w:firstLineChars="200"/>
        <w:rPr>
          <w:rFonts w:ascii="仿宋_GB2312" w:eastAsia="仿宋_GB2312"/>
          <w:sz w:val="32"/>
          <w:szCs w:val="32"/>
        </w:rPr>
      </w:pPr>
      <w:r>
        <w:rPr>
          <w:rFonts w:ascii="仿宋_GB2312" w:eastAsia="仿宋_GB2312"/>
          <w:sz w:val="32"/>
          <w:szCs w:val="32"/>
        </w:rPr>
        <w:t>9.</w:t>
      </w:r>
      <w:r>
        <w:rPr>
          <w:rFonts w:hint="eastAsia" w:ascii="仿宋_GB2312" w:eastAsia="仿宋_GB2312"/>
          <w:sz w:val="32"/>
          <w:szCs w:val="32"/>
        </w:rPr>
        <w:t>一般公共服务（类）…（款）…（项）：指……。</w:t>
      </w:r>
    </w:p>
    <w:p>
      <w:pPr>
        <w:ind w:firstLine="640" w:firstLineChars="200"/>
        <w:rPr>
          <w:rFonts w:ascii="仿宋_GB2312" w:eastAsia="仿宋_GB2312"/>
          <w:sz w:val="32"/>
          <w:szCs w:val="32"/>
        </w:rPr>
      </w:pPr>
      <w:r>
        <w:rPr>
          <w:rFonts w:ascii="仿宋_GB2312" w:eastAsia="仿宋_GB2312"/>
          <w:sz w:val="32"/>
          <w:szCs w:val="32"/>
        </w:rPr>
        <w:t>10.</w:t>
      </w:r>
      <w:r>
        <w:rPr>
          <w:rFonts w:hint="eastAsia" w:ascii="仿宋_GB2312" w:eastAsia="仿宋_GB2312"/>
          <w:sz w:val="32"/>
          <w:szCs w:val="32"/>
        </w:rPr>
        <w:t>外交（类）…（款）…（项）：指……。</w:t>
      </w:r>
    </w:p>
    <w:p>
      <w:pPr>
        <w:ind w:firstLine="640" w:firstLineChars="200"/>
        <w:rPr>
          <w:rFonts w:ascii="仿宋_GB2312" w:eastAsia="仿宋_GB2312"/>
          <w:sz w:val="32"/>
          <w:szCs w:val="32"/>
        </w:rPr>
      </w:pPr>
      <w:r>
        <w:rPr>
          <w:rFonts w:ascii="仿宋_GB2312" w:eastAsia="仿宋_GB2312"/>
          <w:sz w:val="32"/>
          <w:szCs w:val="32"/>
        </w:rPr>
        <w:t>11.</w:t>
      </w:r>
      <w:r>
        <w:rPr>
          <w:rFonts w:hint="eastAsia" w:ascii="仿宋_GB2312" w:eastAsia="仿宋_GB2312"/>
          <w:sz w:val="32"/>
          <w:szCs w:val="32"/>
        </w:rPr>
        <w:t>公共安全（类）…（款）…（项）：指……。</w:t>
      </w:r>
    </w:p>
    <w:p>
      <w:pPr>
        <w:ind w:firstLine="640" w:firstLineChars="200"/>
        <w:rPr>
          <w:rFonts w:ascii="仿宋_GB2312" w:eastAsia="仿宋_GB2312"/>
          <w:sz w:val="32"/>
          <w:szCs w:val="32"/>
        </w:rPr>
      </w:pPr>
      <w:r>
        <w:rPr>
          <w:rFonts w:ascii="仿宋_GB2312" w:eastAsia="仿宋_GB2312"/>
          <w:sz w:val="32"/>
          <w:szCs w:val="32"/>
        </w:rPr>
        <w:t>12.</w:t>
      </w:r>
      <w:r>
        <w:rPr>
          <w:rFonts w:hint="eastAsia" w:ascii="仿宋_GB2312" w:eastAsia="仿宋_GB2312"/>
          <w:sz w:val="32"/>
          <w:szCs w:val="32"/>
        </w:rPr>
        <w:t>教育（类）…（款）…（项）：指……。</w:t>
      </w:r>
    </w:p>
    <w:p>
      <w:pPr>
        <w:ind w:firstLine="640" w:firstLineChars="200"/>
        <w:rPr>
          <w:rFonts w:ascii="仿宋_GB2312" w:eastAsia="仿宋_GB2312"/>
          <w:sz w:val="32"/>
          <w:szCs w:val="32"/>
        </w:rPr>
      </w:pPr>
      <w:r>
        <w:rPr>
          <w:rFonts w:ascii="仿宋_GB2312" w:eastAsia="仿宋_GB2312"/>
          <w:sz w:val="32"/>
          <w:szCs w:val="32"/>
        </w:rPr>
        <w:t>13.</w:t>
      </w:r>
      <w:r>
        <w:rPr>
          <w:rFonts w:hint="eastAsia" w:ascii="仿宋_GB2312" w:eastAsia="仿宋_GB2312"/>
          <w:sz w:val="32"/>
          <w:szCs w:val="32"/>
        </w:rPr>
        <w:t>科学技术（类）…（款）…（项）：指……。</w:t>
      </w:r>
    </w:p>
    <w:p>
      <w:pPr>
        <w:ind w:firstLine="640" w:firstLineChars="200"/>
        <w:rPr>
          <w:rFonts w:ascii="仿宋_GB2312" w:eastAsia="仿宋_GB2312"/>
          <w:sz w:val="32"/>
          <w:szCs w:val="32"/>
        </w:rPr>
      </w:pPr>
      <w:r>
        <w:rPr>
          <w:rFonts w:ascii="仿宋_GB2312" w:eastAsia="仿宋_GB2312"/>
          <w:sz w:val="32"/>
          <w:szCs w:val="32"/>
        </w:rPr>
        <w:t>14.</w:t>
      </w:r>
      <w:r>
        <w:rPr>
          <w:rFonts w:hint="eastAsia" w:ascii="仿宋_GB2312" w:eastAsia="仿宋_GB2312"/>
          <w:sz w:val="32"/>
          <w:szCs w:val="32"/>
        </w:rPr>
        <w:t>文化旅游体育与传媒（类）…（款）…（项）：指……。</w:t>
      </w:r>
    </w:p>
    <w:p>
      <w:pPr>
        <w:ind w:firstLine="640" w:firstLineChars="200"/>
        <w:rPr>
          <w:rFonts w:ascii="仿宋_GB2312" w:eastAsia="仿宋_GB2312"/>
          <w:sz w:val="32"/>
          <w:szCs w:val="32"/>
        </w:rPr>
      </w:pPr>
      <w:r>
        <w:rPr>
          <w:rFonts w:ascii="仿宋_GB2312" w:eastAsia="仿宋_GB2312"/>
          <w:sz w:val="32"/>
          <w:szCs w:val="32"/>
        </w:rPr>
        <w:t>15.</w:t>
      </w:r>
      <w:r>
        <w:rPr>
          <w:rFonts w:hint="eastAsia" w:ascii="仿宋_GB2312" w:eastAsia="仿宋_GB2312"/>
          <w:sz w:val="32"/>
          <w:szCs w:val="32"/>
        </w:rPr>
        <w:t>社会保障和就业（类）…（款）…（项）：指……。</w:t>
      </w:r>
    </w:p>
    <w:p>
      <w:pPr>
        <w:ind w:firstLine="640" w:firstLineChars="200"/>
        <w:rPr>
          <w:rFonts w:ascii="仿宋_GB2312" w:eastAsia="仿宋_GB2312"/>
          <w:sz w:val="32"/>
          <w:szCs w:val="32"/>
        </w:rPr>
      </w:pPr>
      <w:r>
        <w:rPr>
          <w:rFonts w:ascii="仿宋_GB2312" w:eastAsia="仿宋_GB2312"/>
          <w:sz w:val="32"/>
          <w:szCs w:val="32"/>
        </w:rPr>
        <w:t>16.</w:t>
      </w:r>
      <w:r>
        <w:rPr>
          <w:rFonts w:hint="eastAsia" w:ascii="仿宋_GB2312" w:eastAsia="仿宋_GB2312"/>
          <w:sz w:val="32"/>
          <w:szCs w:val="32"/>
        </w:rPr>
        <w:t>卫生健康（类）…（款）…（项）：指……。</w:t>
      </w:r>
    </w:p>
    <w:p>
      <w:pPr>
        <w:ind w:firstLine="640" w:firstLineChars="200"/>
        <w:rPr>
          <w:rFonts w:ascii="仿宋_GB2312" w:eastAsia="仿宋_GB2312"/>
          <w:sz w:val="32"/>
          <w:szCs w:val="32"/>
        </w:rPr>
      </w:pPr>
      <w:r>
        <w:rPr>
          <w:rFonts w:ascii="仿宋_GB2312" w:eastAsia="仿宋_GB2312"/>
          <w:sz w:val="32"/>
          <w:szCs w:val="32"/>
        </w:rPr>
        <w:t>17.</w:t>
      </w:r>
      <w:r>
        <w:rPr>
          <w:rFonts w:hint="eastAsia" w:ascii="仿宋_GB2312" w:eastAsia="仿宋_GB2312"/>
          <w:sz w:val="32"/>
          <w:szCs w:val="32"/>
        </w:rPr>
        <w:t>节能环保（类）…（款）…（项）：指……。</w:t>
      </w:r>
    </w:p>
    <w:p>
      <w:pPr>
        <w:ind w:firstLine="640" w:firstLineChars="200"/>
        <w:rPr>
          <w:rFonts w:ascii="仿宋_GB2312" w:eastAsia="仿宋_GB2312"/>
          <w:sz w:val="32"/>
          <w:szCs w:val="32"/>
        </w:rPr>
      </w:pPr>
      <w:r>
        <w:rPr>
          <w:rFonts w:ascii="仿宋_GB2312" w:eastAsia="仿宋_GB2312"/>
          <w:sz w:val="32"/>
          <w:szCs w:val="32"/>
        </w:rPr>
        <w:t>18.</w:t>
      </w:r>
      <w:r>
        <w:rPr>
          <w:rFonts w:hint="eastAsia" w:ascii="仿宋_GB2312" w:eastAsia="仿宋_GB2312"/>
          <w:sz w:val="32"/>
          <w:szCs w:val="32"/>
        </w:rPr>
        <w:t>城乡社区（类）…（款）…（项）：指……。</w:t>
      </w:r>
    </w:p>
    <w:p>
      <w:pPr>
        <w:ind w:firstLine="640" w:firstLineChars="200"/>
        <w:rPr>
          <w:rFonts w:ascii="仿宋_GB2312" w:eastAsia="仿宋_GB2312"/>
          <w:sz w:val="32"/>
          <w:szCs w:val="32"/>
        </w:rPr>
      </w:pPr>
      <w:r>
        <w:rPr>
          <w:rFonts w:ascii="仿宋_GB2312" w:eastAsia="仿宋_GB2312"/>
          <w:sz w:val="32"/>
          <w:szCs w:val="32"/>
        </w:rPr>
        <w:t>19.</w:t>
      </w:r>
      <w:r>
        <w:rPr>
          <w:rFonts w:hint="eastAsia" w:ascii="仿宋_GB2312" w:eastAsia="仿宋_GB2312"/>
          <w:sz w:val="32"/>
          <w:szCs w:val="32"/>
        </w:rPr>
        <w:t>农林水（类）…（款）…（项）：指……。</w:t>
      </w:r>
    </w:p>
    <w:p>
      <w:pPr>
        <w:ind w:firstLine="640" w:firstLineChars="20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交通运输（类）…（款）…（项）：指……。</w:t>
      </w:r>
    </w:p>
    <w:p>
      <w:pPr>
        <w:ind w:firstLine="640" w:firstLineChars="200"/>
        <w:rPr>
          <w:rFonts w:ascii="仿宋_GB2312" w:eastAsia="仿宋_GB2312"/>
          <w:sz w:val="32"/>
          <w:szCs w:val="32"/>
        </w:rPr>
      </w:pPr>
      <w:r>
        <w:rPr>
          <w:rFonts w:ascii="仿宋_GB2312" w:eastAsia="仿宋_GB2312"/>
          <w:sz w:val="32"/>
          <w:szCs w:val="32"/>
        </w:rPr>
        <w:t>21.</w:t>
      </w:r>
      <w:r>
        <w:rPr>
          <w:rFonts w:hint="eastAsia" w:ascii="仿宋_GB2312" w:eastAsia="仿宋_GB2312"/>
          <w:sz w:val="32"/>
          <w:szCs w:val="32"/>
        </w:rPr>
        <w:t>资源勘探工业信息等（类）…（款）…（项）：指……。</w:t>
      </w:r>
    </w:p>
    <w:p>
      <w:pPr>
        <w:ind w:firstLine="640" w:firstLineChars="200"/>
        <w:rPr>
          <w:rFonts w:ascii="仿宋_GB2312" w:eastAsia="仿宋_GB2312"/>
          <w:sz w:val="32"/>
          <w:szCs w:val="32"/>
        </w:rPr>
      </w:pPr>
      <w:r>
        <w:rPr>
          <w:rFonts w:ascii="仿宋_GB2312" w:eastAsia="仿宋_GB2312"/>
          <w:sz w:val="32"/>
          <w:szCs w:val="32"/>
        </w:rPr>
        <w:t>22.</w:t>
      </w:r>
      <w:r>
        <w:rPr>
          <w:rFonts w:hint="eastAsia" w:ascii="仿宋_GB2312" w:eastAsia="仿宋_GB2312"/>
          <w:sz w:val="32"/>
          <w:szCs w:val="32"/>
        </w:rPr>
        <w:t>商业服务业（类）…（款）…（项）：指……。</w:t>
      </w:r>
    </w:p>
    <w:p>
      <w:pPr>
        <w:ind w:firstLine="640" w:firstLineChars="200"/>
        <w:rPr>
          <w:rFonts w:ascii="仿宋_GB2312" w:eastAsia="仿宋_GB2312"/>
          <w:sz w:val="32"/>
          <w:szCs w:val="32"/>
        </w:rPr>
      </w:pPr>
      <w:r>
        <w:rPr>
          <w:rFonts w:ascii="仿宋_GB2312" w:eastAsia="仿宋_GB2312"/>
          <w:sz w:val="32"/>
          <w:szCs w:val="32"/>
        </w:rPr>
        <w:t>23.</w:t>
      </w:r>
      <w:r>
        <w:rPr>
          <w:rFonts w:hint="eastAsia" w:ascii="仿宋_GB2312" w:eastAsia="仿宋_GB2312"/>
          <w:sz w:val="32"/>
          <w:szCs w:val="32"/>
        </w:rPr>
        <w:t>金融（类）…（款）…（项）：指……。</w:t>
      </w:r>
    </w:p>
    <w:p>
      <w:pPr>
        <w:ind w:firstLine="640" w:firstLineChars="200"/>
        <w:rPr>
          <w:rFonts w:ascii="仿宋_GB2312" w:eastAsia="仿宋_GB2312"/>
          <w:sz w:val="32"/>
          <w:szCs w:val="32"/>
        </w:rPr>
      </w:pPr>
      <w:r>
        <w:rPr>
          <w:rFonts w:ascii="仿宋_GB2312" w:eastAsia="仿宋_GB2312"/>
          <w:sz w:val="32"/>
          <w:szCs w:val="32"/>
        </w:rPr>
        <w:t>24.</w:t>
      </w:r>
      <w:r>
        <w:rPr>
          <w:rFonts w:hint="eastAsia" w:ascii="仿宋_GB2312" w:eastAsia="仿宋_GB2312"/>
          <w:sz w:val="32"/>
          <w:szCs w:val="32"/>
        </w:rPr>
        <w:t>自然资源海洋气象等（类）…（款）…（项）：指……。</w:t>
      </w:r>
    </w:p>
    <w:p>
      <w:pPr>
        <w:ind w:firstLine="640" w:firstLineChars="200"/>
        <w:rPr>
          <w:rFonts w:ascii="仿宋_GB2312" w:eastAsia="仿宋_GB2312"/>
          <w:sz w:val="32"/>
          <w:szCs w:val="32"/>
        </w:rPr>
      </w:pPr>
      <w:r>
        <w:rPr>
          <w:rFonts w:ascii="仿宋_GB2312" w:eastAsia="仿宋_GB2312"/>
          <w:sz w:val="32"/>
          <w:szCs w:val="32"/>
        </w:rPr>
        <w:t>25.</w:t>
      </w:r>
      <w:r>
        <w:rPr>
          <w:rFonts w:hint="eastAsia" w:ascii="仿宋_GB2312" w:eastAsia="仿宋_GB2312"/>
          <w:sz w:val="32"/>
          <w:szCs w:val="32"/>
        </w:rPr>
        <w:t>住房保障（类）…（款）…（项）：指……。</w:t>
      </w:r>
    </w:p>
    <w:p>
      <w:pPr>
        <w:ind w:firstLine="640" w:firstLineChars="200"/>
        <w:rPr>
          <w:rFonts w:ascii="仿宋_GB2312" w:eastAsia="仿宋_GB2312"/>
          <w:sz w:val="32"/>
          <w:szCs w:val="32"/>
        </w:rPr>
      </w:pPr>
      <w:r>
        <w:rPr>
          <w:rFonts w:ascii="仿宋_GB2312" w:eastAsia="仿宋_GB2312"/>
          <w:sz w:val="32"/>
          <w:szCs w:val="32"/>
        </w:rPr>
        <w:t>26.</w:t>
      </w:r>
      <w:r>
        <w:rPr>
          <w:rFonts w:hint="eastAsia" w:ascii="仿宋_GB2312" w:eastAsia="仿宋_GB2312"/>
          <w:sz w:val="32"/>
          <w:szCs w:val="32"/>
        </w:rPr>
        <w:t>粮油物资储备（类）…（款）…（项）：指……。</w:t>
      </w:r>
    </w:p>
    <w:p>
      <w:pPr>
        <w:ind w:firstLine="640" w:firstLineChars="200"/>
        <w:rPr>
          <w:rFonts w:ascii="仿宋_GB2312" w:eastAsia="仿宋_GB2312"/>
          <w:sz w:val="32"/>
          <w:szCs w:val="32"/>
        </w:rPr>
      </w:pP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w:t>
      </w:r>
    </w:p>
    <w:p>
      <w:pPr>
        <w:ind w:firstLine="640" w:firstLineChars="200"/>
        <w:rPr>
          <w:rFonts w:ascii="仿宋_GB2312" w:eastAsia="仿宋_GB2312"/>
          <w:sz w:val="32"/>
          <w:szCs w:val="32"/>
        </w:rPr>
      </w:pPr>
      <w:r>
        <w:rPr>
          <w:rFonts w:ascii="仿宋_GB2312" w:eastAsia="仿宋_GB2312"/>
          <w:sz w:val="32"/>
          <w:szCs w:val="32"/>
        </w:rPr>
        <w:t>27.</w:t>
      </w:r>
      <w:r>
        <w:rPr>
          <w:rFonts w:hint="eastAsia" w:ascii="仿宋_GB2312" w:eastAsia="仿宋_GB2312"/>
          <w:sz w:val="32"/>
          <w:szCs w:val="32"/>
        </w:rPr>
        <w:t>基本支出：指为保障机构正常运转、完成日常工作任务而发生的人员支出和公用支出。</w:t>
      </w:r>
    </w:p>
    <w:p>
      <w:pPr>
        <w:ind w:firstLine="640" w:firstLineChars="200"/>
        <w:rPr>
          <w:rFonts w:ascii="仿宋_GB2312" w:eastAsia="仿宋_GB2312"/>
          <w:sz w:val="32"/>
          <w:szCs w:val="32"/>
        </w:rPr>
      </w:pPr>
      <w:r>
        <w:rPr>
          <w:rFonts w:ascii="仿宋_GB2312" w:eastAsia="仿宋_GB2312"/>
          <w:sz w:val="32"/>
          <w:szCs w:val="32"/>
        </w:rPr>
        <w:t>28.</w:t>
      </w:r>
      <w:r>
        <w:rPr>
          <w:rFonts w:hint="eastAsia" w:ascii="仿宋_GB2312" w:eastAsia="仿宋_GB2312"/>
          <w:sz w:val="32"/>
          <w:szCs w:val="32"/>
        </w:rPr>
        <w:t>项目支出：指在基本支出之外为完成特定行政任务和事业发展目标所发生的支出。</w:t>
      </w:r>
      <w:r>
        <w:rPr>
          <w:rFonts w:ascii="仿宋_GB2312" w:eastAsia="仿宋_GB2312"/>
          <w:sz w:val="32"/>
          <w:szCs w:val="32"/>
        </w:rPr>
        <w:t xml:space="preserve"> </w:t>
      </w:r>
    </w:p>
    <w:p>
      <w:pPr>
        <w:ind w:firstLine="640" w:firstLineChars="200"/>
        <w:rPr>
          <w:rFonts w:ascii="仿宋_GB2312" w:eastAsia="仿宋_GB2312"/>
          <w:sz w:val="32"/>
          <w:szCs w:val="32"/>
        </w:rPr>
      </w:pPr>
      <w:r>
        <w:rPr>
          <w:rFonts w:ascii="仿宋_GB2312" w:eastAsia="仿宋_GB2312"/>
          <w:sz w:val="32"/>
          <w:szCs w:val="32"/>
        </w:rPr>
        <w:t>29.</w:t>
      </w:r>
      <w:r>
        <w:rPr>
          <w:rFonts w:hint="eastAsia" w:ascii="仿宋_GB2312" w:eastAsia="仿宋_GB2312"/>
          <w:sz w:val="32"/>
          <w:szCs w:val="32"/>
        </w:rPr>
        <w:t>经营支出：指事业单位在专业业务活动及其辅助活动之外开展非独立核算经营活动发生的支出。</w:t>
      </w:r>
    </w:p>
    <w:p>
      <w:pPr>
        <w:pStyle w:val="29"/>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30.</w:t>
      </w:r>
      <w:r>
        <w:rPr>
          <w:rFonts w:hint="eastAsia" w:ascii="仿宋_GB2312" w:eastAsia="仿宋_GB2312"/>
          <w:color w:val="auto"/>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9"/>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31.</w:t>
      </w:r>
      <w:r>
        <w:rPr>
          <w:rFonts w:hint="eastAsia" w:ascii="仿宋_GB2312" w:eastAsia="仿宋_GB2312"/>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29"/>
        <w:spacing w:line="560" w:lineRule="exact"/>
        <w:ind w:firstLine="640" w:firstLineChars="200"/>
        <w:rPr>
          <w:rFonts w:ascii="仿宋_GB2312" w:eastAsia="仿宋_GB2312" w:cs="黑体"/>
          <w:color w:val="auto"/>
          <w:sz w:val="32"/>
          <w:szCs w:val="32"/>
        </w:rPr>
      </w:pPr>
    </w:p>
    <w:p>
      <w:pPr>
        <w:spacing w:line="600" w:lineRule="exact"/>
        <w:jc w:val="center"/>
        <w:outlineLvl w:val="0"/>
        <w:rPr>
          <w:rStyle w:val="31"/>
          <w:rFonts w:ascii="黑体" w:hAnsi="黑体" w:eastAsia="黑体"/>
          <w:b w:val="0"/>
        </w:rPr>
      </w:pPr>
      <w:bookmarkStart w:id="51" w:name="_Toc15377226"/>
      <w:r>
        <w:rPr>
          <w:rFonts w:ascii="宋体"/>
          <w:b/>
          <w:sz w:val="44"/>
          <w:szCs w:val="44"/>
        </w:rPr>
        <w:br w:type="page"/>
      </w:r>
      <w:bookmarkStart w:id="52" w:name="_Toc15396614"/>
      <w:r>
        <w:rPr>
          <w:rFonts w:hint="eastAsia" w:ascii="黑体" w:hAnsi="黑体" w:eastAsia="黑体"/>
          <w:sz w:val="44"/>
          <w:szCs w:val="44"/>
        </w:rPr>
        <w:t>第</w:t>
      </w:r>
      <w:r>
        <w:rPr>
          <w:rStyle w:val="31"/>
          <w:rFonts w:hint="eastAsia" w:ascii="黑体" w:hAnsi="黑体" w:eastAsia="黑体"/>
          <w:b w:val="0"/>
        </w:rPr>
        <w:t>四部分 附件</w:t>
      </w:r>
      <w:bookmarkEnd w:id="52"/>
    </w:p>
    <w:p>
      <w:pPr>
        <w:spacing w:line="572" w:lineRule="exact"/>
        <w:jc w:val="left"/>
        <w:outlineLvl w:val="0"/>
        <w:rPr>
          <w:rFonts w:ascii="黑体" w:hAnsi="黑体" w:eastAsia="黑体" w:cs="黑体"/>
          <w:sz w:val="32"/>
          <w:szCs w:val="32"/>
        </w:rPr>
      </w:pPr>
      <w:r>
        <w:rPr>
          <w:rFonts w:hint="eastAsia" w:ascii="黑体" w:hAnsi="黑体" w:eastAsia="黑体" w:cs="黑体"/>
          <w:sz w:val="32"/>
          <w:szCs w:val="32"/>
        </w:rPr>
        <w:t>附件</w:t>
      </w:r>
    </w:p>
    <w:p>
      <w:pPr>
        <w:spacing w:line="600" w:lineRule="exact"/>
        <w:jc w:val="center"/>
        <w:rPr>
          <w:rFonts w:ascii="方正小标宋简体" w:hAnsi="宋体" w:eastAsia="方正小标宋简体"/>
          <w:color w:val="000000"/>
          <w:kern w:val="0"/>
          <w:sz w:val="40"/>
          <w:szCs w:val="44"/>
          <w:highlight w:val="none"/>
          <w:lang w:val="zh-CN"/>
        </w:rPr>
      </w:pPr>
      <w:r>
        <w:rPr>
          <w:rFonts w:hint="eastAsia" w:ascii="方正小标宋简体" w:hAnsi="宋体" w:eastAsia="方正小标宋简体"/>
          <w:color w:val="000000"/>
          <w:kern w:val="0"/>
          <w:sz w:val="40"/>
          <w:szCs w:val="44"/>
          <w:highlight w:val="none"/>
          <w:lang w:eastAsia="zh-CN"/>
        </w:rPr>
        <w:t>童家镇人民政府</w:t>
      </w:r>
      <w:r>
        <w:rPr>
          <w:rFonts w:ascii="方正小标宋简体" w:hAnsi="宋体" w:eastAsia="方正小标宋简体"/>
          <w:color w:val="000000"/>
          <w:kern w:val="0"/>
          <w:sz w:val="40"/>
          <w:szCs w:val="44"/>
          <w:highlight w:val="none"/>
        </w:rPr>
        <w:t>202</w:t>
      </w:r>
      <w:r>
        <w:rPr>
          <w:rFonts w:hint="eastAsia" w:ascii="方正小标宋简体" w:hAnsi="宋体" w:eastAsia="方正小标宋简体"/>
          <w:color w:val="000000"/>
          <w:kern w:val="0"/>
          <w:sz w:val="40"/>
          <w:szCs w:val="44"/>
          <w:highlight w:val="none"/>
          <w:lang w:val="en-US" w:eastAsia="zh-CN"/>
        </w:rPr>
        <w:t>2</w:t>
      </w:r>
      <w:r>
        <w:rPr>
          <w:rFonts w:hint="eastAsia" w:ascii="方正小标宋简体" w:hAnsi="宋体" w:eastAsia="方正小标宋简体"/>
          <w:color w:val="000000"/>
          <w:kern w:val="0"/>
          <w:sz w:val="40"/>
          <w:szCs w:val="44"/>
          <w:highlight w:val="none"/>
        </w:rPr>
        <w:t>年部门</w:t>
      </w:r>
      <w:r>
        <w:rPr>
          <w:rFonts w:hint="eastAsia" w:ascii="方正小标宋简体" w:hAnsi="宋体" w:eastAsia="方正小标宋简体"/>
          <w:color w:val="000000"/>
          <w:kern w:val="0"/>
          <w:sz w:val="40"/>
          <w:szCs w:val="44"/>
          <w:highlight w:val="none"/>
          <w:lang w:val="zh-CN"/>
        </w:rPr>
        <w:t>整体支出绩效评价报告</w:t>
      </w:r>
    </w:p>
    <w:p>
      <w:pPr>
        <w:autoSpaceDE w:val="0"/>
        <w:autoSpaceDN w:val="0"/>
        <w:adjustRightInd w:val="0"/>
        <w:spacing w:line="600" w:lineRule="exact"/>
        <w:ind w:firstLine="643" w:firstLineChars="200"/>
        <w:jc w:val="left"/>
        <w:outlineLvl w:val="2"/>
        <w:rPr>
          <w:rFonts w:hint="eastAsia" w:ascii="仿宋" w:hAnsi="仿宋" w:eastAsia="仿宋" w:cs="Times New Roman"/>
          <w:b/>
          <w:color w:val="000000"/>
          <w:sz w:val="32"/>
          <w:szCs w:val="32"/>
        </w:rPr>
      </w:pPr>
      <w:r>
        <w:rPr>
          <w:rFonts w:hint="eastAsia" w:ascii="仿宋" w:hAnsi="仿宋" w:eastAsia="仿宋" w:cs="Times New Roman"/>
          <w:b/>
          <w:color w:val="000000"/>
          <w:sz w:val="32"/>
          <w:szCs w:val="32"/>
        </w:rPr>
        <w:t>一、部门（单位）概况</w:t>
      </w:r>
    </w:p>
    <w:p>
      <w:pPr>
        <w:autoSpaceDE w:val="0"/>
        <w:autoSpaceDN w:val="0"/>
        <w:adjustRightInd w:val="0"/>
        <w:spacing w:line="600" w:lineRule="exact"/>
        <w:ind w:firstLine="643" w:firstLineChars="200"/>
        <w:jc w:val="left"/>
        <w:outlineLvl w:val="2"/>
        <w:rPr>
          <w:rFonts w:hint="eastAsia" w:ascii="仿宋" w:hAnsi="仿宋" w:eastAsia="仿宋" w:cs="Times New Roman"/>
          <w:b/>
          <w:color w:val="000000"/>
          <w:sz w:val="32"/>
          <w:szCs w:val="32"/>
        </w:rPr>
      </w:pPr>
      <w:r>
        <w:rPr>
          <w:rFonts w:hint="eastAsia" w:ascii="仿宋" w:hAnsi="仿宋" w:eastAsia="仿宋" w:cs="Times New Roman"/>
          <w:b/>
          <w:color w:val="000000"/>
          <w:sz w:val="32"/>
          <w:szCs w:val="32"/>
        </w:rPr>
        <w:t>（一）机构组成</w:t>
      </w:r>
    </w:p>
    <w:p>
      <w:pPr>
        <w:adjustRightInd w:val="0"/>
        <w:snapToGrid w:val="0"/>
        <w:ind w:firstLine="640"/>
        <w:jc w:val="left"/>
        <w:rPr>
          <w:rFonts w:hint="eastAsia" w:eastAsia="方正楷体简体"/>
          <w:b/>
          <w:highlight w:val="none"/>
        </w:rPr>
      </w:pPr>
      <w:r>
        <w:rPr>
          <w:rFonts w:hint="eastAsia" w:ascii="宋体" w:hAnsi="宋体" w:eastAsia="仿宋_GB2312" w:cs="宋体"/>
          <w:kern w:val="0"/>
          <w:sz w:val="32"/>
          <w:szCs w:val="21"/>
          <w:lang w:val="en-US" w:eastAsia="zh-CN" w:bidi="ar-SA"/>
        </w:rPr>
        <w:t>乐至县童家镇人民政府属于一级预算单位，童家</w:t>
      </w:r>
      <w:r>
        <w:rPr>
          <w:rFonts w:hint="eastAsia" w:ascii="宋体" w:hAnsi="宋体" w:eastAsia="仿宋_GB2312" w:cs="宋体"/>
          <w:kern w:val="0"/>
          <w:sz w:val="32"/>
          <w:szCs w:val="21"/>
          <w:lang w:val="zh-CN" w:eastAsia="zh-CN" w:bidi="ar-SA"/>
        </w:rPr>
        <w:t>镇政府下设多个机构：</w:t>
      </w:r>
      <w:r>
        <w:rPr>
          <w:rFonts w:hint="eastAsia" w:ascii="宋体" w:hAnsi="宋体" w:eastAsia="仿宋_GB2312" w:cs="宋体"/>
          <w:kern w:val="0"/>
          <w:sz w:val="32"/>
          <w:szCs w:val="21"/>
          <w:lang w:val="en-US" w:eastAsia="zh-CN" w:bidi="ar-SA"/>
        </w:rPr>
        <w:t>便民服务中心</w:t>
      </w:r>
      <w:r>
        <w:rPr>
          <w:rFonts w:hint="eastAsia" w:ascii="宋体" w:hAnsi="宋体" w:eastAsia="仿宋_GB2312" w:cs="宋体"/>
          <w:kern w:val="0"/>
          <w:sz w:val="32"/>
          <w:szCs w:val="21"/>
          <w:lang w:val="zh-CN" w:eastAsia="zh-CN" w:bidi="ar-SA"/>
        </w:rPr>
        <w:t>、</w:t>
      </w:r>
      <w:r>
        <w:rPr>
          <w:rFonts w:hint="eastAsia" w:ascii="宋体" w:hAnsi="宋体" w:eastAsia="仿宋_GB2312" w:cs="宋体"/>
          <w:kern w:val="0"/>
          <w:sz w:val="32"/>
          <w:szCs w:val="21"/>
          <w:lang w:val="en-US" w:eastAsia="zh-CN" w:bidi="ar-SA"/>
        </w:rPr>
        <w:t>农业综合服务中心、村镇建设综合服务中心、农民工服务中心、党政综合办公室</w:t>
      </w:r>
      <w:r>
        <w:rPr>
          <w:rFonts w:hint="eastAsia" w:ascii="宋体" w:hAnsi="宋体" w:eastAsia="仿宋_GB2312" w:cs="宋体"/>
          <w:kern w:val="0"/>
          <w:sz w:val="32"/>
          <w:szCs w:val="21"/>
          <w:lang w:val="zh-CN" w:eastAsia="zh-CN" w:bidi="ar-SA"/>
        </w:rPr>
        <w:t>、</w:t>
      </w:r>
      <w:r>
        <w:rPr>
          <w:rFonts w:hint="eastAsia" w:ascii="宋体" w:hAnsi="宋体" w:eastAsia="仿宋_GB2312" w:cs="宋体"/>
          <w:kern w:val="0"/>
          <w:sz w:val="32"/>
          <w:szCs w:val="21"/>
          <w:lang w:val="en-US" w:eastAsia="zh-CN" w:bidi="ar-SA"/>
        </w:rPr>
        <w:t>党建办公室、综合行政执法办公室、社会事务管理办公室、经济发展和乡村振兴办公室、基层治理办公室、</w:t>
      </w:r>
      <w:r>
        <w:rPr>
          <w:rFonts w:hint="eastAsia" w:ascii="宋体" w:hAnsi="宋体" w:eastAsia="仿宋_GB2312" w:cs="宋体"/>
          <w:kern w:val="0"/>
          <w:sz w:val="32"/>
          <w:szCs w:val="21"/>
          <w:lang w:val="zh-CN" w:eastAsia="zh-CN" w:bidi="ar-SA"/>
        </w:rPr>
        <w:t>财政所。</w:t>
      </w:r>
      <w:r>
        <w:rPr>
          <w:rFonts w:hint="eastAsia" w:ascii="宋体" w:hAnsi="宋体" w:eastAsia="仿宋_GB2312" w:cs="宋体"/>
          <w:kern w:val="0"/>
          <w:sz w:val="32"/>
          <w:szCs w:val="21"/>
          <w:lang w:val="en-US" w:eastAsia="zh-CN" w:bidi="ar-SA"/>
        </w:rPr>
        <w:t>预算编制人数</w:t>
      </w:r>
      <w:r>
        <w:rPr>
          <w:rFonts w:hint="eastAsia" w:ascii="宋体" w:hAnsi="宋体" w:cs="宋体"/>
          <w:kern w:val="0"/>
          <w:sz w:val="32"/>
          <w:szCs w:val="21"/>
          <w:highlight w:val="none"/>
          <w:lang w:val="en-US" w:eastAsia="zh-CN" w:bidi="ar-SA"/>
        </w:rPr>
        <w:t>94</w:t>
      </w:r>
      <w:r>
        <w:rPr>
          <w:rFonts w:hint="eastAsia" w:ascii="宋体" w:hAnsi="宋体" w:eastAsia="仿宋_GB2312" w:cs="宋体"/>
          <w:kern w:val="0"/>
          <w:sz w:val="32"/>
          <w:szCs w:val="21"/>
          <w:highlight w:val="none"/>
          <w:lang w:val="en-US" w:eastAsia="zh-CN" w:bidi="ar-SA"/>
        </w:rPr>
        <w:t>人，实有编制人数</w:t>
      </w:r>
      <w:r>
        <w:rPr>
          <w:rFonts w:hint="eastAsia" w:ascii="宋体" w:hAnsi="宋体" w:cs="宋体"/>
          <w:kern w:val="0"/>
          <w:sz w:val="32"/>
          <w:szCs w:val="21"/>
          <w:highlight w:val="none"/>
          <w:lang w:val="en-US" w:eastAsia="zh-CN" w:bidi="ar-SA"/>
        </w:rPr>
        <w:t>82</w:t>
      </w:r>
      <w:r>
        <w:rPr>
          <w:rFonts w:hint="eastAsia" w:ascii="宋体" w:hAnsi="宋体" w:eastAsia="仿宋_GB2312" w:cs="宋体"/>
          <w:kern w:val="0"/>
          <w:sz w:val="32"/>
          <w:szCs w:val="21"/>
          <w:highlight w:val="none"/>
          <w:lang w:val="en-US" w:eastAsia="zh-CN" w:bidi="ar-SA"/>
        </w:rPr>
        <w:t>人。</w:t>
      </w:r>
    </w:p>
    <w:p>
      <w:pPr>
        <w:autoSpaceDE w:val="0"/>
        <w:autoSpaceDN w:val="0"/>
        <w:adjustRightInd w:val="0"/>
        <w:spacing w:line="600" w:lineRule="exact"/>
        <w:ind w:firstLine="643" w:firstLineChars="200"/>
        <w:jc w:val="left"/>
        <w:outlineLvl w:val="2"/>
        <w:rPr>
          <w:rFonts w:hint="eastAsia" w:ascii="仿宋" w:hAnsi="仿宋" w:eastAsia="仿宋" w:cs="Times New Roman"/>
          <w:b/>
          <w:color w:val="000000"/>
          <w:sz w:val="32"/>
          <w:szCs w:val="32"/>
        </w:rPr>
      </w:pPr>
      <w:r>
        <w:rPr>
          <w:rFonts w:hint="eastAsia" w:ascii="仿宋" w:hAnsi="仿宋" w:eastAsia="仿宋" w:cs="Times New Roman"/>
          <w:b/>
          <w:color w:val="000000"/>
          <w:sz w:val="32"/>
          <w:szCs w:val="32"/>
          <w:lang w:eastAsia="zh-CN"/>
        </w:rPr>
        <w:t>（二）</w:t>
      </w:r>
      <w:r>
        <w:rPr>
          <w:rFonts w:hint="eastAsia" w:ascii="仿宋" w:hAnsi="仿宋" w:eastAsia="仿宋" w:cs="Times New Roman"/>
          <w:b/>
          <w:color w:val="000000"/>
          <w:sz w:val="32"/>
          <w:szCs w:val="32"/>
        </w:rPr>
        <w:t>机构职能</w:t>
      </w:r>
    </w:p>
    <w:p>
      <w:pPr>
        <w:pStyle w:val="10"/>
        <w:widowControl/>
        <w:numPr>
          <w:ilvl w:val="0"/>
          <w:numId w:val="0"/>
        </w:numPr>
        <w:ind w:firstLine="640" w:firstLineChars="200"/>
        <w:jc w:val="both"/>
        <w:rPr>
          <w:rFonts w:hint="eastAsia" w:ascii="宋体" w:hAnsi="宋体" w:eastAsia="仿宋_GB2312" w:cs="宋体"/>
          <w:kern w:val="0"/>
          <w:sz w:val="32"/>
          <w:szCs w:val="21"/>
          <w:lang w:val="en-US" w:eastAsia="zh-CN" w:bidi="ar-SA"/>
        </w:rPr>
      </w:pPr>
      <w:r>
        <w:rPr>
          <w:rFonts w:hint="eastAsia" w:ascii="宋体" w:hAnsi="宋体" w:eastAsia="仿宋_GB2312" w:cs="宋体"/>
          <w:kern w:val="0"/>
          <w:sz w:val="32"/>
          <w:szCs w:val="21"/>
          <w:lang w:val="en-US" w:eastAsia="zh-CN" w:bidi="ar-SA"/>
        </w:rPr>
        <w:t>财政所，负责乡镇财务管理，代管村社财务等工作；便民服务中心，牵头乡镇便民服务工作，承担退役军人、文化 宣传、就业和社会保障、医疗保险等相关服务工作；农业综合服务中心，负责脱贫攻坚、农技推广、农业机械、农产品质量、水利等农业农村经济发展相关服务工作；村镇建设综合服务中心，负责村镇建设环卫、城乡环境综合治理、农房改造等相关服务工作；农民工服务中心，负责农民工输出、培训、维权、回引及返乡创业服务等工作。党政综合办公室，负责机关综合协调、目标绩效、文电会务、保密机要、后勤服务保障等工作；党建办公室，统筹基层党组织建设，负责纪检监察、组织人事、宣传、统战、机构编制、机关党建、群团事务等工作；综合行政执法办公室，负责统一指挥和统筹协调基层站所、县级部门派出执法力量和资源，开展综合行政执法工作；社会事务管理办公室，负责民政教育体育、文化旅游、卫生健康、社会保障等管理工作；经济发展和乡村振兴办公室，负责经济发展、科学技术、生态环境、村镇建设、交通运输、农业农村、商务经济合作、统计、扶贫开发、产业发展和项目推进管理等工作；基层治理办公室，负责建立完善党建引领的城乡基层治理体制机制、加强城乡基层治理能力建设、社会治安综合治理、矛盾治安综合治理、矛盾纠纷化解、信访维稳、安全生产、应急抢险救灾等工作。</w:t>
      </w:r>
    </w:p>
    <w:p>
      <w:pPr>
        <w:autoSpaceDE w:val="0"/>
        <w:autoSpaceDN w:val="0"/>
        <w:adjustRightInd w:val="0"/>
        <w:spacing w:line="600" w:lineRule="exact"/>
        <w:ind w:firstLine="643" w:firstLineChars="200"/>
        <w:jc w:val="left"/>
        <w:outlineLvl w:val="2"/>
        <w:rPr>
          <w:rFonts w:hint="eastAsia" w:ascii="仿宋" w:hAnsi="仿宋" w:eastAsia="仿宋" w:cs="Times New Roman"/>
          <w:b/>
          <w:color w:val="000000"/>
          <w:sz w:val="32"/>
          <w:szCs w:val="32"/>
          <w:lang w:eastAsia="zh-CN"/>
        </w:rPr>
      </w:pPr>
      <w:r>
        <w:rPr>
          <w:rFonts w:hint="eastAsia" w:ascii="仿宋" w:hAnsi="仿宋" w:eastAsia="仿宋" w:cs="Times New Roman"/>
          <w:b/>
          <w:color w:val="000000"/>
          <w:sz w:val="32"/>
          <w:szCs w:val="32"/>
          <w:lang w:eastAsia="zh-CN"/>
        </w:rPr>
        <w:t>（三）人员概况</w:t>
      </w:r>
    </w:p>
    <w:p>
      <w:pPr>
        <w:ind w:firstLine="640" w:firstLineChars="200"/>
        <w:rPr>
          <w:rFonts w:hint="eastAsia" w:ascii="宋体" w:hAnsi="宋体" w:eastAsia="仿宋_GB2312" w:cs="宋体"/>
          <w:kern w:val="0"/>
          <w:sz w:val="32"/>
          <w:szCs w:val="21"/>
          <w:lang w:val="en-US" w:eastAsia="zh-CN" w:bidi="ar-SA"/>
        </w:rPr>
      </w:pPr>
      <w:r>
        <w:rPr>
          <w:rFonts w:hint="eastAsia" w:ascii="宋体" w:hAnsi="宋体" w:eastAsia="仿宋_GB2312" w:cs="宋体"/>
          <w:kern w:val="0"/>
          <w:sz w:val="32"/>
          <w:szCs w:val="21"/>
          <w:lang w:val="en-US" w:eastAsia="zh-CN" w:bidi="ar-SA"/>
        </w:rPr>
        <w:t>本单位人员编制94人，其中：行政编制56人，事业编制38,截止2022年底，实有人数82人，其中：行政编制45人，事业编制37人。</w:t>
      </w:r>
    </w:p>
    <w:p>
      <w:pPr>
        <w:autoSpaceDE w:val="0"/>
        <w:autoSpaceDN w:val="0"/>
        <w:adjustRightInd w:val="0"/>
        <w:spacing w:line="600" w:lineRule="exact"/>
        <w:ind w:firstLine="643" w:firstLineChars="200"/>
        <w:jc w:val="left"/>
        <w:outlineLvl w:val="2"/>
        <w:rPr>
          <w:rFonts w:hint="eastAsia" w:ascii="仿宋" w:hAnsi="仿宋" w:eastAsia="仿宋" w:cs="Times New Roman"/>
          <w:b/>
          <w:color w:val="000000"/>
          <w:sz w:val="32"/>
          <w:szCs w:val="32"/>
          <w:lang w:eastAsia="zh-CN"/>
        </w:rPr>
      </w:pPr>
      <w:r>
        <w:rPr>
          <w:rFonts w:hint="eastAsia" w:ascii="仿宋" w:hAnsi="仿宋" w:eastAsia="仿宋" w:cs="Times New Roman"/>
          <w:b/>
          <w:color w:val="000000"/>
          <w:sz w:val="32"/>
          <w:szCs w:val="32"/>
          <w:lang w:eastAsia="zh-CN"/>
        </w:rPr>
        <w:t>二、部门财政资金收支情况</w:t>
      </w:r>
    </w:p>
    <w:p>
      <w:pPr>
        <w:autoSpaceDE w:val="0"/>
        <w:autoSpaceDN w:val="0"/>
        <w:adjustRightInd w:val="0"/>
        <w:spacing w:line="600" w:lineRule="exact"/>
        <w:ind w:firstLine="643" w:firstLineChars="200"/>
        <w:jc w:val="left"/>
        <w:outlineLvl w:val="2"/>
        <w:rPr>
          <w:rFonts w:hint="eastAsia" w:ascii="仿宋" w:hAnsi="仿宋" w:eastAsia="仿宋" w:cs="Times New Roman"/>
          <w:b/>
          <w:color w:val="000000"/>
          <w:sz w:val="32"/>
          <w:szCs w:val="32"/>
          <w:lang w:eastAsia="zh-CN"/>
        </w:rPr>
      </w:pPr>
      <w:r>
        <w:rPr>
          <w:rFonts w:hint="eastAsia" w:ascii="仿宋" w:hAnsi="仿宋" w:eastAsia="仿宋" w:cs="Times New Roman"/>
          <w:b/>
          <w:color w:val="000000"/>
          <w:sz w:val="32"/>
          <w:szCs w:val="32"/>
          <w:lang w:eastAsia="zh-CN"/>
        </w:rPr>
        <w:t>（一）部门财政资金收入情况</w:t>
      </w:r>
    </w:p>
    <w:p>
      <w:pPr>
        <w:adjustRightInd w:val="0"/>
        <w:snapToGrid w:val="0"/>
        <w:ind w:firstLine="640"/>
        <w:jc w:val="left"/>
        <w:rPr>
          <w:rFonts w:hint="eastAsia" w:ascii="宋体" w:hAnsi="宋体" w:eastAsia="仿宋_GB2312" w:cs="宋体"/>
          <w:kern w:val="0"/>
          <w:sz w:val="32"/>
          <w:szCs w:val="21"/>
          <w:lang w:val="en-US" w:eastAsia="zh-CN" w:bidi="ar-SA"/>
        </w:rPr>
      </w:pPr>
      <w:r>
        <w:rPr>
          <w:rFonts w:hint="eastAsia" w:ascii="宋体" w:hAnsi="宋体" w:eastAsia="仿宋_GB2312" w:cs="宋体"/>
          <w:kern w:val="0"/>
          <w:sz w:val="32"/>
          <w:szCs w:val="21"/>
          <w:lang w:val="en-US" w:eastAsia="zh-CN" w:bidi="ar-SA"/>
        </w:rPr>
        <w:t>2022年部门财政资金决算收入为7849.48万元。</w:t>
      </w:r>
    </w:p>
    <w:p>
      <w:pPr>
        <w:autoSpaceDE w:val="0"/>
        <w:autoSpaceDN w:val="0"/>
        <w:adjustRightInd w:val="0"/>
        <w:spacing w:line="600" w:lineRule="exact"/>
        <w:ind w:firstLine="643" w:firstLineChars="200"/>
        <w:jc w:val="left"/>
        <w:outlineLvl w:val="2"/>
        <w:rPr>
          <w:rFonts w:hint="eastAsia" w:ascii="仿宋" w:hAnsi="仿宋" w:eastAsia="仿宋" w:cs="Times New Roman"/>
          <w:b/>
          <w:color w:val="000000"/>
          <w:sz w:val="32"/>
          <w:szCs w:val="32"/>
          <w:lang w:eastAsia="zh-CN"/>
        </w:rPr>
      </w:pPr>
      <w:r>
        <w:rPr>
          <w:rFonts w:hint="eastAsia" w:ascii="仿宋" w:hAnsi="仿宋" w:eastAsia="仿宋" w:cs="Times New Roman"/>
          <w:b/>
          <w:color w:val="000000"/>
          <w:sz w:val="32"/>
          <w:szCs w:val="32"/>
          <w:lang w:eastAsia="zh-CN"/>
        </w:rPr>
        <w:t>部门财政资金支出情况</w:t>
      </w:r>
    </w:p>
    <w:p>
      <w:pPr>
        <w:pStyle w:val="10"/>
        <w:keepNext w:val="0"/>
        <w:keepLines w:val="0"/>
        <w:pageBreakBefore w:val="0"/>
        <w:kinsoku/>
        <w:wordWrap/>
        <w:overflowPunct/>
        <w:topLinePunct w:val="0"/>
        <w:autoSpaceDE/>
        <w:autoSpaceDN/>
        <w:bidi w:val="0"/>
        <w:adjustRightInd/>
        <w:spacing w:line="560" w:lineRule="exact"/>
        <w:ind w:firstLine="640" w:firstLineChars="200"/>
        <w:textAlignment w:val="auto"/>
        <w:rPr>
          <w:rFonts w:hint="eastAsia" w:ascii="宋体" w:hAnsi="宋体" w:eastAsia="仿宋_GB2312" w:cs="宋体"/>
          <w:kern w:val="0"/>
          <w:sz w:val="32"/>
          <w:szCs w:val="21"/>
          <w:lang w:val="en-US" w:eastAsia="zh-CN" w:bidi="ar-SA"/>
        </w:rPr>
      </w:pPr>
      <w:r>
        <w:rPr>
          <w:rFonts w:hint="eastAsia" w:ascii="宋体" w:hAnsi="宋体" w:eastAsia="仿宋_GB2312" w:cs="宋体"/>
          <w:kern w:val="0"/>
          <w:sz w:val="32"/>
          <w:szCs w:val="21"/>
          <w:lang w:val="en-US" w:eastAsia="zh-CN" w:bidi="ar-SA"/>
        </w:rPr>
        <w:t>2022年支出决算财政资金总数为7849.48万元。其中：基本支出2132.74万元、项目支出5703.63万元。</w:t>
      </w:r>
    </w:p>
    <w:p>
      <w:pPr>
        <w:spacing w:line="600" w:lineRule="exact"/>
        <w:ind w:firstLine="420" w:firstLineChars="200"/>
        <w:jc w:val="left"/>
        <w:rPr>
          <w:rFonts w:eastAsia="方正黑体简体"/>
        </w:rPr>
      </w:pPr>
      <w:r>
        <w:rPr>
          <w:rFonts w:hint="eastAsia" w:eastAsia="方正黑体简体"/>
        </w:rPr>
        <w:t>三、评价工作开展情况</w:t>
      </w:r>
    </w:p>
    <w:p>
      <w:pPr>
        <w:autoSpaceDE w:val="0"/>
        <w:autoSpaceDN w:val="0"/>
        <w:adjustRightInd w:val="0"/>
        <w:spacing w:line="600" w:lineRule="exact"/>
        <w:ind w:firstLine="643" w:firstLineChars="200"/>
        <w:jc w:val="left"/>
        <w:outlineLvl w:val="2"/>
        <w:rPr>
          <w:rFonts w:hint="eastAsia" w:ascii="仿宋" w:hAnsi="仿宋" w:eastAsia="仿宋" w:cs="Times New Roman"/>
          <w:b/>
          <w:color w:val="000000"/>
          <w:sz w:val="32"/>
          <w:szCs w:val="32"/>
          <w:lang w:eastAsia="zh-CN"/>
        </w:rPr>
      </w:pPr>
      <w:r>
        <w:rPr>
          <w:rFonts w:hint="eastAsia" w:ascii="仿宋" w:hAnsi="仿宋" w:eastAsia="仿宋" w:cs="Times New Roman"/>
          <w:b/>
          <w:color w:val="000000"/>
          <w:sz w:val="32"/>
          <w:szCs w:val="32"/>
          <w:lang w:eastAsia="zh-CN"/>
        </w:rPr>
        <w:t>（一）自评工作组织领导</w:t>
      </w:r>
    </w:p>
    <w:p>
      <w:pPr>
        <w:widowControl/>
        <w:adjustRightInd w:val="0"/>
        <w:snapToGrid w:val="0"/>
        <w:spacing w:line="660" w:lineRule="exact"/>
        <w:ind w:firstLine="640" w:firstLineChars="200"/>
        <w:jc w:val="left"/>
        <w:rPr>
          <w:rFonts w:hint="eastAsia" w:eastAsia="方正楷体简体"/>
          <w:b/>
        </w:rPr>
      </w:pPr>
      <w:r>
        <w:rPr>
          <w:rFonts w:hint="eastAsia" w:ascii="宋体" w:hAnsi="宋体" w:eastAsia="仿宋_GB2312" w:cs="宋体"/>
          <w:kern w:val="0"/>
          <w:sz w:val="32"/>
          <w:szCs w:val="21"/>
          <w:lang w:val="en-US" w:eastAsia="zh-CN" w:bidi="ar-SA"/>
        </w:rPr>
        <w:t>根据《乐至县财政局关于开展2021年度财政支出绩效评价工作的通知》（乐财监督绩效〔2022〕5号）要求结合我镇实际，制定方案，进行任务分工，逐项进行绩效审查，自行评价，力求真实、准确，体现绩效管理价值。并将自评工作开展经验和评价结果运用到指导今年乡镇财政管理工作上来，以提高财政管理工作实绩</w:t>
      </w:r>
      <w:r>
        <w:rPr>
          <w:rFonts w:ascii="仿宋" w:hAnsi="仿宋" w:eastAsia="仿宋" w:cs="仿宋_GB2312"/>
          <w:sz w:val="32"/>
          <w:szCs w:val="32"/>
        </w:rPr>
        <w:t>。</w:t>
      </w:r>
    </w:p>
    <w:p>
      <w:pPr>
        <w:autoSpaceDE w:val="0"/>
        <w:autoSpaceDN w:val="0"/>
        <w:adjustRightInd w:val="0"/>
        <w:spacing w:line="600" w:lineRule="exact"/>
        <w:ind w:firstLine="643" w:firstLineChars="200"/>
        <w:jc w:val="left"/>
        <w:outlineLvl w:val="2"/>
        <w:rPr>
          <w:rFonts w:hint="eastAsia" w:ascii="仿宋" w:hAnsi="仿宋" w:eastAsia="仿宋" w:cs="Times New Roman"/>
          <w:b/>
          <w:color w:val="000000"/>
          <w:sz w:val="32"/>
          <w:szCs w:val="32"/>
          <w:lang w:eastAsia="zh-CN"/>
        </w:rPr>
      </w:pPr>
      <w:r>
        <w:rPr>
          <w:rFonts w:hint="eastAsia" w:ascii="仿宋" w:hAnsi="仿宋" w:eastAsia="仿宋" w:cs="Times New Roman"/>
          <w:b/>
          <w:color w:val="000000"/>
          <w:sz w:val="32"/>
          <w:szCs w:val="32"/>
          <w:lang w:eastAsia="zh-CN"/>
        </w:rPr>
        <w:t>（二）自评方式、方法、重点等</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75" w:beforeAutospacing="0" w:after="75" w:afterAutospacing="0" w:line="23" w:lineRule="atLeast"/>
        <w:ind w:left="0" w:right="0" w:firstLine="640" w:firstLineChars="200"/>
        <w:rPr>
          <w:rFonts w:hint="eastAsia" w:ascii="宋体" w:hAnsi="宋体" w:eastAsia="仿宋_GB2312" w:cs="宋体"/>
          <w:kern w:val="0"/>
          <w:sz w:val="32"/>
          <w:szCs w:val="21"/>
          <w:lang w:val="en-US" w:eastAsia="zh-CN" w:bidi="ar-SA"/>
        </w:rPr>
      </w:pPr>
      <w:r>
        <w:rPr>
          <w:rFonts w:hint="eastAsia" w:ascii="宋体" w:hAnsi="宋体" w:eastAsia="仿宋_GB2312" w:cs="宋体"/>
          <w:kern w:val="0"/>
          <w:sz w:val="32"/>
          <w:szCs w:val="21"/>
          <w:lang w:val="en-US" w:eastAsia="zh-CN" w:bidi="ar-SA"/>
        </w:rPr>
        <w:t>本次评价遵循科学规范、公正公开、分级分类和绩效相关原则。</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75" w:beforeAutospacing="0" w:after="75" w:afterAutospacing="0" w:line="23" w:lineRule="atLeast"/>
        <w:ind w:left="0" w:right="0" w:firstLine="0"/>
        <w:rPr>
          <w:rFonts w:hint="eastAsia" w:ascii="仿宋_GB2312" w:hAnsi="仿宋" w:eastAsia="仿宋_GB2312" w:cs="宋体"/>
          <w:kern w:val="2"/>
          <w:sz w:val="32"/>
          <w:szCs w:val="32"/>
          <w:lang w:val="en-US" w:eastAsia="zh-CN" w:bidi="ar-SA"/>
        </w:rPr>
      </w:pPr>
      <w:r>
        <w:rPr>
          <w:rFonts w:hint="eastAsia" w:ascii="仿宋_GB2312" w:hAnsi="仿宋" w:eastAsia="仿宋_GB2312" w:cs="宋体"/>
          <w:kern w:val="2"/>
          <w:sz w:val="32"/>
          <w:szCs w:val="32"/>
          <w:lang w:val="en-US" w:eastAsia="zh-CN" w:bidi="ar-SA"/>
        </w:rPr>
        <w:t>　　（1）科学规范原则</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75" w:beforeAutospacing="0" w:after="75" w:afterAutospacing="0" w:line="23" w:lineRule="atLeast"/>
        <w:ind w:left="0" w:right="0" w:firstLine="0"/>
        <w:rPr>
          <w:rFonts w:hint="eastAsia" w:ascii="宋体" w:hAnsi="宋体" w:eastAsia="仿宋_GB2312" w:cs="宋体"/>
          <w:kern w:val="0"/>
          <w:sz w:val="32"/>
          <w:szCs w:val="21"/>
          <w:lang w:val="en-US" w:eastAsia="zh-CN" w:bidi="ar-SA"/>
        </w:rPr>
      </w:pPr>
      <w:r>
        <w:rPr>
          <w:rFonts w:hint="eastAsia" w:ascii="仿宋_GB2312" w:hAnsi="仿宋" w:eastAsia="仿宋_GB2312" w:cs="宋体"/>
          <w:kern w:val="2"/>
          <w:sz w:val="32"/>
          <w:szCs w:val="32"/>
          <w:lang w:val="en-US" w:eastAsia="zh-CN" w:bidi="ar-SA"/>
        </w:rPr>
        <w:t>　　</w:t>
      </w:r>
      <w:r>
        <w:rPr>
          <w:rFonts w:hint="eastAsia" w:ascii="宋体" w:hAnsi="宋体" w:eastAsia="仿宋_GB2312" w:cs="宋体"/>
          <w:kern w:val="0"/>
          <w:sz w:val="32"/>
          <w:szCs w:val="21"/>
          <w:lang w:val="en-US" w:eastAsia="zh-CN" w:bidi="ar-SA"/>
        </w:rPr>
        <w:t>绩效评价应当注重财政支出的经济性、效率性和有效性，严格执行规定的程序，采用定量与定性分析相结合的方法。</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75" w:beforeAutospacing="0" w:after="75" w:afterAutospacing="0" w:line="23" w:lineRule="atLeast"/>
        <w:ind w:left="0" w:right="0" w:firstLine="0"/>
        <w:rPr>
          <w:rFonts w:hint="eastAsia" w:ascii="仿宋_GB2312" w:hAnsi="仿宋" w:eastAsia="仿宋_GB2312" w:cs="宋体"/>
          <w:kern w:val="2"/>
          <w:sz w:val="32"/>
          <w:szCs w:val="32"/>
          <w:lang w:val="en-US" w:eastAsia="zh-CN" w:bidi="ar-SA"/>
        </w:rPr>
      </w:pPr>
      <w:r>
        <w:rPr>
          <w:rFonts w:hint="eastAsia" w:ascii="仿宋_GB2312" w:hAnsi="仿宋" w:eastAsia="仿宋_GB2312" w:cs="宋体"/>
          <w:kern w:val="2"/>
          <w:sz w:val="32"/>
          <w:szCs w:val="32"/>
          <w:lang w:val="en-US" w:eastAsia="zh-CN" w:bidi="ar-SA"/>
        </w:rPr>
        <w:t>　　（2）公正公开原则</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75" w:beforeAutospacing="0" w:after="75" w:afterAutospacing="0" w:line="23" w:lineRule="atLeast"/>
        <w:ind w:left="0" w:right="0" w:firstLine="0"/>
        <w:rPr>
          <w:rFonts w:hint="eastAsia" w:ascii="仿宋_GB2312" w:hAnsi="仿宋" w:eastAsia="仿宋_GB2312" w:cs="宋体"/>
          <w:kern w:val="2"/>
          <w:sz w:val="32"/>
          <w:szCs w:val="32"/>
          <w:lang w:val="en-US" w:eastAsia="zh-CN" w:bidi="ar-SA"/>
        </w:rPr>
      </w:pPr>
      <w:r>
        <w:rPr>
          <w:rFonts w:hint="eastAsia" w:ascii="仿宋_GB2312" w:hAnsi="仿宋" w:eastAsia="仿宋_GB2312" w:cs="宋体"/>
          <w:kern w:val="2"/>
          <w:sz w:val="32"/>
          <w:szCs w:val="32"/>
          <w:lang w:val="en-US" w:eastAsia="zh-CN" w:bidi="ar-SA"/>
        </w:rPr>
        <w:t>　　绩效评价应当客观、公正，标准统一、资料可靠，依法公开并接受监督。</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75" w:beforeAutospacing="0" w:after="75" w:afterAutospacing="0" w:line="23" w:lineRule="atLeast"/>
        <w:ind w:left="0" w:right="0" w:firstLine="0"/>
        <w:rPr>
          <w:rFonts w:hint="eastAsia" w:ascii="仿宋_GB2312" w:hAnsi="仿宋" w:eastAsia="仿宋_GB2312" w:cs="宋体"/>
          <w:kern w:val="2"/>
          <w:sz w:val="32"/>
          <w:szCs w:val="32"/>
          <w:lang w:val="en-US" w:eastAsia="zh-CN" w:bidi="ar-SA"/>
        </w:rPr>
      </w:pPr>
      <w:r>
        <w:rPr>
          <w:rFonts w:hint="eastAsia" w:ascii="仿宋_GB2312" w:hAnsi="仿宋" w:eastAsia="仿宋_GB2312" w:cs="宋体"/>
          <w:kern w:val="2"/>
          <w:sz w:val="32"/>
          <w:szCs w:val="32"/>
          <w:lang w:val="en-US" w:eastAsia="zh-CN" w:bidi="ar-SA"/>
        </w:rPr>
        <w:t>　　（3）分级分类原则</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75" w:beforeAutospacing="0" w:after="75" w:afterAutospacing="0" w:line="23" w:lineRule="atLeast"/>
        <w:ind w:left="0" w:right="0" w:firstLine="0"/>
        <w:rPr>
          <w:rFonts w:hint="eastAsia" w:ascii="仿宋_GB2312" w:hAnsi="仿宋" w:eastAsia="仿宋_GB2312" w:cs="宋体"/>
          <w:kern w:val="2"/>
          <w:sz w:val="32"/>
          <w:szCs w:val="32"/>
          <w:lang w:val="en-US" w:eastAsia="zh-CN" w:bidi="ar-SA"/>
        </w:rPr>
      </w:pPr>
      <w:r>
        <w:rPr>
          <w:rFonts w:hint="eastAsia" w:ascii="仿宋_GB2312" w:hAnsi="仿宋" w:eastAsia="仿宋_GB2312" w:cs="宋体"/>
          <w:kern w:val="2"/>
          <w:sz w:val="32"/>
          <w:szCs w:val="32"/>
          <w:lang w:val="en-US" w:eastAsia="zh-CN" w:bidi="ar-SA"/>
        </w:rPr>
        <w:t>　　绩效评价由各级财政部门、部门（单位）根据评价对象的特点分类组织实施。</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75" w:beforeAutospacing="0" w:after="75" w:afterAutospacing="0" w:line="23" w:lineRule="atLeast"/>
        <w:ind w:left="0" w:right="0" w:firstLine="0"/>
        <w:rPr>
          <w:rFonts w:hint="eastAsia" w:ascii="仿宋_GB2312" w:hAnsi="仿宋" w:eastAsia="仿宋_GB2312" w:cs="宋体"/>
          <w:kern w:val="2"/>
          <w:sz w:val="32"/>
          <w:szCs w:val="32"/>
          <w:lang w:val="en-US" w:eastAsia="zh-CN" w:bidi="ar-SA"/>
        </w:rPr>
      </w:pPr>
      <w:r>
        <w:rPr>
          <w:rFonts w:hint="eastAsia" w:ascii="仿宋_GB2312" w:hAnsi="仿宋" w:eastAsia="仿宋_GB2312" w:cs="宋体"/>
          <w:kern w:val="2"/>
          <w:sz w:val="32"/>
          <w:szCs w:val="32"/>
          <w:lang w:val="en-US" w:eastAsia="zh-CN" w:bidi="ar-SA"/>
        </w:rPr>
        <w:t>　　（4）绩效相关原则</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75" w:beforeAutospacing="0" w:after="75" w:afterAutospacing="0" w:line="23" w:lineRule="atLeast"/>
        <w:ind w:left="0" w:right="0" w:firstLine="0"/>
        <w:rPr>
          <w:rFonts w:hint="eastAsia" w:ascii="仿宋_GB2312" w:hAnsi="仿宋" w:eastAsia="仿宋_GB2312" w:cs="宋体"/>
          <w:kern w:val="2"/>
          <w:sz w:val="32"/>
          <w:szCs w:val="32"/>
          <w:lang w:val="en-US" w:eastAsia="zh-CN" w:bidi="ar-SA"/>
        </w:rPr>
      </w:pPr>
      <w:r>
        <w:rPr>
          <w:rFonts w:hint="eastAsia" w:ascii="仿宋_GB2312" w:hAnsi="仿宋" w:eastAsia="仿宋_GB2312" w:cs="宋体"/>
          <w:kern w:val="2"/>
          <w:sz w:val="32"/>
          <w:szCs w:val="32"/>
          <w:lang w:val="en-US" w:eastAsia="zh-CN" w:bidi="ar-SA"/>
        </w:rPr>
        <w:t>　　绩效评价应当针对具体支出及其产出绩效进行，评价结果应清晰反映支出和产出绩效之间的紧密对应关系。</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75" w:beforeAutospacing="0" w:after="75" w:afterAutospacing="0" w:line="23" w:lineRule="atLeast"/>
        <w:ind w:left="0" w:right="0" w:firstLine="0"/>
        <w:rPr>
          <w:rFonts w:hint="eastAsia" w:ascii="仿宋_GB2312" w:hAnsi="仿宋" w:eastAsia="仿宋_GB2312" w:cs="宋体"/>
          <w:kern w:val="2"/>
          <w:sz w:val="32"/>
          <w:szCs w:val="32"/>
          <w:lang w:val="en-US" w:eastAsia="zh-CN" w:bidi="ar-SA"/>
        </w:rPr>
      </w:pPr>
      <w:r>
        <w:rPr>
          <w:rFonts w:hint="eastAsia" w:ascii="仿宋_GB2312" w:hAnsi="仿宋" w:eastAsia="仿宋_GB2312" w:cs="宋体"/>
          <w:kern w:val="2"/>
          <w:sz w:val="32"/>
          <w:szCs w:val="32"/>
          <w:lang w:val="en-US" w:eastAsia="zh-CN" w:bidi="ar-SA"/>
        </w:rPr>
        <w:t>　　4.评价方法</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75" w:beforeAutospacing="0" w:after="75" w:afterAutospacing="0" w:line="23" w:lineRule="atLeast"/>
        <w:ind w:left="0" w:right="0" w:firstLine="640"/>
        <w:rPr>
          <w:rFonts w:hint="eastAsia" w:ascii="仿宋_GB2312" w:hAnsi="仿宋" w:eastAsia="仿宋_GB2312" w:cs="宋体"/>
          <w:kern w:val="2"/>
          <w:sz w:val="32"/>
          <w:szCs w:val="32"/>
          <w:lang w:val="en-US" w:eastAsia="zh-CN" w:bidi="ar-SA"/>
        </w:rPr>
      </w:pPr>
      <w:r>
        <w:rPr>
          <w:rFonts w:hint="eastAsia" w:ascii="仿宋_GB2312" w:hAnsi="仿宋" w:eastAsia="仿宋_GB2312" w:cs="宋体"/>
          <w:kern w:val="2"/>
          <w:sz w:val="32"/>
          <w:szCs w:val="32"/>
          <w:lang w:val="en-US" w:eastAsia="zh-CN" w:bidi="ar-SA"/>
        </w:rPr>
        <w:t>本次绩效自评主要通过审阅资料、实地考察法、比较分析法等方法进行评价。</w:t>
      </w:r>
    </w:p>
    <w:p>
      <w:pPr>
        <w:autoSpaceDE w:val="0"/>
        <w:autoSpaceDN w:val="0"/>
        <w:adjustRightInd w:val="0"/>
        <w:spacing w:line="600" w:lineRule="exact"/>
        <w:ind w:firstLine="643" w:firstLineChars="200"/>
        <w:jc w:val="left"/>
        <w:outlineLvl w:val="2"/>
        <w:rPr>
          <w:rFonts w:hint="eastAsia" w:ascii="仿宋" w:hAnsi="仿宋" w:eastAsia="仿宋" w:cs="Times New Roman"/>
          <w:b/>
          <w:color w:val="000000"/>
          <w:sz w:val="32"/>
          <w:szCs w:val="32"/>
          <w:lang w:eastAsia="zh-CN"/>
        </w:rPr>
      </w:pPr>
      <w:r>
        <w:rPr>
          <w:rFonts w:hint="eastAsia" w:ascii="仿宋" w:hAnsi="仿宋" w:eastAsia="仿宋" w:cs="Times New Roman"/>
          <w:b/>
          <w:color w:val="000000"/>
          <w:sz w:val="32"/>
          <w:szCs w:val="32"/>
          <w:lang w:eastAsia="zh-CN"/>
        </w:rPr>
        <w:t>四、评价结论</w:t>
      </w:r>
    </w:p>
    <w:p>
      <w:pPr>
        <w:spacing w:line="600" w:lineRule="exact"/>
        <w:ind w:firstLine="640" w:firstLineChars="200"/>
        <w:jc w:val="left"/>
        <w:rPr>
          <w:rFonts w:hint="eastAsia" w:ascii="宋体" w:hAnsi="宋体" w:eastAsia="仿宋_GB2312" w:cs="宋体"/>
          <w:kern w:val="0"/>
          <w:sz w:val="32"/>
          <w:szCs w:val="21"/>
          <w:lang w:val="en-US" w:eastAsia="zh-CN" w:bidi="ar-SA"/>
        </w:rPr>
      </w:pPr>
      <w:r>
        <w:rPr>
          <w:rFonts w:hint="eastAsia" w:ascii="宋体" w:hAnsi="宋体" w:eastAsia="仿宋_GB2312" w:cs="宋体"/>
          <w:kern w:val="0"/>
          <w:sz w:val="32"/>
          <w:szCs w:val="21"/>
          <w:lang w:val="en-US" w:eastAsia="zh-CN" w:bidi="ar-SA"/>
        </w:rPr>
        <w:t>总体介绍绩效评价结果情况，按照综合评分结果，依据乐财规〔2021〕1号规定确定绩效等级。</w:t>
      </w:r>
    </w:p>
    <w:p>
      <w:pPr>
        <w:autoSpaceDE w:val="0"/>
        <w:autoSpaceDN w:val="0"/>
        <w:adjustRightInd w:val="0"/>
        <w:spacing w:line="600" w:lineRule="exact"/>
        <w:ind w:firstLine="643" w:firstLineChars="200"/>
        <w:jc w:val="left"/>
        <w:outlineLvl w:val="2"/>
        <w:rPr>
          <w:rFonts w:hint="eastAsia" w:ascii="仿宋" w:hAnsi="仿宋" w:eastAsia="仿宋" w:cs="Times New Roman"/>
          <w:b/>
          <w:color w:val="000000"/>
          <w:sz w:val="32"/>
          <w:szCs w:val="32"/>
          <w:lang w:eastAsia="zh-CN"/>
        </w:rPr>
      </w:pPr>
      <w:r>
        <w:rPr>
          <w:rFonts w:hint="eastAsia" w:ascii="仿宋" w:hAnsi="仿宋" w:eastAsia="仿宋" w:cs="Times New Roman"/>
          <w:b/>
          <w:color w:val="000000"/>
          <w:sz w:val="32"/>
          <w:szCs w:val="32"/>
          <w:lang w:eastAsia="zh-CN"/>
        </w:rPr>
        <w:t>五、绩效分析</w:t>
      </w:r>
    </w:p>
    <w:p>
      <w:pPr>
        <w:autoSpaceDE w:val="0"/>
        <w:autoSpaceDN w:val="0"/>
        <w:adjustRightInd w:val="0"/>
        <w:spacing w:line="600" w:lineRule="exact"/>
        <w:ind w:firstLine="643" w:firstLineChars="200"/>
        <w:jc w:val="left"/>
        <w:outlineLvl w:val="2"/>
        <w:rPr>
          <w:rFonts w:hint="eastAsia" w:ascii="仿宋" w:hAnsi="仿宋" w:eastAsia="仿宋" w:cs="Times New Roman"/>
          <w:b/>
          <w:color w:val="000000"/>
          <w:sz w:val="32"/>
          <w:szCs w:val="32"/>
          <w:lang w:eastAsia="zh-CN"/>
        </w:rPr>
      </w:pPr>
      <w:r>
        <w:rPr>
          <w:rFonts w:hint="eastAsia" w:ascii="仿宋" w:hAnsi="仿宋" w:eastAsia="仿宋" w:cs="Times New Roman"/>
          <w:b/>
          <w:color w:val="000000"/>
          <w:sz w:val="32"/>
          <w:szCs w:val="32"/>
          <w:lang w:eastAsia="zh-CN"/>
        </w:rPr>
        <w:t>（一）指标分析</w:t>
      </w:r>
    </w:p>
    <w:p>
      <w:pPr>
        <w:keepNext w:val="0"/>
        <w:keepLines w:val="0"/>
        <w:pageBreakBefore w:val="0"/>
        <w:widowControl w:val="0"/>
        <w:kinsoku/>
        <w:wordWrap/>
        <w:overflowPunct/>
        <w:topLinePunct w:val="0"/>
        <w:bidi w:val="0"/>
        <w:adjustRightInd w:val="0"/>
        <w:snapToGrid w:val="0"/>
        <w:spacing w:line="360" w:lineRule="auto"/>
        <w:ind w:firstLine="640"/>
        <w:jc w:val="left"/>
        <w:textAlignment w:val="auto"/>
        <w:rPr>
          <w:rFonts w:hint="eastAsia" w:ascii="仿宋_GB2312" w:hAnsi="仿宋" w:eastAsia="仿宋_GB2312" w:cs="宋体"/>
          <w:kern w:val="2"/>
          <w:sz w:val="32"/>
          <w:szCs w:val="32"/>
          <w:lang w:val="en-US" w:eastAsia="zh-CN" w:bidi="ar-SA"/>
        </w:rPr>
      </w:pPr>
      <w:r>
        <w:rPr>
          <w:rFonts w:hint="eastAsia" w:ascii="仿宋_GB2312" w:hAnsi="仿宋" w:eastAsia="仿宋_GB2312" w:cs="宋体"/>
          <w:kern w:val="2"/>
          <w:sz w:val="32"/>
          <w:szCs w:val="32"/>
          <w:lang w:val="en-US" w:eastAsia="zh-CN" w:bidi="ar-SA"/>
        </w:rPr>
        <w:t>根据2022年部门支出绩效评价指标体系自评，我镇得分95分。2022年我镇在县财政局的指导下，我镇及时完成年度预决算编制，2022年部门支出与年初预算基本一致，达到预期绩效目标。但预算编制还需进一步细化，在编报部门决算时需要进一步提高。</w:t>
      </w:r>
    </w:p>
    <w:p>
      <w:pPr>
        <w:keepNext w:val="0"/>
        <w:keepLines w:val="0"/>
        <w:pageBreakBefore w:val="0"/>
        <w:widowControl w:val="0"/>
        <w:kinsoku/>
        <w:wordWrap/>
        <w:overflowPunct/>
        <w:topLinePunct w:val="0"/>
        <w:autoSpaceDE w:val="0"/>
        <w:autoSpaceDN w:val="0"/>
        <w:bidi w:val="0"/>
        <w:adjustRightInd w:val="0"/>
        <w:spacing w:line="360" w:lineRule="auto"/>
        <w:ind w:firstLine="643" w:firstLineChars="200"/>
        <w:jc w:val="left"/>
        <w:textAlignment w:val="auto"/>
        <w:outlineLvl w:val="2"/>
        <w:rPr>
          <w:rFonts w:hint="eastAsia" w:ascii="仿宋" w:hAnsi="仿宋" w:eastAsia="仿宋" w:cs="Times New Roman"/>
          <w:b/>
          <w:color w:val="000000"/>
          <w:sz w:val="32"/>
          <w:szCs w:val="32"/>
          <w:lang w:val="en-US" w:eastAsia="zh-CN"/>
        </w:rPr>
      </w:pPr>
      <w:r>
        <w:rPr>
          <w:rFonts w:hint="eastAsia" w:ascii="仿宋" w:hAnsi="仿宋" w:eastAsia="仿宋" w:cs="Times New Roman"/>
          <w:b/>
          <w:color w:val="000000"/>
          <w:sz w:val="32"/>
          <w:szCs w:val="32"/>
          <w:lang w:val="en-US" w:eastAsia="zh-CN"/>
        </w:rPr>
        <w:t>（二）综合绩效分析</w:t>
      </w:r>
    </w:p>
    <w:p>
      <w:pPr>
        <w:keepNext w:val="0"/>
        <w:keepLines w:val="0"/>
        <w:pageBreakBefore w:val="0"/>
        <w:widowControl w:val="0"/>
        <w:kinsoku/>
        <w:wordWrap/>
        <w:overflowPunct/>
        <w:topLinePunct w:val="0"/>
        <w:bidi w:val="0"/>
        <w:adjustRightInd w:val="0"/>
        <w:snapToGrid w:val="0"/>
        <w:spacing w:line="360" w:lineRule="auto"/>
        <w:ind w:firstLine="640"/>
        <w:jc w:val="left"/>
        <w:textAlignment w:val="auto"/>
        <w:rPr>
          <w:rFonts w:hint="eastAsia" w:ascii="宋体" w:hAnsi="宋体" w:eastAsia="仿宋_GB2312" w:cs="宋体"/>
          <w:kern w:val="0"/>
          <w:sz w:val="32"/>
          <w:szCs w:val="21"/>
          <w:lang w:val="en-US" w:eastAsia="zh-CN" w:bidi="ar-SA"/>
        </w:rPr>
      </w:pPr>
      <w:r>
        <w:rPr>
          <w:rFonts w:hint="eastAsia" w:ascii="宋体" w:hAnsi="宋体" w:eastAsia="仿宋_GB2312" w:cs="宋体"/>
          <w:kern w:val="0"/>
          <w:sz w:val="32"/>
          <w:szCs w:val="21"/>
          <w:lang w:val="en-US" w:eastAsia="zh-CN" w:bidi="ar-SA"/>
        </w:rPr>
        <w:t>2022年，在县委、县政府正确领导下和县财政局的业务指导下，我镇坚持以财辅政，全力服从服务各项工作安排，保障中央和省市县各级部署落实见效，全年财政收支执行情况总体良好，预算管理成效不断提升。同时，制度建设、预算管理、政府采购管理、会计管理、财政资金使用监督、财政信息公开等工作协同发力，推动我镇预算绩效工作不断向前。绩效目标完成率为100%。</w:t>
      </w:r>
    </w:p>
    <w:p>
      <w:pPr>
        <w:keepNext w:val="0"/>
        <w:keepLines w:val="0"/>
        <w:pageBreakBefore w:val="0"/>
        <w:widowControl w:val="0"/>
        <w:kinsoku/>
        <w:wordWrap/>
        <w:overflowPunct/>
        <w:topLinePunct w:val="0"/>
        <w:bidi w:val="0"/>
        <w:adjustRightInd w:val="0"/>
        <w:snapToGrid w:val="0"/>
        <w:spacing w:line="360" w:lineRule="auto"/>
        <w:ind w:firstLine="640"/>
        <w:jc w:val="left"/>
        <w:textAlignment w:val="auto"/>
        <w:rPr>
          <w:rFonts w:hint="eastAsia" w:ascii="宋体" w:hAnsi="宋体" w:eastAsia="仿宋_GB2312" w:cs="宋体"/>
          <w:kern w:val="0"/>
          <w:sz w:val="32"/>
          <w:szCs w:val="21"/>
          <w:lang w:val="en-US" w:eastAsia="zh-CN" w:bidi="ar-SA"/>
        </w:rPr>
      </w:pPr>
      <w:r>
        <w:rPr>
          <w:rFonts w:hint="eastAsia" w:ascii="宋体" w:hAnsi="宋体" w:eastAsia="仿宋_GB2312" w:cs="宋体"/>
          <w:kern w:val="0"/>
          <w:sz w:val="32"/>
          <w:szCs w:val="21"/>
          <w:lang w:val="en-US" w:eastAsia="zh-CN" w:bidi="ar-SA"/>
        </w:rPr>
        <w:t>一是统筹城乡发展，基础设施持续改善。完成金龙村等5个村10.6公里窄路加宽工程；在青海寺村等4个村投入224.48万元，实施道路加宽9.2公里，目前已竣工待验收；此外，八角寺村等4个村共11.9公里道路加宽工程正在强力推进。投入资金15万元新建垃圾池17口，投入资金4万元维护3.2公里污水管网。二是持续改善民生，幸福指数大幅提升。充分实现应保尽保，农村低保1860户2096人，城乡居民医疗保险参保38425人；持续加大老龄工作力度，加强辖区敬老院管理，按照高龄补贴标准为辖区1847名老人发放高龄补贴；办理实事无人抚养孤儿16名，按时为辖区10名孤儿发放生活补助；加大城乡医疗救助工作力度，为162名特扶对象缴纳补助约122万元，计生奖扶2816人次，临时救助28人，发放临时生活救助经费12500元。三是关注重点领域，强化环境卫生整治。大力开展农村面源污染整治，扎实推动“五清行动”；对主要街道、市场、路口、卫生死角等重点部位，予以重点整治，解决占道经营、违章搭盖、违规堆放建筑材料、垃圾乱倒、摊点乱设、车辆乱停、广告乱贴等脏乱差问题，“五小”行业得到了有效的监管；投入资金20余万元，人力2400余人次，打捞漂浮物、水葫芦共计460余吨，投入40余万元，清理生活垃圾、建筑垃圾2000余吨。</w:t>
      </w:r>
    </w:p>
    <w:p>
      <w:pPr>
        <w:autoSpaceDE w:val="0"/>
        <w:autoSpaceDN w:val="0"/>
        <w:adjustRightInd w:val="0"/>
        <w:spacing w:line="600" w:lineRule="exact"/>
        <w:ind w:firstLine="643" w:firstLineChars="200"/>
        <w:jc w:val="left"/>
        <w:outlineLvl w:val="2"/>
        <w:rPr>
          <w:rFonts w:hint="eastAsia" w:ascii="仿宋" w:hAnsi="仿宋" w:eastAsia="仿宋" w:cs="Times New Roman"/>
          <w:b/>
          <w:color w:val="000000"/>
          <w:sz w:val="32"/>
          <w:szCs w:val="32"/>
          <w:lang w:eastAsia="zh-CN"/>
        </w:rPr>
      </w:pPr>
      <w:r>
        <w:rPr>
          <w:rFonts w:hint="eastAsia" w:ascii="仿宋" w:hAnsi="仿宋" w:eastAsia="仿宋" w:cs="Times New Roman"/>
          <w:b/>
          <w:color w:val="000000"/>
          <w:sz w:val="32"/>
          <w:szCs w:val="32"/>
          <w:lang w:eastAsia="zh-CN"/>
        </w:rPr>
        <w:t>六、问题分析</w:t>
      </w:r>
    </w:p>
    <w:p>
      <w:pPr>
        <w:widowControl/>
        <w:adjustRightInd w:val="0"/>
        <w:snapToGrid w:val="0"/>
        <w:spacing w:line="660" w:lineRule="exact"/>
        <w:ind w:firstLine="720"/>
        <w:jc w:val="left"/>
        <w:rPr>
          <w:rFonts w:hint="eastAsia" w:ascii="仿宋" w:hAnsi="仿宋" w:eastAsia="仿宋" w:cs="仿宋_GB2312"/>
          <w:sz w:val="32"/>
          <w:szCs w:val="32"/>
        </w:rPr>
      </w:pPr>
      <w:r>
        <w:rPr>
          <w:rFonts w:hint="eastAsia" w:ascii="仿宋" w:hAnsi="仿宋" w:eastAsia="仿宋" w:cs="仿宋_GB2312"/>
          <w:sz w:val="32"/>
          <w:szCs w:val="32"/>
        </w:rPr>
        <w:t>一是</w:t>
      </w:r>
      <w:r>
        <w:rPr>
          <w:rFonts w:ascii="仿宋" w:hAnsi="仿宋" w:eastAsia="仿宋" w:cs="仿宋_GB2312"/>
          <w:sz w:val="32"/>
          <w:szCs w:val="32"/>
        </w:rPr>
        <w:t>在部门整体支出的资金安排和使用上仍有不可预见性，在科学设置预算绩效指标上还需进一步加强</w:t>
      </w:r>
      <w:r>
        <w:rPr>
          <w:rFonts w:hint="eastAsia" w:ascii="仿宋" w:hAnsi="仿宋" w:eastAsia="仿宋" w:cs="仿宋_GB2312"/>
          <w:sz w:val="32"/>
          <w:szCs w:val="32"/>
        </w:rPr>
        <w:t>；</w:t>
      </w:r>
      <w:r>
        <w:rPr>
          <w:rFonts w:ascii="仿宋" w:hAnsi="仿宋" w:eastAsia="仿宋" w:cs="仿宋_GB2312"/>
          <w:sz w:val="32"/>
          <w:szCs w:val="32"/>
        </w:rPr>
        <w:t>二是内控和制度不够完善</w:t>
      </w:r>
      <w:r>
        <w:rPr>
          <w:rFonts w:hint="eastAsia" w:ascii="仿宋" w:hAnsi="仿宋" w:eastAsia="仿宋" w:cs="仿宋_GB2312"/>
          <w:sz w:val="32"/>
          <w:szCs w:val="32"/>
        </w:rPr>
        <w:t>；三是</w:t>
      </w:r>
      <w:r>
        <w:rPr>
          <w:rFonts w:hint="eastAsia" w:ascii="仿宋" w:hAnsi="仿宋" w:eastAsia="仿宋" w:cs="仿宋"/>
          <w:i w:val="0"/>
          <w:iCs w:val="0"/>
          <w:caps w:val="0"/>
          <w:color w:val="000000"/>
          <w:spacing w:val="0"/>
          <w:kern w:val="0"/>
          <w:sz w:val="32"/>
          <w:szCs w:val="32"/>
          <w:shd w:val="clear" w:color="auto" w:fill="FFFFFF"/>
          <w:lang w:val="en-US" w:eastAsia="zh-CN" w:bidi="ar-SA"/>
        </w:rPr>
        <w:t>经办人员的业务能力欠缺。</w:t>
      </w:r>
    </w:p>
    <w:p>
      <w:pPr>
        <w:autoSpaceDE w:val="0"/>
        <w:autoSpaceDN w:val="0"/>
        <w:adjustRightInd w:val="0"/>
        <w:spacing w:line="600" w:lineRule="exact"/>
        <w:ind w:firstLine="643" w:firstLineChars="200"/>
        <w:jc w:val="left"/>
        <w:outlineLvl w:val="2"/>
        <w:rPr>
          <w:rFonts w:hint="eastAsia" w:ascii="仿宋" w:hAnsi="仿宋" w:eastAsia="仿宋" w:cs="Times New Roman"/>
          <w:b/>
          <w:color w:val="000000"/>
          <w:sz w:val="32"/>
          <w:szCs w:val="32"/>
          <w:lang w:eastAsia="zh-CN"/>
        </w:rPr>
      </w:pPr>
      <w:r>
        <w:rPr>
          <w:rFonts w:hint="eastAsia" w:ascii="仿宋" w:hAnsi="仿宋" w:eastAsia="仿宋" w:cs="Times New Roman"/>
          <w:b/>
          <w:color w:val="000000"/>
          <w:sz w:val="32"/>
          <w:szCs w:val="32"/>
          <w:lang w:eastAsia="zh-CN"/>
        </w:rPr>
        <w:t>七、建议</w:t>
      </w:r>
    </w:p>
    <w:p>
      <w:pPr>
        <w:spacing w:line="580" w:lineRule="exact"/>
        <w:ind w:firstLine="640" w:firstLineChars="200"/>
        <w:rPr>
          <w:rFonts w:eastAsia="方正仿宋简体"/>
          <w:sz w:val="32"/>
          <w:szCs w:val="32"/>
        </w:rPr>
      </w:pPr>
      <w:r>
        <w:rPr>
          <w:rFonts w:hint="eastAsia" w:ascii="仿宋" w:hAnsi="仿宋" w:eastAsia="仿宋" w:cs="仿宋_GB2312"/>
          <w:sz w:val="32"/>
          <w:szCs w:val="32"/>
        </w:rPr>
        <w:t>一是</w:t>
      </w:r>
      <w:r>
        <w:rPr>
          <w:rFonts w:ascii="仿宋" w:hAnsi="仿宋" w:eastAsia="仿宋" w:cs="仿宋_GB2312"/>
          <w:sz w:val="32"/>
          <w:szCs w:val="32"/>
        </w:rPr>
        <w:t>遵循先有预算、后有支出的原则，加强财务管理和内部控制监督制度。</w:t>
      </w:r>
      <w:r>
        <w:rPr>
          <w:rFonts w:hint="eastAsia" w:ascii="仿宋" w:hAnsi="仿宋" w:eastAsia="仿宋" w:cs="仿宋_GB2312"/>
          <w:sz w:val="32"/>
          <w:szCs w:val="32"/>
          <w:lang w:eastAsia="zh-CN"/>
        </w:rPr>
        <w:t>二是</w:t>
      </w:r>
      <w:r>
        <w:rPr>
          <w:rFonts w:hint="eastAsia" w:ascii="仿宋_GB2312" w:hAnsi="仿宋" w:eastAsia="仿宋_GB2312" w:cs="Times New Roman"/>
          <w:kern w:val="2"/>
          <w:sz w:val="32"/>
          <w:szCs w:val="32"/>
          <w:lang w:val="en-US" w:eastAsia="zh-CN" w:bidi="ar"/>
        </w:rPr>
        <w:t>绩效评价工作是一项系统性的工作，专业性强，工作量大，建议财政有关部门进一步加强开展相关的业务工作培训，组织开展单位之间的经验交流，加强对乡镇单位的指导，高效推进绩效评价工作的开展</w:t>
      </w:r>
      <w:r>
        <w:rPr>
          <w:rFonts w:hint="eastAsia" w:eastAsia="方正仿宋简体"/>
          <w:sz w:val="32"/>
          <w:szCs w:val="32"/>
        </w:rPr>
        <w:t>。</w:t>
      </w:r>
    </w:p>
    <w:p>
      <w:pPr>
        <w:pStyle w:val="7"/>
        <w:spacing w:before="93"/>
        <w:rPr>
          <w:rFonts w:hAnsi="宋体" w:cs="宋体"/>
          <w:sz w:val="32"/>
          <w:szCs w:val="32"/>
          <w:shd w:val="clear" w:color="auto" w:fill="FFFFFF"/>
          <w:lang w:val="zh-CN"/>
        </w:rPr>
      </w:pPr>
    </w:p>
    <w:p>
      <w:pPr>
        <w:pStyle w:val="7"/>
        <w:spacing w:before="93"/>
        <w:rPr>
          <w:rFonts w:hAnsi="宋体" w:cs="宋体"/>
          <w:sz w:val="32"/>
          <w:szCs w:val="32"/>
          <w:shd w:val="clear" w:color="auto" w:fill="FFFFFF"/>
          <w:lang w:val="zh-CN"/>
        </w:rPr>
      </w:pPr>
    </w:p>
    <w:p>
      <w:pPr>
        <w:pStyle w:val="7"/>
        <w:spacing w:before="93"/>
      </w:pPr>
    </w:p>
    <w:p>
      <w:pPr>
        <w:pStyle w:val="7"/>
        <w:spacing w:before="93"/>
      </w:pPr>
    </w:p>
    <w:p>
      <w:pPr>
        <w:pStyle w:val="7"/>
        <w:spacing w:before="93"/>
      </w:pPr>
    </w:p>
    <w:p>
      <w:pPr>
        <w:pStyle w:val="7"/>
        <w:spacing w:before="93"/>
      </w:pPr>
    </w:p>
    <w:p>
      <w:pPr>
        <w:pStyle w:val="7"/>
        <w:spacing w:before="93"/>
      </w:pPr>
    </w:p>
    <w:p>
      <w:pPr>
        <w:pStyle w:val="7"/>
        <w:spacing w:before="93"/>
      </w:pPr>
    </w:p>
    <w:p>
      <w:pPr>
        <w:pStyle w:val="7"/>
        <w:spacing w:before="93"/>
      </w:pPr>
    </w:p>
    <w:p>
      <w:pPr>
        <w:pStyle w:val="7"/>
        <w:spacing w:before="93"/>
      </w:pPr>
    </w:p>
    <w:p>
      <w:pPr>
        <w:pStyle w:val="7"/>
        <w:spacing w:before="93"/>
        <w:rPr>
          <w:rFonts w:hint="eastAsia"/>
        </w:rPr>
      </w:pPr>
    </w:p>
    <w:p>
      <w:pPr>
        <w:spacing w:line="600" w:lineRule="exact"/>
        <w:jc w:val="center"/>
        <w:outlineLvl w:val="0"/>
        <w:rPr>
          <w:rFonts w:ascii="仿宋" w:hAnsi="仿宋" w:eastAsia="仿宋"/>
        </w:rPr>
      </w:pPr>
      <w:bookmarkStart w:id="53" w:name="_Toc15396618"/>
      <w:r>
        <w:rPr>
          <w:rFonts w:hint="eastAsia" w:ascii="黑体" w:hAnsi="黑体" w:eastAsia="黑体"/>
          <w:sz w:val="44"/>
          <w:szCs w:val="44"/>
        </w:rPr>
        <w:t>第</w:t>
      </w:r>
      <w:r>
        <w:rPr>
          <w:rStyle w:val="31"/>
          <w:rFonts w:hint="eastAsia" w:ascii="黑体" w:hAnsi="黑体" w:eastAsia="黑体"/>
          <w:b w:val="0"/>
        </w:rPr>
        <w:t>五部分 附表</w:t>
      </w:r>
      <w:bookmarkEnd w:id="51"/>
      <w:bookmarkEnd w:id="53"/>
      <w:bookmarkStart w:id="54" w:name="_Toc15396619"/>
    </w:p>
    <w:p>
      <w:pPr>
        <w:pStyle w:val="4"/>
        <w:rPr>
          <w:rFonts w:ascii="仿宋" w:hAnsi="仿宋" w:eastAsia="仿宋"/>
        </w:rPr>
      </w:pPr>
      <w:r>
        <w:rPr>
          <w:rFonts w:hint="eastAsia" w:ascii="仿宋" w:hAnsi="仿宋" w:eastAsia="仿宋"/>
          <w:b w:val="0"/>
        </w:rPr>
        <w:t>一、收</w:t>
      </w:r>
      <w:r>
        <w:rPr>
          <w:rStyle w:val="32"/>
          <w:rFonts w:hint="eastAsia" w:ascii="仿宋" w:hAnsi="仿宋" w:eastAsia="仿宋"/>
          <w:b w:val="0"/>
          <w:bCs w:val="0"/>
        </w:rPr>
        <w:t>入支出决算总表</w:t>
      </w:r>
      <w:bookmarkEnd w:id="54"/>
    </w:p>
    <w:p>
      <w:pPr>
        <w:pStyle w:val="4"/>
        <w:rPr>
          <w:rFonts w:ascii="仿宋" w:hAnsi="仿宋" w:eastAsia="仿宋"/>
        </w:rPr>
      </w:pPr>
      <w:bookmarkStart w:id="55" w:name="_Toc15396620"/>
      <w:r>
        <w:rPr>
          <w:rFonts w:hint="eastAsia" w:ascii="仿宋" w:hAnsi="仿宋" w:eastAsia="仿宋"/>
          <w:b w:val="0"/>
        </w:rPr>
        <w:t>二、收</w:t>
      </w:r>
      <w:r>
        <w:rPr>
          <w:rStyle w:val="32"/>
          <w:rFonts w:hint="eastAsia" w:ascii="仿宋" w:hAnsi="仿宋" w:eastAsia="仿宋"/>
          <w:b w:val="0"/>
          <w:bCs w:val="0"/>
        </w:rPr>
        <w:t>入决算表</w:t>
      </w:r>
      <w:bookmarkEnd w:id="55"/>
    </w:p>
    <w:p>
      <w:pPr>
        <w:pStyle w:val="4"/>
        <w:rPr>
          <w:rFonts w:ascii="仿宋" w:hAnsi="仿宋" w:eastAsia="仿宋"/>
        </w:rPr>
      </w:pPr>
      <w:bookmarkStart w:id="56" w:name="_Toc15396621"/>
      <w:r>
        <w:rPr>
          <w:rStyle w:val="32"/>
          <w:rFonts w:hint="eastAsia" w:ascii="仿宋" w:hAnsi="仿宋" w:eastAsia="仿宋"/>
          <w:b w:val="0"/>
          <w:bCs w:val="0"/>
        </w:rPr>
        <w:t>三、</w:t>
      </w:r>
      <w:r>
        <w:rPr>
          <w:rFonts w:hint="eastAsia" w:ascii="仿宋" w:hAnsi="仿宋" w:eastAsia="仿宋"/>
          <w:b w:val="0"/>
        </w:rPr>
        <w:t>支</w:t>
      </w:r>
      <w:r>
        <w:rPr>
          <w:rStyle w:val="32"/>
          <w:rFonts w:hint="eastAsia" w:ascii="仿宋" w:hAnsi="仿宋" w:eastAsia="仿宋"/>
          <w:b w:val="0"/>
          <w:bCs w:val="0"/>
        </w:rPr>
        <w:t>出决算表</w:t>
      </w:r>
      <w:bookmarkEnd w:id="56"/>
    </w:p>
    <w:p>
      <w:pPr>
        <w:pStyle w:val="4"/>
        <w:rPr>
          <w:rFonts w:ascii="仿宋" w:hAnsi="仿宋" w:eastAsia="仿宋"/>
          <w:b w:val="0"/>
        </w:rPr>
      </w:pPr>
      <w:bookmarkStart w:id="57" w:name="_Toc15396622"/>
      <w:r>
        <w:rPr>
          <w:rStyle w:val="32"/>
          <w:rFonts w:hint="eastAsia" w:ascii="仿宋" w:hAnsi="仿宋" w:eastAsia="仿宋"/>
          <w:b w:val="0"/>
          <w:bCs w:val="0"/>
        </w:rPr>
        <w:t>四、</w:t>
      </w:r>
      <w:r>
        <w:rPr>
          <w:rFonts w:hint="eastAsia" w:ascii="仿宋" w:hAnsi="仿宋" w:eastAsia="仿宋"/>
          <w:b w:val="0"/>
        </w:rPr>
        <w:t>财</w:t>
      </w:r>
      <w:r>
        <w:rPr>
          <w:rStyle w:val="32"/>
          <w:rFonts w:hint="eastAsia" w:ascii="仿宋" w:hAnsi="仿宋" w:eastAsia="仿宋"/>
          <w:b w:val="0"/>
          <w:bCs w:val="0"/>
        </w:rPr>
        <w:t>政拨款收入支出决算总表</w:t>
      </w:r>
      <w:bookmarkEnd w:id="57"/>
    </w:p>
    <w:p>
      <w:pPr>
        <w:pStyle w:val="4"/>
        <w:rPr>
          <w:rStyle w:val="32"/>
          <w:rFonts w:ascii="仿宋" w:hAnsi="仿宋" w:eastAsia="仿宋"/>
          <w:b w:val="0"/>
          <w:bCs w:val="0"/>
        </w:rPr>
      </w:pPr>
      <w:bookmarkStart w:id="58" w:name="_Toc15396623"/>
      <w:r>
        <w:rPr>
          <w:rStyle w:val="32"/>
          <w:rFonts w:hint="eastAsia" w:ascii="仿宋" w:hAnsi="仿宋" w:eastAsia="仿宋"/>
          <w:b w:val="0"/>
          <w:bCs w:val="0"/>
        </w:rPr>
        <w:t>五、</w:t>
      </w:r>
      <w:r>
        <w:rPr>
          <w:rFonts w:hint="eastAsia" w:ascii="仿宋" w:hAnsi="仿宋" w:eastAsia="仿宋"/>
          <w:b w:val="0"/>
        </w:rPr>
        <w:t>财</w:t>
      </w:r>
      <w:r>
        <w:rPr>
          <w:rStyle w:val="32"/>
          <w:rFonts w:hint="eastAsia" w:ascii="仿宋" w:hAnsi="仿宋" w:eastAsia="仿宋"/>
          <w:b w:val="0"/>
          <w:bCs w:val="0"/>
        </w:rPr>
        <w:t>政拨款支出决算明细表</w:t>
      </w:r>
      <w:bookmarkEnd w:id="58"/>
      <w:bookmarkStart w:id="59" w:name="_Toc15396624"/>
    </w:p>
    <w:p>
      <w:pPr>
        <w:pStyle w:val="4"/>
        <w:rPr>
          <w:rFonts w:ascii="仿宋" w:hAnsi="仿宋" w:eastAsia="仿宋"/>
        </w:rPr>
      </w:pPr>
      <w:r>
        <w:rPr>
          <w:rStyle w:val="32"/>
          <w:rFonts w:hint="eastAsia" w:ascii="仿宋" w:hAnsi="仿宋" w:eastAsia="仿宋"/>
          <w:b w:val="0"/>
          <w:bCs w:val="0"/>
        </w:rPr>
        <w:t>六、</w:t>
      </w:r>
      <w:r>
        <w:rPr>
          <w:rFonts w:hint="eastAsia" w:ascii="仿宋" w:hAnsi="仿宋" w:eastAsia="仿宋"/>
          <w:b w:val="0"/>
        </w:rPr>
        <w:t>一</w:t>
      </w:r>
      <w:r>
        <w:rPr>
          <w:rStyle w:val="32"/>
          <w:rFonts w:hint="eastAsia" w:ascii="仿宋" w:hAnsi="仿宋" w:eastAsia="仿宋"/>
          <w:b w:val="0"/>
          <w:bCs w:val="0"/>
        </w:rPr>
        <w:t>般公共预算财政拨款支出决算表</w:t>
      </w:r>
      <w:bookmarkEnd w:id="59"/>
    </w:p>
    <w:p>
      <w:pPr>
        <w:pStyle w:val="4"/>
        <w:rPr>
          <w:rFonts w:ascii="仿宋" w:hAnsi="仿宋" w:eastAsia="仿宋"/>
        </w:rPr>
      </w:pPr>
      <w:bookmarkStart w:id="60" w:name="_Toc15396625"/>
      <w:r>
        <w:rPr>
          <w:rStyle w:val="32"/>
          <w:rFonts w:hint="eastAsia" w:ascii="仿宋" w:hAnsi="仿宋" w:eastAsia="仿宋"/>
          <w:b w:val="0"/>
          <w:bCs w:val="0"/>
        </w:rPr>
        <w:t>七、</w:t>
      </w:r>
      <w:r>
        <w:rPr>
          <w:rFonts w:hint="eastAsia" w:ascii="仿宋" w:hAnsi="仿宋" w:eastAsia="仿宋"/>
          <w:b w:val="0"/>
        </w:rPr>
        <w:t>一</w:t>
      </w:r>
      <w:r>
        <w:rPr>
          <w:rStyle w:val="32"/>
          <w:rFonts w:hint="eastAsia" w:ascii="仿宋" w:hAnsi="仿宋" w:eastAsia="仿宋"/>
          <w:b w:val="0"/>
          <w:bCs w:val="0"/>
        </w:rPr>
        <w:t>般公共预算财政拨款支出决算明细表</w:t>
      </w:r>
      <w:bookmarkEnd w:id="60"/>
    </w:p>
    <w:p>
      <w:pPr>
        <w:pStyle w:val="4"/>
        <w:rPr>
          <w:rFonts w:ascii="仿宋" w:hAnsi="仿宋" w:eastAsia="仿宋"/>
        </w:rPr>
      </w:pPr>
      <w:bookmarkStart w:id="61" w:name="_Toc15396626"/>
      <w:r>
        <w:rPr>
          <w:rStyle w:val="32"/>
          <w:rFonts w:hint="eastAsia" w:ascii="仿宋" w:hAnsi="仿宋" w:eastAsia="仿宋"/>
          <w:b w:val="0"/>
          <w:bCs w:val="0"/>
        </w:rPr>
        <w:t>八、</w:t>
      </w:r>
      <w:r>
        <w:rPr>
          <w:rFonts w:hint="eastAsia" w:ascii="仿宋" w:hAnsi="仿宋" w:eastAsia="仿宋"/>
          <w:b w:val="0"/>
        </w:rPr>
        <w:t>一</w:t>
      </w:r>
      <w:r>
        <w:rPr>
          <w:rStyle w:val="32"/>
          <w:rFonts w:hint="eastAsia" w:ascii="仿宋" w:hAnsi="仿宋" w:eastAsia="仿宋"/>
          <w:b w:val="0"/>
          <w:bCs w:val="0"/>
        </w:rPr>
        <w:t>般公共预算财政拨款基本支出决算表</w:t>
      </w:r>
      <w:bookmarkEnd w:id="61"/>
    </w:p>
    <w:p>
      <w:pPr>
        <w:pStyle w:val="4"/>
        <w:rPr>
          <w:rFonts w:ascii="仿宋" w:hAnsi="仿宋" w:eastAsia="仿宋"/>
        </w:rPr>
      </w:pPr>
      <w:bookmarkStart w:id="62" w:name="_Toc15396627"/>
      <w:r>
        <w:rPr>
          <w:rStyle w:val="32"/>
          <w:rFonts w:hint="eastAsia" w:ascii="仿宋" w:hAnsi="仿宋" w:eastAsia="仿宋"/>
          <w:b w:val="0"/>
          <w:bCs w:val="0"/>
        </w:rPr>
        <w:t>九、</w:t>
      </w:r>
      <w:r>
        <w:rPr>
          <w:rFonts w:hint="eastAsia" w:ascii="仿宋" w:hAnsi="仿宋" w:eastAsia="仿宋"/>
          <w:b w:val="0"/>
        </w:rPr>
        <w:t>一</w:t>
      </w:r>
      <w:r>
        <w:rPr>
          <w:rStyle w:val="32"/>
          <w:rFonts w:hint="eastAsia" w:ascii="仿宋" w:hAnsi="仿宋" w:eastAsia="仿宋"/>
          <w:b w:val="0"/>
          <w:bCs w:val="0"/>
        </w:rPr>
        <w:t>般公共预算财政拨款项目支出决算表</w:t>
      </w:r>
      <w:bookmarkEnd w:id="62"/>
    </w:p>
    <w:p>
      <w:pPr>
        <w:pStyle w:val="4"/>
        <w:rPr>
          <w:rFonts w:ascii="仿宋" w:hAnsi="仿宋" w:eastAsia="仿宋"/>
        </w:rPr>
      </w:pPr>
      <w:bookmarkStart w:id="63" w:name="_Toc15396628"/>
      <w:r>
        <w:rPr>
          <w:rStyle w:val="32"/>
          <w:rFonts w:hint="eastAsia" w:ascii="仿宋" w:hAnsi="仿宋" w:eastAsia="仿宋"/>
          <w:b w:val="0"/>
          <w:bCs w:val="0"/>
        </w:rPr>
        <w:t>十、</w:t>
      </w:r>
      <w:bookmarkEnd w:id="63"/>
      <w:r>
        <w:rPr>
          <w:rFonts w:hint="eastAsia" w:ascii="仿宋" w:hAnsi="仿宋" w:eastAsia="仿宋"/>
          <w:b w:val="0"/>
        </w:rPr>
        <w:t>政</w:t>
      </w:r>
      <w:r>
        <w:rPr>
          <w:rStyle w:val="32"/>
          <w:rFonts w:hint="eastAsia" w:ascii="仿宋" w:hAnsi="仿宋" w:eastAsia="仿宋"/>
          <w:b w:val="0"/>
          <w:bCs w:val="0"/>
        </w:rPr>
        <w:t>府性基金预算财政拨款收入支出决算表</w:t>
      </w:r>
    </w:p>
    <w:p>
      <w:pPr>
        <w:pStyle w:val="4"/>
        <w:rPr>
          <w:rFonts w:ascii="仿宋" w:hAnsi="仿宋" w:eastAsia="仿宋"/>
        </w:rPr>
      </w:pPr>
      <w:bookmarkStart w:id="64" w:name="_Toc15396629"/>
      <w:r>
        <w:rPr>
          <w:rStyle w:val="32"/>
          <w:rFonts w:hint="eastAsia" w:ascii="仿宋" w:hAnsi="仿宋" w:eastAsia="仿宋"/>
          <w:b w:val="0"/>
          <w:bCs w:val="0"/>
        </w:rPr>
        <w:t>十一、</w:t>
      </w:r>
      <w:bookmarkEnd w:id="64"/>
      <w:r>
        <w:rPr>
          <w:rFonts w:hint="eastAsia" w:ascii="仿宋" w:hAnsi="仿宋" w:eastAsia="仿宋"/>
          <w:b w:val="0"/>
        </w:rPr>
        <w:t>国</w:t>
      </w:r>
      <w:r>
        <w:rPr>
          <w:rStyle w:val="32"/>
          <w:rFonts w:hint="eastAsia" w:ascii="仿宋" w:hAnsi="仿宋" w:eastAsia="仿宋"/>
          <w:b w:val="0"/>
          <w:bCs w:val="0"/>
        </w:rPr>
        <w:t>有资本经营预算财政拨款收入支出决算表</w:t>
      </w:r>
    </w:p>
    <w:p>
      <w:pPr>
        <w:pStyle w:val="4"/>
        <w:rPr>
          <w:rFonts w:ascii="仿宋" w:hAnsi="仿宋" w:eastAsia="仿宋"/>
        </w:rPr>
      </w:pPr>
      <w:bookmarkStart w:id="65" w:name="_Toc15396630"/>
      <w:r>
        <w:rPr>
          <w:rStyle w:val="32"/>
          <w:rFonts w:hint="eastAsia" w:ascii="仿宋" w:hAnsi="仿宋" w:eastAsia="仿宋"/>
          <w:b w:val="0"/>
          <w:bCs w:val="0"/>
        </w:rPr>
        <w:t>十二、</w:t>
      </w:r>
      <w:bookmarkEnd w:id="65"/>
      <w:r>
        <w:rPr>
          <w:rStyle w:val="32"/>
          <w:rFonts w:hint="eastAsia" w:ascii="仿宋" w:hAnsi="仿宋" w:eastAsia="仿宋"/>
          <w:b w:val="0"/>
          <w:bCs w:val="0"/>
        </w:rPr>
        <w:t>国有资本经营预算财政拨款支出决算表</w:t>
      </w:r>
    </w:p>
    <w:p>
      <w:pPr>
        <w:pStyle w:val="4"/>
        <w:rPr>
          <w:rFonts w:eastAsia="仿宋"/>
        </w:rPr>
      </w:pPr>
      <w:bookmarkStart w:id="66" w:name="_Toc15396631"/>
      <w:r>
        <w:rPr>
          <w:rStyle w:val="32"/>
          <w:rFonts w:hint="eastAsia" w:ascii="仿宋" w:hAnsi="仿宋" w:eastAsia="仿宋"/>
          <w:b w:val="0"/>
          <w:bCs w:val="0"/>
        </w:rPr>
        <w:t>十三、</w:t>
      </w:r>
      <w:bookmarkEnd w:id="66"/>
      <w:r>
        <w:rPr>
          <w:rStyle w:val="32"/>
          <w:rFonts w:hint="eastAsia" w:ascii="仿宋" w:hAnsi="仿宋" w:eastAsia="仿宋"/>
          <w:b w:val="0"/>
          <w:bCs w:val="0"/>
        </w:rPr>
        <w:t>财政拨款“三公”经费支出决算表</w:t>
      </w:r>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1E647C2-F098-4664-93DE-B98B525BD4E4}"/>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embedRegular r:id="rId2" w:fontKey="{7E770368-B5A7-41BA-8709-49594E29EB1A}"/>
  </w:font>
  <w:font w:name="仿宋_GB2312">
    <w:altName w:val="仿宋"/>
    <w:panose1 w:val="00000000000000000000"/>
    <w:charset w:val="86"/>
    <w:family w:val="modern"/>
    <w:pitch w:val="default"/>
    <w:sig w:usb0="00000000" w:usb1="00000000" w:usb2="00000000" w:usb3="00000000" w:csb0="00040000" w:csb1="00000000"/>
    <w:embedRegular r:id="rId3" w:fontKey="{E915EA4D-4347-4572-A877-0E0DEF910108}"/>
  </w:font>
  <w:font w:name="仿宋">
    <w:panose1 w:val="02010609060101010101"/>
    <w:charset w:val="86"/>
    <w:family w:val="modern"/>
    <w:pitch w:val="default"/>
    <w:sig w:usb0="800002BF" w:usb1="38CF7CFA" w:usb2="00000016" w:usb3="00000000" w:csb0="00040001" w:csb1="00000000"/>
    <w:embedRegular r:id="rId4" w:fontKey="{79E0F413-C92E-4BC9-8EA0-3268DACE2DC6}"/>
  </w:font>
  <w:font w:name="Arial">
    <w:panose1 w:val="020B0604020202020204"/>
    <w:charset w:val="00"/>
    <w:family w:val="swiss"/>
    <w:pitch w:val="default"/>
    <w:sig w:usb0="E0002AFF" w:usb1="C0007843" w:usb2="00000009" w:usb3="00000000" w:csb0="400001FF" w:csb1="FFFF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00000001" w:usb1="08000000" w:usb2="00000000" w:usb3="00000000" w:csb0="00040000" w:csb1="00000000"/>
    <w:embedRegular r:id="rId5" w:fontKey="{801F93E0-B06D-4E15-AF0F-179C9BE2E004}"/>
  </w:font>
  <w:font w:name="方正仿宋简体">
    <w:panose1 w:val="02000000000000000000"/>
    <w:charset w:val="86"/>
    <w:family w:val="script"/>
    <w:pitch w:val="default"/>
    <w:sig w:usb0="A00002BF" w:usb1="184F6CFA" w:usb2="00000012" w:usb3="00000000" w:csb0="00040001" w:csb1="00000000"/>
    <w:embedRegular r:id="rId6" w:fontKey="{3FDA5F88-CFC3-40DD-B7DE-4CA87D207DBD}"/>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embedRegular r:id="rId7" w:fontKey="{05822BB9-EEAE-4783-838F-8F29C800A75F}"/>
  </w:font>
  <w:font w:name="方正楷体简体">
    <w:altName w:val="宋体"/>
    <w:panose1 w:val="02010601030101010101"/>
    <w:charset w:val="86"/>
    <w:family w:val="auto"/>
    <w:pitch w:val="default"/>
    <w:sig w:usb0="00000000" w:usb1="00000000" w:usb2="00000010" w:usb3="00000000" w:csb0="00040000" w:csb1="00000000"/>
    <w:embedRegular r:id="rId8" w:fontKey="{D738D224-B23B-4E65-B58D-E9FE1520FBE4}"/>
  </w:font>
  <w:font w:name="方正黑体简体">
    <w:altName w:val="微软雅黑"/>
    <w:panose1 w:val="02010601030101010101"/>
    <w:charset w:val="86"/>
    <w:family w:val="auto"/>
    <w:pitch w:val="default"/>
    <w:sig w:usb0="00000000" w:usb1="00000000" w:usb2="00000010" w:usb3="00000000" w:csb0="00040000" w:csb1="00000000"/>
    <w:embedRegular r:id="rId9" w:fontKey="{834F7DEF-52CA-447F-AE9B-6A2ADBC8836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12"/>
          <w:jc w:val="center"/>
        </w:pPr>
        <w:r>
          <w:fldChar w:fldCharType="begin"/>
        </w:r>
        <w:r>
          <w:instrText xml:space="preserve">PAGE   \* MERGEFORMAT</w:instrText>
        </w:r>
        <w:r>
          <w:fldChar w:fldCharType="separate"/>
        </w:r>
        <w:r>
          <w:rPr>
            <w:lang w:val="zh-CN"/>
          </w:rPr>
          <w:t>8</w:t>
        </w:r>
        <w:r>
          <w:fldChar w:fldCharType="end"/>
        </w:r>
      </w:p>
    </w:sdtContent>
  </w:sdt>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rPr>
    </w:lvl>
  </w:abstractNum>
  <w:abstractNum w:abstractNumId="2">
    <w:nsid w:val="0023B055"/>
    <w:multiLevelType w:val="singleLevel"/>
    <w:tmpl w:val="0023B055"/>
    <w:lvl w:ilvl="0" w:tentative="0">
      <w:start w:val="1"/>
      <w:numFmt w:val="decimal"/>
      <w:lvlText w:val="%1."/>
      <w:lvlJc w:val="left"/>
      <w:pPr>
        <w:tabs>
          <w:tab w:val="left" w:pos="312"/>
        </w:tabs>
      </w:p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liZTZjOTJiNmY3ZWM1NzJhOTYyMzk2ZTgyZjJiZjg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37B7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C2F09"/>
    <w:rsid w:val="004E0A2D"/>
    <w:rsid w:val="004E206B"/>
    <w:rsid w:val="004E6DF7"/>
    <w:rsid w:val="004F0FBD"/>
    <w:rsid w:val="00505A47"/>
    <w:rsid w:val="00512FDA"/>
    <w:rsid w:val="00520DA0"/>
    <w:rsid w:val="005516C4"/>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90F30"/>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A026C"/>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24C7"/>
    <w:rsid w:val="008B768C"/>
    <w:rsid w:val="008C4DB1"/>
    <w:rsid w:val="008C4EAF"/>
    <w:rsid w:val="008C5176"/>
    <w:rsid w:val="008C7FD0"/>
    <w:rsid w:val="008E1DE7"/>
    <w:rsid w:val="008E707C"/>
    <w:rsid w:val="008F3C39"/>
    <w:rsid w:val="008F6DF2"/>
    <w:rsid w:val="00900B08"/>
    <w:rsid w:val="00902155"/>
    <w:rsid w:val="00902FA3"/>
    <w:rsid w:val="00923564"/>
    <w:rsid w:val="0092392E"/>
    <w:rsid w:val="009315F9"/>
    <w:rsid w:val="00933499"/>
    <w:rsid w:val="00935C98"/>
    <w:rsid w:val="00946945"/>
    <w:rsid w:val="00951248"/>
    <w:rsid w:val="0095152F"/>
    <w:rsid w:val="00954C49"/>
    <w:rsid w:val="00955E37"/>
    <w:rsid w:val="00956BA6"/>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1678"/>
    <w:rsid w:val="00A422EB"/>
    <w:rsid w:val="00A45BB7"/>
    <w:rsid w:val="00A56DF2"/>
    <w:rsid w:val="00A56E6E"/>
    <w:rsid w:val="00A67AB5"/>
    <w:rsid w:val="00A733B2"/>
    <w:rsid w:val="00A741C2"/>
    <w:rsid w:val="00A91760"/>
    <w:rsid w:val="00A93B00"/>
    <w:rsid w:val="00A93C21"/>
    <w:rsid w:val="00AA609D"/>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E164C"/>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1547"/>
    <w:rsid w:val="00CE44F6"/>
    <w:rsid w:val="00CE49DA"/>
    <w:rsid w:val="00CE7B61"/>
    <w:rsid w:val="00D00095"/>
    <w:rsid w:val="00D114F0"/>
    <w:rsid w:val="00D20620"/>
    <w:rsid w:val="00D2523B"/>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3B3F"/>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E7D16"/>
    <w:rsid w:val="00EF4C34"/>
    <w:rsid w:val="00EF77C6"/>
    <w:rsid w:val="00F05438"/>
    <w:rsid w:val="00F1361C"/>
    <w:rsid w:val="00F156F0"/>
    <w:rsid w:val="00F160C7"/>
    <w:rsid w:val="00F2408F"/>
    <w:rsid w:val="00F240E9"/>
    <w:rsid w:val="00F36D8F"/>
    <w:rsid w:val="00F417B1"/>
    <w:rsid w:val="00F45853"/>
    <w:rsid w:val="00F5047E"/>
    <w:rsid w:val="00F602DF"/>
    <w:rsid w:val="00F754A1"/>
    <w:rsid w:val="00F81FD9"/>
    <w:rsid w:val="00F841AA"/>
    <w:rsid w:val="00F84A94"/>
    <w:rsid w:val="00F87E96"/>
    <w:rsid w:val="00FA23E8"/>
    <w:rsid w:val="00FD3CC1"/>
    <w:rsid w:val="00FF1E02"/>
    <w:rsid w:val="00FF30B4"/>
    <w:rsid w:val="015975B8"/>
    <w:rsid w:val="02143E91"/>
    <w:rsid w:val="05757614"/>
    <w:rsid w:val="066E0107"/>
    <w:rsid w:val="07996F6E"/>
    <w:rsid w:val="09EF5765"/>
    <w:rsid w:val="0A2032A3"/>
    <w:rsid w:val="0E8A515C"/>
    <w:rsid w:val="0F98263C"/>
    <w:rsid w:val="101860EC"/>
    <w:rsid w:val="10C055FF"/>
    <w:rsid w:val="118107EC"/>
    <w:rsid w:val="13D50BC4"/>
    <w:rsid w:val="16BB723D"/>
    <w:rsid w:val="1BE8440E"/>
    <w:rsid w:val="1D155CEE"/>
    <w:rsid w:val="1FF35744"/>
    <w:rsid w:val="23860B96"/>
    <w:rsid w:val="240371BF"/>
    <w:rsid w:val="29FD04D3"/>
    <w:rsid w:val="2C8A61B5"/>
    <w:rsid w:val="2DF04E50"/>
    <w:rsid w:val="2F040D46"/>
    <w:rsid w:val="319F7F4E"/>
    <w:rsid w:val="3304709D"/>
    <w:rsid w:val="36AA5135"/>
    <w:rsid w:val="376D39B2"/>
    <w:rsid w:val="37E16F03"/>
    <w:rsid w:val="38D469F0"/>
    <w:rsid w:val="39DB6145"/>
    <w:rsid w:val="3D98207C"/>
    <w:rsid w:val="3E78745D"/>
    <w:rsid w:val="44E268DA"/>
    <w:rsid w:val="4742169F"/>
    <w:rsid w:val="4A627F82"/>
    <w:rsid w:val="4B0E749A"/>
    <w:rsid w:val="4B4F25DA"/>
    <w:rsid w:val="4BE068DB"/>
    <w:rsid w:val="4D577224"/>
    <w:rsid w:val="4EAB630A"/>
    <w:rsid w:val="4ECE2238"/>
    <w:rsid w:val="537E6D0A"/>
    <w:rsid w:val="5AF92295"/>
    <w:rsid w:val="5CD71FC4"/>
    <w:rsid w:val="633C2F25"/>
    <w:rsid w:val="6C4A05C8"/>
    <w:rsid w:val="6E7E3605"/>
    <w:rsid w:val="6FF5CC65"/>
    <w:rsid w:val="706305CE"/>
    <w:rsid w:val="715C0E4B"/>
    <w:rsid w:val="72734D90"/>
    <w:rsid w:val="73AD73D5"/>
    <w:rsid w:val="73B6EB34"/>
    <w:rsid w:val="744731E5"/>
    <w:rsid w:val="76E3355F"/>
    <w:rsid w:val="7744774B"/>
    <w:rsid w:val="778769C8"/>
    <w:rsid w:val="79EE5BA4"/>
    <w:rsid w:val="7A894339"/>
    <w:rsid w:val="7EEF11D3"/>
    <w:rsid w:val="7FA30C79"/>
    <w:rsid w:val="7FB7269E"/>
    <w:rsid w:val="7FC96657"/>
    <w:rsid w:val="D8D6DB89"/>
    <w:rsid w:val="DB6F4CAB"/>
    <w:rsid w:val="DF6F978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1"/>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5"/>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table of figures"/>
    <w:basedOn w:val="1"/>
    <w:next w:val="1"/>
    <w:qFormat/>
    <w:uiPriority w:val="0"/>
    <w:pPr>
      <w:ind w:left="200" w:leftChars="200" w:hanging="200" w:hangingChars="200"/>
    </w:pPr>
    <w:rPr>
      <w:rFonts w:ascii="Times New Roman" w:hAnsi="Times New Roman" w:eastAsia="仿宋"/>
    </w:rPr>
  </w:style>
  <w:style w:type="paragraph" w:styleId="6">
    <w:name w:val="annotation text"/>
    <w:basedOn w:val="1"/>
    <w:semiHidden/>
    <w:unhideWhenUsed/>
    <w:qFormat/>
    <w:uiPriority w:val="99"/>
    <w:pPr>
      <w:jc w:val="left"/>
    </w:pPr>
  </w:style>
  <w:style w:type="paragraph" w:styleId="7">
    <w:name w:val="Body Text"/>
    <w:basedOn w:val="1"/>
    <w:link w:val="28"/>
    <w:qFormat/>
    <w:uiPriority w:val="99"/>
    <w:pPr>
      <w:spacing w:beforeLines="30"/>
    </w:pPr>
    <w:rPr>
      <w:rFonts w:ascii="仿宋_GB2312" w:eastAsia="仿宋_GB2312"/>
      <w:kern w:val="0"/>
      <w:sz w:val="30"/>
    </w:rPr>
  </w:style>
  <w:style w:type="paragraph" w:styleId="8">
    <w:name w:val="Body Text Indent"/>
    <w:basedOn w:val="1"/>
    <w:qFormat/>
    <w:uiPriority w:val="0"/>
    <w:pPr>
      <w:spacing w:after="120"/>
      <w:ind w:left="200" w:leftChars="200"/>
    </w:pPr>
    <w:rPr>
      <w:rFonts w:ascii="仿宋_GB2312"/>
      <w:szCs w:val="32"/>
    </w:rPr>
  </w:style>
  <w:style w:type="paragraph" w:styleId="9">
    <w:name w:val="toc 3"/>
    <w:basedOn w:val="1"/>
    <w:next w:val="1"/>
    <w:unhideWhenUsed/>
    <w:qFormat/>
    <w:uiPriority w:val="39"/>
    <w:pPr>
      <w:tabs>
        <w:tab w:val="right" w:leader="dot" w:pos="8296"/>
      </w:tabs>
      <w:ind w:left="840" w:leftChars="400"/>
    </w:pPr>
  </w:style>
  <w:style w:type="paragraph" w:styleId="10">
    <w:name w:val="Plain Text"/>
    <w:basedOn w:val="1"/>
    <w:unhideWhenUsed/>
    <w:uiPriority w:val="0"/>
    <w:rPr>
      <w:rFonts w:ascii="宋体" w:hAnsi="Courier New" w:eastAsia="宋体" w:cs="Times New Roman"/>
      <w:kern w:val="0"/>
      <w:sz w:val="20"/>
      <w:szCs w:val="21"/>
    </w:rPr>
  </w:style>
  <w:style w:type="paragraph" w:styleId="11">
    <w:name w:val="Balloon Text"/>
    <w:basedOn w:val="1"/>
    <w:link w:val="34"/>
    <w:semiHidden/>
    <w:unhideWhenUsed/>
    <w:qFormat/>
    <w:uiPriority w:val="99"/>
    <w:rPr>
      <w:sz w:val="18"/>
      <w:szCs w:val="18"/>
    </w:rPr>
  </w:style>
  <w:style w:type="paragraph" w:styleId="12">
    <w:name w:val="footer"/>
    <w:basedOn w:val="1"/>
    <w:link w:val="26"/>
    <w:qFormat/>
    <w:uiPriority w:val="99"/>
    <w:pPr>
      <w:tabs>
        <w:tab w:val="center" w:pos="4153"/>
        <w:tab w:val="right" w:pos="8306"/>
      </w:tabs>
      <w:snapToGrid w:val="0"/>
      <w:jc w:val="left"/>
    </w:pPr>
    <w:rPr>
      <w:rFonts w:ascii="Calibri" w:hAnsi="Calibri"/>
      <w:kern w:val="0"/>
      <w:sz w:val="18"/>
      <w:szCs w:val="18"/>
    </w:rPr>
  </w:style>
  <w:style w:type="paragraph" w:styleId="13">
    <w:name w:val="header"/>
    <w:basedOn w:val="1"/>
    <w:link w:val="24"/>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4">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5">
    <w:name w:val="toc 2"/>
    <w:basedOn w:val="1"/>
    <w:next w:val="1"/>
    <w:unhideWhenUsed/>
    <w:qFormat/>
    <w:uiPriority w:val="39"/>
    <w:pPr>
      <w:tabs>
        <w:tab w:val="right" w:leader="dot" w:pos="8296"/>
      </w:tabs>
      <w:ind w:left="420" w:leftChars="200"/>
    </w:pPr>
  </w:style>
  <w:style w:type="paragraph" w:styleId="16">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7">
    <w:name w:val="Body Text First Indent 2"/>
    <w:basedOn w:val="8"/>
    <w:unhideWhenUsed/>
    <w:qFormat/>
    <w:uiPriority w:val="99"/>
    <w:pPr>
      <w:ind w:firstLine="420" w:firstLineChars="200"/>
    </w:pPr>
  </w:style>
  <w:style w:type="character" w:styleId="20">
    <w:name w:val="Strong"/>
    <w:basedOn w:val="19"/>
    <w:qFormat/>
    <w:uiPriority w:val="99"/>
    <w:rPr>
      <w:b/>
    </w:rPr>
  </w:style>
  <w:style w:type="character" w:styleId="21">
    <w:name w:val="Hyperlink"/>
    <w:basedOn w:val="19"/>
    <w:unhideWhenUsed/>
    <w:qFormat/>
    <w:uiPriority w:val="99"/>
    <w:rPr>
      <w:color w:val="0000FF" w:themeColor="hyperlink"/>
      <w:u w:val="single"/>
      <w14:textFill>
        <w14:solidFill>
          <w14:schemeClr w14:val="hlink"/>
        </w14:solidFill>
      </w14:textFill>
    </w:rPr>
  </w:style>
  <w:style w:type="paragraph" w:customStyle="1" w:styleId="22">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3">
    <w:name w:val="Header Char"/>
    <w:basedOn w:val="19"/>
    <w:semiHidden/>
    <w:qFormat/>
    <w:uiPriority w:val="99"/>
    <w:rPr>
      <w:rFonts w:ascii="Times New Roman" w:hAnsi="Times New Roman"/>
      <w:sz w:val="18"/>
      <w:szCs w:val="18"/>
    </w:rPr>
  </w:style>
  <w:style w:type="character" w:customStyle="1" w:styleId="24">
    <w:name w:val="页眉 字符"/>
    <w:link w:val="13"/>
    <w:semiHidden/>
    <w:qFormat/>
    <w:locked/>
    <w:uiPriority w:val="99"/>
    <w:rPr>
      <w:sz w:val="18"/>
    </w:rPr>
  </w:style>
  <w:style w:type="character" w:customStyle="1" w:styleId="25">
    <w:name w:val="Footer Char"/>
    <w:basedOn w:val="19"/>
    <w:semiHidden/>
    <w:qFormat/>
    <w:uiPriority w:val="99"/>
    <w:rPr>
      <w:rFonts w:ascii="Times New Roman" w:hAnsi="Times New Roman"/>
      <w:sz w:val="18"/>
      <w:szCs w:val="18"/>
    </w:rPr>
  </w:style>
  <w:style w:type="character" w:customStyle="1" w:styleId="26">
    <w:name w:val="页脚 字符"/>
    <w:link w:val="12"/>
    <w:qFormat/>
    <w:locked/>
    <w:uiPriority w:val="99"/>
    <w:rPr>
      <w:sz w:val="18"/>
    </w:rPr>
  </w:style>
  <w:style w:type="character" w:customStyle="1" w:styleId="27">
    <w:name w:val="Body Text Char"/>
    <w:basedOn w:val="19"/>
    <w:semiHidden/>
    <w:qFormat/>
    <w:uiPriority w:val="99"/>
    <w:rPr>
      <w:rFonts w:ascii="Times New Roman" w:hAnsi="Times New Roman"/>
      <w:szCs w:val="24"/>
    </w:rPr>
  </w:style>
  <w:style w:type="character" w:customStyle="1" w:styleId="28">
    <w:name w:val="正文文本 字符"/>
    <w:link w:val="7"/>
    <w:qFormat/>
    <w:locked/>
    <w:uiPriority w:val="99"/>
    <w:rPr>
      <w:rFonts w:ascii="仿宋_GB2312" w:hAnsi="Times New Roman" w:eastAsia="仿宋_GB2312"/>
      <w:sz w:val="24"/>
    </w:rPr>
  </w:style>
  <w:style w:type="paragraph" w:customStyle="1" w:styleId="29">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0">
    <w:name w:val="List Paragraph"/>
    <w:basedOn w:val="1"/>
    <w:qFormat/>
    <w:uiPriority w:val="34"/>
    <w:pPr>
      <w:ind w:firstLine="420" w:firstLineChars="200"/>
    </w:pPr>
  </w:style>
  <w:style w:type="character" w:customStyle="1" w:styleId="31">
    <w:name w:val="标题 1 字符"/>
    <w:basedOn w:val="19"/>
    <w:link w:val="3"/>
    <w:qFormat/>
    <w:uiPriority w:val="9"/>
    <w:rPr>
      <w:rFonts w:ascii="Times New Roman" w:hAnsi="Times New Roman"/>
      <w:b/>
      <w:bCs/>
      <w:kern w:val="44"/>
      <w:sz w:val="44"/>
      <w:szCs w:val="44"/>
    </w:rPr>
  </w:style>
  <w:style w:type="character" w:customStyle="1" w:styleId="32">
    <w:name w:val="标题 2 字符"/>
    <w:basedOn w:val="19"/>
    <w:link w:val="4"/>
    <w:qFormat/>
    <w:uiPriority w:val="9"/>
    <w:rPr>
      <w:rFonts w:asciiTheme="majorHAnsi" w:hAnsiTheme="majorHAnsi" w:eastAsiaTheme="majorEastAsia" w:cstheme="majorBidi"/>
      <w:b/>
      <w:bCs/>
      <w:kern w:val="2"/>
      <w:sz w:val="32"/>
      <w:szCs w:val="32"/>
    </w:rPr>
  </w:style>
  <w:style w:type="paragraph" w:customStyle="1" w:styleId="33">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4">
    <w:name w:val="批注框文本 字符"/>
    <w:basedOn w:val="19"/>
    <w:link w:val="11"/>
    <w:semiHidden/>
    <w:qFormat/>
    <w:uiPriority w:val="99"/>
    <w:rPr>
      <w:rFonts w:ascii="Times New Roman" w:hAnsi="Times New Roman"/>
      <w:kern w:val="2"/>
      <w:sz w:val="18"/>
      <w:szCs w:val="18"/>
    </w:rPr>
  </w:style>
  <w:style w:type="character" w:customStyle="1" w:styleId="35">
    <w:name w:val="标题 3 字符"/>
    <w:basedOn w:val="19"/>
    <w:link w:val="5"/>
    <w:qFormat/>
    <w:uiPriority w:val="9"/>
    <w:rPr>
      <w:rFonts w:ascii="Times New Roman" w:hAnsi="Times New Roman"/>
      <w:b/>
      <w:bCs/>
      <w:kern w:val="2"/>
      <w:sz w:val="32"/>
      <w:szCs w:val="32"/>
    </w:rPr>
  </w:style>
  <w:style w:type="paragraph" w:customStyle="1" w:styleId="36">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7">
    <w:name w:val="四号正文"/>
    <w:basedOn w:val="1"/>
    <w:qFormat/>
    <w:uiPriority w:val="0"/>
    <w:pPr>
      <w:spacing w:line="360" w:lineRule="auto"/>
    </w:pPr>
    <w:rPr>
      <w:rFonts w:ascii="??" w:hAnsi="??"/>
      <w:color w:val="000000"/>
      <w:kern w:val="0"/>
      <w:sz w:val="28"/>
      <w:szCs w:val="21"/>
      <w:lang w:val="zh-CN"/>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3.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4.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5.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6.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75000"/>
                    <a:lumOff val="25000"/>
                  </a:schemeClr>
                </a:solidFill>
                <a:latin typeface="+mn-lt"/>
                <a:ea typeface="+mn-ea"/>
                <a:cs typeface="+mn-cs"/>
              </a:defRPr>
            </a:pPr>
            <a:r>
              <a:rPr lang="en-US" altLang="zh-CN"/>
              <a:t>2021</a:t>
            </a:r>
            <a:r>
              <a:rPr altLang="en-US"/>
              <a:t>年与</a:t>
            </a:r>
            <a:r>
              <a:rPr lang="en-US" altLang="zh-CN"/>
              <a:t>2022</a:t>
            </a:r>
            <a:r>
              <a:rPr altLang="en-US"/>
              <a:t>年收、支</a:t>
            </a:r>
            <a:endParaRPr altLang="en-US"/>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2021</c:v>
                </c:pt>
              </c:strCache>
            </c:strRef>
          </c:tx>
          <c:spPr>
            <a:solidFill>
              <a:schemeClr val="accent1"/>
            </a:solidFill>
            <a:ln>
              <a:noFill/>
            </a:ln>
            <a:effectLst/>
          </c:spPr>
          <c:invertIfNegative val="0"/>
          <c:dLbls>
            <c:delete val="1"/>
          </c:dLbls>
          <c:cat>
            <c:strRef>
              <c:f>Sheet1!$A$2:$A$3</c:f>
              <c:strCache>
                <c:ptCount val="2"/>
                <c:pt idx="0">
                  <c:v>收入</c:v>
                </c:pt>
                <c:pt idx="1">
                  <c:v>支出</c:v>
                </c:pt>
              </c:strCache>
            </c:strRef>
          </c:cat>
          <c:val>
            <c:numRef>
              <c:f>Sheet1!$B$2:$B$3</c:f>
              <c:numCache>
                <c:formatCode>General</c:formatCode>
                <c:ptCount val="2"/>
                <c:pt idx="0">
                  <c:v>8102.1</c:v>
                </c:pt>
                <c:pt idx="1">
                  <c:v>8102.1</c:v>
                </c:pt>
              </c:numCache>
            </c:numRef>
          </c:val>
        </c:ser>
        <c:ser>
          <c:idx val="1"/>
          <c:order val="1"/>
          <c:tx>
            <c:strRef>
              <c:f>Sheet1!$C$1</c:f>
              <c:strCache>
                <c:ptCount val="1"/>
                <c:pt idx="0">
                  <c:v>2022</c:v>
                </c:pt>
              </c:strCache>
            </c:strRef>
          </c:tx>
          <c:spPr>
            <a:solidFill>
              <a:schemeClr val="accent2"/>
            </a:solidFill>
            <a:ln>
              <a:noFill/>
            </a:ln>
            <a:effectLst/>
          </c:spPr>
          <c:invertIfNegative val="0"/>
          <c:dLbls>
            <c:delete val="1"/>
          </c:dLbls>
          <c:cat>
            <c:strRef>
              <c:f>Sheet1!$A$2:$A$3</c:f>
              <c:strCache>
                <c:ptCount val="2"/>
                <c:pt idx="0">
                  <c:v>收入</c:v>
                </c:pt>
                <c:pt idx="1">
                  <c:v>支出</c:v>
                </c:pt>
              </c:strCache>
            </c:strRef>
          </c:cat>
          <c:val>
            <c:numRef>
              <c:f>Sheet1!$C$2:$C$3</c:f>
              <c:numCache>
                <c:formatCode>General</c:formatCode>
                <c:ptCount val="2"/>
                <c:pt idx="0">
                  <c:v>7849.48</c:v>
                </c:pt>
                <c:pt idx="1">
                  <c:v>7849.48</c:v>
                </c:pt>
              </c:numCache>
            </c:numRef>
          </c:val>
        </c:ser>
        <c:dLbls>
          <c:showLegendKey val="0"/>
          <c:showVal val="0"/>
          <c:showCatName val="0"/>
          <c:showSerName val="0"/>
          <c:showPercent val="0"/>
          <c:showBubbleSize val="0"/>
        </c:dLbls>
        <c:gapWidth val="246"/>
        <c:overlap val="-28"/>
        <c:axId val="734957165"/>
        <c:axId val="496812660"/>
      </c:barChart>
      <c:catAx>
        <c:axId val="734957165"/>
        <c:scaling>
          <c:orientation val="minMax"/>
        </c:scaling>
        <c:delete val="0"/>
        <c:axPos val="b"/>
        <c:title>
          <c:tx>
            <c:rich>
              <a:bodyPr rot="0" spcFirstLastPara="0" vertOverflow="ellipsis" vert="horz" wrap="square" anchor="ctr" anchorCtr="1"/>
              <a:lstStyle/>
              <a:p>
                <a:pPr defTabSz="914400">
                  <a:defRPr lang="zh-CN" sz="1000" b="1" i="0" u="none" strike="noStrike" kern="1200" baseline="0">
                    <a:solidFill>
                      <a:schemeClr val="tx1">
                        <a:lumMod val="65000"/>
                        <a:lumOff val="35000"/>
                      </a:schemeClr>
                    </a:solidFill>
                    <a:latin typeface="+mn-lt"/>
                    <a:ea typeface="+mn-ea"/>
                    <a:cs typeface="+mn-cs"/>
                  </a:defRPr>
                </a:pPr>
                <a:r>
                  <a:rPr b="1"/>
                  <a:t>单位：万元</a:t>
                </a:r>
                <a:endParaRPr b="1"/>
              </a:p>
            </c:rich>
          </c:tx>
          <c:layout>
            <c:manualLayout>
              <c:xMode val="edge"/>
              <c:yMode val="edge"/>
              <c:x val="0.748828219376661"/>
              <c:y val="0.0380365490862728"/>
            </c:manualLayout>
          </c:layout>
          <c:overlay val="0"/>
          <c:spPr>
            <a:noFill/>
            <a:ln>
              <a:noFill/>
            </a:ln>
            <a:effectLst/>
          </c:spPr>
        </c:title>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96812660"/>
        <c:crosses val="autoZero"/>
        <c:auto val="1"/>
        <c:lblAlgn val="ctr"/>
        <c:lblOffset val="100"/>
        <c:noMultiLvlLbl val="0"/>
      </c:catAx>
      <c:valAx>
        <c:axId val="496812660"/>
        <c:scaling>
          <c:orientation val="minMax"/>
        </c:scaling>
        <c:delete val="0"/>
        <c:axPos val="l"/>
        <c:majorGridlines>
          <c:spPr>
            <a:ln w="9525" cap="flat" cmpd="sng" algn="ctr">
              <a:solidFill>
                <a:schemeClr val="bg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34957165"/>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75000"/>
                    <a:lumOff val="25000"/>
                  </a:schemeClr>
                </a:solidFill>
                <a:latin typeface="+mn-lt"/>
                <a:ea typeface="+mn-ea"/>
                <a:cs typeface="+mn-cs"/>
              </a:defRPr>
            </a:pPr>
            <a:r>
              <a:t>2022年本年收入</a:t>
            </a:r>
          </a:p>
        </c:rich>
      </c:tx>
      <c:layout>
        <c:manualLayout>
          <c:xMode val="edge"/>
          <c:yMode val="edge"/>
          <c:x val="0.442135781589756"/>
          <c:y val="0.0231619209519762"/>
        </c:manualLayout>
      </c:layout>
      <c:overlay val="0"/>
      <c:spPr>
        <a:noFill/>
        <a:ln>
          <a:noFill/>
        </a:ln>
        <a:effectLst/>
      </c:spPr>
    </c:title>
    <c:autoTitleDeleted val="0"/>
    <c:plotArea>
      <c:layout/>
      <c:pieChart>
        <c:varyColors val="1"/>
        <c:ser>
          <c:idx val="0"/>
          <c:order val="0"/>
          <c:tx>
            <c:strRef>
              <c:f>Sheet1!$B$1</c:f>
              <c:strCache>
                <c:ptCount val="1"/>
                <c:pt idx="0">
                  <c:v>2022年本年收入</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一般公共预算财政拨款收入9</a:t>
                    </a:r>
                    <a:r>
                      <a:rPr lang="en-US" altLang="zh-CN"/>
                      <a:t>5.31</a:t>
                    </a:r>
                    <a:r>
                      <a:t>%</a:t>
                    </a:r>
                  </a:p>
                </c:rich>
              </c:tx>
              <c:dLblPos val="inEnd"/>
              <c:showLegendKey val="0"/>
              <c:showVal val="0"/>
              <c:showCatName val="1"/>
              <c:showSerName val="0"/>
              <c:showPercent val="1"/>
              <c:showBubbleSize val="0"/>
              <c:extLst>
                <c:ext xmlns:c15="http://schemas.microsoft.com/office/drawing/2012/chart" uri="{CE6537A1-D6FC-4f65-9D91-7224C49458BB}"/>
              </c:extLst>
            </c:dLbl>
            <c:dLbl>
              <c:idx val="1"/>
              <c:layout>
                <c:manualLayout>
                  <c:x val="-0.0626466013691229"/>
                  <c:y val="0.0786402437382987"/>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政府性基金预算财政拨款收入</a:t>
                    </a:r>
                    <a:r>
                      <a:rPr lang="en-US" altLang="zh-CN"/>
                      <a:t>4.53</a:t>
                    </a:r>
                    <a:r>
                      <a:t>%</a:t>
                    </a:r>
                  </a:p>
                </c:rich>
              </c:tx>
              <c:dLblPos val="bestFit"/>
              <c:showLegendKey val="0"/>
              <c:showVal val="0"/>
              <c:showCatName val="1"/>
              <c:showSerName val="0"/>
              <c:showPercent val="1"/>
              <c:showBubbleSize val="0"/>
              <c:extLst>
                <c:ext xmlns:c15="http://schemas.microsoft.com/office/drawing/2012/chart" uri="{CE6537A1-D6FC-4f65-9D91-7224C49458BB}">
                  <c15:layout/>
                </c:ext>
              </c:extLst>
            </c:dLbl>
            <c:dLbl>
              <c:idx val="2"/>
              <c:layout>
                <c:manualLayout>
                  <c:x val="0.0492807351817953"/>
                  <c:y val="0.125063824373439"/>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年初结转和结余0</a:t>
                    </a:r>
                    <a:r>
                      <a:rPr lang="en-US" altLang="zh-CN"/>
                      <a:t>.16</a:t>
                    </a:r>
                    <a:r>
                      <a:t>%</a:t>
                    </a:r>
                  </a:p>
                </c:rich>
              </c:tx>
              <c:dLblPos val="bestFit"/>
              <c:showLegendKey val="0"/>
              <c:showVal val="0"/>
              <c:showCatName val="1"/>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一般公共预算财政拨款收入</c:v>
                </c:pt>
                <c:pt idx="1">
                  <c:v>政府性基金预算财政拨款收入</c:v>
                </c:pt>
                <c:pt idx="2">
                  <c:v>年初结转和结余</c:v>
                </c:pt>
              </c:strCache>
            </c:strRef>
          </c:cat>
          <c:val>
            <c:numRef>
              <c:f>Sheet1!$B$2:$B$4</c:f>
              <c:numCache>
                <c:formatCode>General</c:formatCode>
                <c:ptCount val="3"/>
                <c:pt idx="0">
                  <c:v>7480.97</c:v>
                </c:pt>
                <c:pt idx="1">
                  <c:v>355.4</c:v>
                </c:pt>
                <c:pt idx="2">
                  <c:v>13.11</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75000"/>
                    <a:lumOff val="25000"/>
                  </a:schemeClr>
                </a:solidFill>
                <a:latin typeface="+mn-lt"/>
                <a:ea typeface="+mn-ea"/>
                <a:cs typeface="+mn-cs"/>
              </a:defRPr>
            </a:pPr>
            <a:r>
              <a:t>支出决算结构图</a:t>
            </a:r>
          </a:p>
        </c:rich>
      </c:tx>
      <c:layout/>
      <c:overlay val="0"/>
      <c:spPr>
        <a:noFill/>
        <a:ln>
          <a:noFill/>
        </a:ln>
        <a:effectLst/>
      </c:spPr>
    </c:title>
    <c:autoTitleDeleted val="0"/>
    <c:plotArea>
      <c:layout/>
      <c:pieChart>
        <c:varyColors val="1"/>
        <c:ser>
          <c:idx val="0"/>
          <c:order val="0"/>
          <c:tx>
            <c:strRef>
              <c:f>Sheet1!$B$1</c:f>
              <c:strCache>
                <c:ptCount val="1"/>
                <c:pt idx="0">
                  <c:v>列1</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基本支出27</a:t>
                    </a:r>
                    <a:r>
                      <a:rPr lang="en-US" altLang="zh-CN"/>
                      <a:t>.17</a:t>
                    </a:r>
                    <a:r>
                      <a:t>%</a:t>
                    </a:r>
                  </a:p>
                </c:rich>
              </c:tx>
              <c:dLblPos val="outEnd"/>
              <c:showLegendKey val="0"/>
              <c:showVal val="1"/>
              <c:showCatName val="1"/>
              <c:showSerName val="0"/>
              <c:showPercent val="0"/>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项目支出7</a:t>
                    </a:r>
                    <a:r>
                      <a:rPr lang="en-US" altLang="zh-CN"/>
                      <a:t>2.67</a:t>
                    </a:r>
                    <a:r>
                      <a:t>%</a:t>
                    </a:r>
                  </a:p>
                </c:rich>
              </c:tx>
              <c:dLblPos val="outEnd"/>
              <c:showLegendKey val="0"/>
              <c:showVal val="1"/>
              <c:showCatName val="1"/>
              <c:showSerName val="0"/>
              <c:showPercent val="0"/>
              <c:showBubbleSize val="0"/>
              <c:extLst>
                <c:ext xmlns:c15="http://schemas.microsoft.com/office/drawing/2012/chart" uri="{CE6537A1-D6FC-4f65-9D91-7224C49458BB}"/>
              </c:extLst>
            </c:dLbl>
            <c:dLbl>
              <c:idx val="2"/>
              <c:layout>
                <c:manualLayout>
                  <c:x val="0.00132882338729162"/>
                  <c:y val="0.0331491712707182"/>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年初结转结余0</a:t>
                    </a:r>
                    <a:r>
                      <a:rPr lang="en-US" altLang="zh-CN"/>
                      <a:t>.16</a:t>
                    </a:r>
                    <a:r>
                      <a:t>%</a:t>
                    </a:r>
                  </a:p>
                </c:rich>
              </c:tx>
              <c:dLblPos val="bestFit"/>
              <c:showLegendKey val="0"/>
              <c:showVal val="1"/>
              <c:showCatName val="1"/>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1"/>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基本支出</c:v>
                </c:pt>
                <c:pt idx="1">
                  <c:v>项目支出</c:v>
                </c:pt>
                <c:pt idx="2">
                  <c:v>年初结转结余</c:v>
                </c:pt>
              </c:strCache>
            </c:strRef>
          </c:cat>
          <c:val>
            <c:numRef>
              <c:f>Sheet1!$B$2:$B$4</c:f>
              <c:numCache>
                <c:formatCode>General</c:formatCode>
                <c:ptCount val="3"/>
                <c:pt idx="0">
                  <c:v>2132.74</c:v>
                </c:pt>
                <c:pt idx="1">
                  <c:v>5703.63</c:v>
                </c:pt>
                <c:pt idx="2">
                  <c:v>13.11</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75000"/>
                    <a:lumOff val="25000"/>
                  </a:schemeClr>
                </a:solidFill>
                <a:latin typeface="+mn-lt"/>
                <a:ea typeface="+mn-ea"/>
                <a:cs typeface="+mn-cs"/>
              </a:defRPr>
            </a:pPr>
            <a:r>
              <a:rPr lang="en-US" altLang="zh-CN"/>
              <a:t>2021</a:t>
            </a:r>
            <a:r>
              <a:rPr altLang="en-US"/>
              <a:t>年与</a:t>
            </a:r>
            <a:r>
              <a:rPr lang="en-US" altLang="zh-CN"/>
              <a:t>2022</a:t>
            </a:r>
            <a:r>
              <a:rPr altLang="en-US"/>
              <a:t>年收、支</a:t>
            </a:r>
            <a:endParaRPr altLang="en-US"/>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2021</c:v>
                </c:pt>
              </c:strCache>
            </c:strRef>
          </c:tx>
          <c:spPr>
            <a:solidFill>
              <a:schemeClr val="accent1"/>
            </a:solidFill>
            <a:ln>
              <a:noFill/>
            </a:ln>
            <a:effectLst/>
          </c:spPr>
          <c:invertIfNegative val="0"/>
          <c:dLbls>
            <c:delete val="1"/>
          </c:dLbls>
          <c:cat>
            <c:strRef>
              <c:f>Sheet1!$A$2:$A$3</c:f>
              <c:strCache>
                <c:ptCount val="2"/>
                <c:pt idx="0">
                  <c:v>收入</c:v>
                </c:pt>
                <c:pt idx="1">
                  <c:v>支出</c:v>
                </c:pt>
              </c:strCache>
            </c:strRef>
          </c:cat>
          <c:val>
            <c:numRef>
              <c:f>Sheet1!$B$2:$B$3</c:f>
              <c:numCache>
                <c:formatCode>General</c:formatCode>
                <c:ptCount val="2"/>
                <c:pt idx="0">
                  <c:v>8102.1</c:v>
                </c:pt>
                <c:pt idx="1">
                  <c:v>8102.1</c:v>
                </c:pt>
              </c:numCache>
            </c:numRef>
          </c:val>
        </c:ser>
        <c:ser>
          <c:idx val="1"/>
          <c:order val="1"/>
          <c:tx>
            <c:strRef>
              <c:f>Sheet1!$C$1</c:f>
              <c:strCache>
                <c:ptCount val="1"/>
                <c:pt idx="0">
                  <c:v>2022</c:v>
                </c:pt>
              </c:strCache>
            </c:strRef>
          </c:tx>
          <c:spPr>
            <a:solidFill>
              <a:schemeClr val="accent2"/>
            </a:solidFill>
            <a:ln>
              <a:noFill/>
            </a:ln>
            <a:effectLst/>
          </c:spPr>
          <c:invertIfNegative val="0"/>
          <c:dLbls>
            <c:delete val="1"/>
          </c:dLbls>
          <c:cat>
            <c:strRef>
              <c:f>Sheet1!$A$2:$A$3</c:f>
              <c:strCache>
                <c:ptCount val="2"/>
                <c:pt idx="0">
                  <c:v>收入</c:v>
                </c:pt>
                <c:pt idx="1">
                  <c:v>支出</c:v>
                </c:pt>
              </c:strCache>
            </c:strRef>
          </c:cat>
          <c:val>
            <c:numRef>
              <c:f>Sheet1!$C$2:$C$3</c:f>
              <c:numCache>
                <c:formatCode>General</c:formatCode>
                <c:ptCount val="2"/>
                <c:pt idx="0">
                  <c:v>7849.48</c:v>
                </c:pt>
                <c:pt idx="1">
                  <c:v>7849.48</c:v>
                </c:pt>
              </c:numCache>
            </c:numRef>
          </c:val>
        </c:ser>
        <c:dLbls>
          <c:showLegendKey val="0"/>
          <c:showVal val="0"/>
          <c:showCatName val="0"/>
          <c:showSerName val="0"/>
          <c:showPercent val="0"/>
          <c:showBubbleSize val="0"/>
        </c:dLbls>
        <c:gapWidth val="246"/>
        <c:overlap val="-28"/>
        <c:axId val="734957165"/>
        <c:axId val="496812660"/>
      </c:barChart>
      <c:catAx>
        <c:axId val="734957165"/>
        <c:scaling>
          <c:orientation val="minMax"/>
        </c:scaling>
        <c:delete val="0"/>
        <c:axPos val="b"/>
        <c:title>
          <c:tx>
            <c:rich>
              <a:bodyPr rot="0" spcFirstLastPara="0" vertOverflow="ellipsis" vert="horz" wrap="square" anchor="ctr" anchorCtr="1"/>
              <a:lstStyle/>
              <a:p>
                <a:pPr defTabSz="914400">
                  <a:defRPr lang="zh-CN" sz="1000" b="1" i="0" u="none" strike="noStrike" kern="1200" baseline="0">
                    <a:solidFill>
                      <a:schemeClr val="tx1">
                        <a:lumMod val="65000"/>
                        <a:lumOff val="35000"/>
                      </a:schemeClr>
                    </a:solidFill>
                    <a:latin typeface="+mn-lt"/>
                    <a:ea typeface="+mn-ea"/>
                    <a:cs typeface="+mn-cs"/>
                  </a:defRPr>
                </a:pPr>
                <a:r>
                  <a:rPr b="1"/>
                  <a:t>单位：万元</a:t>
                </a:r>
                <a:endParaRPr b="1"/>
              </a:p>
            </c:rich>
          </c:tx>
          <c:layout>
            <c:manualLayout>
              <c:xMode val="edge"/>
              <c:yMode val="edge"/>
              <c:x val="0.748828219376661"/>
              <c:y val="0.0380365490862728"/>
            </c:manualLayout>
          </c:layout>
          <c:overlay val="0"/>
          <c:spPr>
            <a:noFill/>
            <a:ln>
              <a:noFill/>
            </a:ln>
            <a:effectLst/>
          </c:spPr>
        </c:title>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96812660"/>
        <c:crosses val="autoZero"/>
        <c:auto val="1"/>
        <c:lblAlgn val="ctr"/>
        <c:lblOffset val="100"/>
        <c:noMultiLvlLbl val="0"/>
      </c:catAx>
      <c:valAx>
        <c:axId val="496812660"/>
        <c:scaling>
          <c:orientation val="minMax"/>
        </c:scaling>
        <c:delete val="0"/>
        <c:axPos val="l"/>
        <c:majorGridlines>
          <c:spPr>
            <a:ln w="9525" cap="flat" cmpd="sng" algn="ctr">
              <a:solidFill>
                <a:schemeClr val="bg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34957165"/>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75000"/>
                    <a:lumOff val="25000"/>
                  </a:schemeClr>
                </a:solidFill>
                <a:latin typeface="+mn-lt"/>
                <a:ea typeface="+mn-ea"/>
                <a:cs typeface="+mn-cs"/>
              </a:defRPr>
            </a:pPr>
            <a:r>
              <a:t>一般公共预算财政拨款支出决算变动情况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2021</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一般公共预算财政拨款支出</c:v>
                </c:pt>
              </c:strCache>
            </c:strRef>
          </c:cat>
          <c:val>
            <c:numRef>
              <c:f>Sheet1!$B$2</c:f>
              <c:numCache>
                <c:formatCode>General</c:formatCode>
                <c:ptCount val="1"/>
                <c:pt idx="0">
                  <c:v>7394.56</c:v>
                </c:pt>
              </c:numCache>
            </c:numRef>
          </c:val>
        </c:ser>
        <c:ser>
          <c:idx val="1"/>
          <c:order val="1"/>
          <c:tx>
            <c:strRef>
              <c:f>Sheet1!$C$1</c:f>
              <c:strCache>
                <c:ptCount val="1"/>
                <c:pt idx="0">
                  <c:v>2022</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一般公共预算财政拨款支出</c:v>
                </c:pt>
              </c:strCache>
            </c:strRef>
          </c:cat>
          <c:val>
            <c:numRef>
              <c:f>Sheet1!$C$2</c:f>
              <c:numCache>
                <c:formatCode>General</c:formatCode>
                <c:ptCount val="1"/>
                <c:pt idx="0">
                  <c:v>7480.97</c:v>
                </c:pt>
              </c:numCache>
            </c:numRef>
          </c:val>
        </c:ser>
        <c:dLbls>
          <c:showLegendKey val="0"/>
          <c:showVal val="1"/>
          <c:showCatName val="0"/>
          <c:showSerName val="0"/>
          <c:showPercent val="0"/>
          <c:showBubbleSize val="0"/>
        </c:dLbls>
        <c:gapWidth val="216"/>
        <c:overlap val="-32"/>
        <c:axId val="480314374"/>
        <c:axId val="922609165"/>
      </c:barChart>
      <c:catAx>
        <c:axId val="480314374"/>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22609165"/>
        <c:crosses val="autoZero"/>
        <c:auto val="1"/>
        <c:lblAlgn val="ctr"/>
        <c:lblOffset val="100"/>
        <c:noMultiLvlLbl val="0"/>
      </c:catAx>
      <c:valAx>
        <c:axId val="922609165"/>
        <c:scaling>
          <c:orientation val="minMax"/>
        </c:scaling>
        <c:delete val="0"/>
        <c:axPos val="l"/>
        <c:majorGridlines>
          <c:spPr>
            <a:ln w="9525" cap="flat" cmpd="sng" algn="ctr">
              <a:solidFill>
                <a:schemeClr val="bg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80314374"/>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75000"/>
                    <a:lumOff val="25000"/>
                  </a:schemeClr>
                </a:solidFill>
                <a:latin typeface="+mn-lt"/>
                <a:ea typeface="+mn-ea"/>
                <a:cs typeface="+mn-cs"/>
              </a:defRPr>
            </a:pPr>
            <a:r>
              <a:t>一般公共预算财政拨款支出决算结构图</a:t>
            </a:r>
          </a:p>
        </c:rich>
      </c:tx>
      <c:layout/>
      <c:overlay val="0"/>
      <c:spPr>
        <a:noFill/>
        <a:ln>
          <a:noFill/>
        </a:ln>
        <a:effectLst/>
      </c:spPr>
    </c:title>
    <c:autoTitleDeleted val="0"/>
    <c:plotArea>
      <c:layout/>
      <c:pieChart>
        <c:varyColors val="1"/>
        <c:ser>
          <c:idx val="0"/>
          <c:order val="0"/>
          <c:tx>
            <c:strRef>
              <c:f>Sheet1!$B$1</c:f>
              <c:strCache>
                <c:ptCount val="1"/>
                <c:pt idx="0">
                  <c:v>销售额</c:v>
                </c:pt>
              </c:strCache>
            </c:strRef>
          </c:tx>
          <c:spPr/>
          <c:explosion val="0"/>
          <c:dPt>
            <c:idx val="0"/>
            <c:bubble3D val="0"/>
            <c:spPr>
              <a:gradFill>
                <a:gsLst>
                  <a:gs pos="100000">
                    <a:schemeClr val="accent1"/>
                  </a:gs>
                  <a:gs pos="0">
                    <a:schemeClr val="accent1">
                      <a:hueOff val="-1670000"/>
                    </a:schemeClr>
                  </a:gs>
                </a:gsLst>
                <a:lin ang="5400000" scaled="0"/>
              </a:gradFill>
              <a:ln>
                <a:gradFill>
                  <a:gsLst>
                    <a:gs pos="100000">
                      <a:schemeClr val="accent1">
                        <a:lumMod val="75000"/>
                      </a:schemeClr>
                    </a:gs>
                    <a:gs pos="0">
                      <a:schemeClr val="accent1">
                        <a:lumMod val="75000"/>
                        <a:hueOff val="-1670000"/>
                      </a:schemeClr>
                    </a:gs>
                  </a:gsLst>
                  <a:lin ang="4620000" scaled="0"/>
                </a:gradFill>
              </a:ln>
              <a:effectLst/>
            </c:spPr>
          </c:dPt>
          <c:dPt>
            <c:idx val="1"/>
            <c:bubble3D val="0"/>
            <c:spPr>
              <a:gradFill>
                <a:gsLst>
                  <a:gs pos="100000">
                    <a:schemeClr val="accent2"/>
                  </a:gs>
                  <a:gs pos="0">
                    <a:schemeClr val="accent2">
                      <a:hueOff val="-1670000"/>
                    </a:schemeClr>
                  </a:gs>
                </a:gsLst>
                <a:lin ang="5400000" scaled="0"/>
              </a:gradFill>
              <a:ln>
                <a:gradFill>
                  <a:gsLst>
                    <a:gs pos="100000">
                      <a:schemeClr val="accent2">
                        <a:lumMod val="75000"/>
                      </a:schemeClr>
                    </a:gs>
                    <a:gs pos="0">
                      <a:schemeClr val="accent2">
                        <a:lumMod val="75000"/>
                        <a:hueOff val="-1670000"/>
                      </a:schemeClr>
                    </a:gs>
                  </a:gsLst>
                  <a:lin ang="4620000" scaled="0"/>
                </a:gradFill>
              </a:ln>
              <a:effectLst/>
            </c:spPr>
          </c:dPt>
          <c:dPt>
            <c:idx val="2"/>
            <c:bubble3D val="0"/>
            <c:spPr>
              <a:gradFill>
                <a:gsLst>
                  <a:gs pos="100000">
                    <a:schemeClr val="accent3"/>
                  </a:gs>
                  <a:gs pos="0">
                    <a:schemeClr val="accent3">
                      <a:hueOff val="-1670000"/>
                    </a:schemeClr>
                  </a:gs>
                </a:gsLst>
                <a:lin ang="5400000" scaled="0"/>
              </a:gradFill>
              <a:ln>
                <a:gradFill>
                  <a:gsLst>
                    <a:gs pos="100000">
                      <a:schemeClr val="accent3">
                        <a:lumMod val="75000"/>
                      </a:schemeClr>
                    </a:gs>
                    <a:gs pos="0">
                      <a:schemeClr val="accent3">
                        <a:lumMod val="75000"/>
                        <a:hueOff val="-1670000"/>
                      </a:schemeClr>
                    </a:gs>
                  </a:gsLst>
                  <a:lin ang="4620000" scaled="0"/>
                </a:gradFill>
              </a:ln>
              <a:effectLst/>
            </c:spPr>
          </c:dPt>
          <c:dPt>
            <c:idx val="3"/>
            <c:bubble3D val="0"/>
            <c:spPr>
              <a:gradFill>
                <a:gsLst>
                  <a:gs pos="100000">
                    <a:schemeClr val="accent4"/>
                  </a:gs>
                  <a:gs pos="0">
                    <a:schemeClr val="accent4">
                      <a:hueOff val="-1670000"/>
                    </a:schemeClr>
                  </a:gs>
                </a:gsLst>
                <a:lin ang="5400000" scaled="0"/>
              </a:gradFill>
              <a:ln>
                <a:gradFill>
                  <a:gsLst>
                    <a:gs pos="100000">
                      <a:schemeClr val="accent4">
                        <a:lumMod val="75000"/>
                      </a:schemeClr>
                    </a:gs>
                    <a:gs pos="0">
                      <a:schemeClr val="accent4">
                        <a:lumMod val="75000"/>
                        <a:hueOff val="-1670000"/>
                      </a:schemeClr>
                    </a:gs>
                  </a:gsLst>
                  <a:lin ang="4620000" scaled="0"/>
                </a:gradFill>
              </a:ln>
              <a:effectLst/>
            </c:spPr>
          </c:dPt>
          <c:dPt>
            <c:idx val="4"/>
            <c:bubble3D val="0"/>
            <c:spPr>
              <a:gradFill>
                <a:gsLst>
                  <a:gs pos="100000">
                    <a:schemeClr val="accent5"/>
                  </a:gs>
                  <a:gs pos="0">
                    <a:schemeClr val="accent5">
                      <a:hueOff val="-1670000"/>
                    </a:schemeClr>
                  </a:gs>
                </a:gsLst>
                <a:lin ang="5400000" scaled="0"/>
              </a:gradFill>
              <a:ln>
                <a:gradFill>
                  <a:gsLst>
                    <a:gs pos="100000">
                      <a:schemeClr val="accent5">
                        <a:lumMod val="75000"/>
                      </a:schemeClr>
                    </a:gs>
                    <a:gs pos="0">
                      <a:schemeClr val="accent5">
                        <a:lumMod val="75000"/>
                        <a:hueOff val="-1670000"/>
                      </a:schemeClr>
                    </a:gs>
                  </a:gsLst>
                  <a:lin ang="4620000" scaled="0"/>
                </a:gradFill>
              </a:ln>
              <a:effectLst/>
            </c:spPr>
          </c:dPt>
          <c:dPt>
            <c:idx val="5"/>
            <c:bubble3D val="0"/>
            <c:spPr>
              <a:gradFill>
                <a:gsLst>
                  <a:gs pos="100000">
                    <a:schemeClr val="accent6"/>
                  </a:gs>
                  <a:gs pos="0">
                    <a:schemeClr val="accent6">
                      <a:hueOff val="-1670000"/>
                    </a:schemeClr>
                  </a:gs>
                </a:gsLst>
                <a:lin ang="5400000" scaled="0"/>
              </a:gradFill>
              <a:ln>
                <a:gradFill>
                  <a:gsLst>
                    <a:gs pos="100000">
                      <a:schemeClr val="accent6">
                        <a:lumMod val="75000"/>
                      </a:schemeClr>
                    </a:gs>
                    <a:gs pos="0">
                      <a:schemeClr val="accent6">
                        <a:lumMod val="75000"/>
                        <a:hueOff val="-1670000"/>
                      </a:schemeClr>
                    </a:gs>
                  </a:gsLst>
                  <a:lin ang="4620000" scaled="0"/>
                </a:gradFill>
              </a:ln>
              <a:effectLst/>
            </c:spPr>
          </c:dPt>
          <c:dPt>
            <c:idx val="6"/>
            <c:bubble3D val="0"/>
            <c:spPr>
              <a:gradFill>
                <a:gsLst>
                  <a:gs pos="100000">
                    <a:schemeClr val="accent1">
                      <a:lumMod val="60000"/>
                    </a:schemeClr>
                  </a:gs>
                  <a:gs pos="0">
                    <a:schemeClr val="accent1">
                      <a:lumMod val="60000"/>
                      <a:hueOff val="-1670000"/>
                    </a:schemeClr>
                  </a:gs>
                </a:gsLst>
                <a:lin ang="5400000" scaled="0"/>
              </a:gradFill>
              <a:ln>
                <a:gradFill>
                  <a:gsLst>
                    <a:gs pos="100000">
                      <a:schemeClr val="accent1">
                        <a:lumMod val="60000"/>
                        <a:lumMod val="75000"/>
                      </a:schemeClr>
                    </a:gs>
                    <a:gs pos="0">
                      <a:schemeClr val="accent1">
                        <a:lumMod val="60000"/>
                        <a:lumMod val="75000"/>
                        <a:hueOff val="-1670000"/>
                      </a:schemeClr>
                    </a:gs>
                  </a:gsLst>
                  <a:lin ang="4620000" scaled="0"/>
                </a:gradFill>
              </a:ln>
              <a:effectLst/>
            </c:spPr>
          </c:dPt>
          <c:dPt>
            <c:idx val="7"/>
            <c:bubble3D val="0"/>
            <c:spPr>
              <a:gradFill>
                <a:gsLst>
                  <a:gs pos="100000">
                    <a:schemeClr val="accent2">
                      <a:lumMod val="60000"/>
                    </a:schemeClr>
                  </a:gs>
                  <a:gs pos="0">
                    <a:schemeClr val="accent2">
                      <a:lumMod val="60000"/>
                      <a:hueOff val="-1670000"/>
                    </a:schemeClr>
                  </a:gs>
                </a:gsLst>
                <a:lin ang="5400000" scaled="0"/>
              </a:gradFill>
              <a:ln>
                <a:gradFill>
                  <a:gsLst>
                    <a:gs pos="100000">
                      <a:schemeClr val="accent2">
                        <a:lumMod val="60000"/>
                        <a:lumMod val="75000"/>
                      </a:schemeClr>
                    </a:gs>
                    <a:gs pos="0">
                      <a:schemeClr val="accent2">
                        <a:lumMod val="60000"/>
                        <a:lumMod val="75000"/>
                        <a:hueOff val="-1670000"/>
                      </a:schemeClr>
                    </a:gs>
                  </a:gsLst>
                  <a:lin ang="4620000" scaled="0"/>
                </a:gradFill>
              </a:ln>
              <a:effectLst/>
            </c:spPr>
          </c:dPt>
          <c:dPt>
            <c:idx val="8"/>
            <c:bubble3D val="0"/>
            <c:spPr>
              <a:gradFill>
                <a:gsLst>
                  <a:gs pos="100000">
                    <a:schemeClr val="accent3">
                      <a:lumMod val="60000"/>
                    </a:schemeClr>
                  </a:gs>
                  <a:gs pos="0">
                    <a:schemeClr val="accent3">
                      <a:lumMod val="60000"/>
                      <a:hueOff val="-1670000"/>
                    </a:schemeClr>
                  </a:gs>
                </a:gsLst>
                <a:lin ang="5400000" scaled="0"/>
              </a:gradFill>
              <a:ln>
                <a:gradFill>
                  <a:gsLst>
                    <a:gs pos="100000">
                      <a:schemeClr val="accent3">
                        <a:lumMod val="60000"/>
                        <a:lumMod val="75000"/>
                      </a:schemeClr>
                    </a:gs>
                    <a:gs pos="0">
                      <a:schemeClr val="accent3">
                        <a:lumMod val="60000"/>
                        <a:lumMod val="75000"/>
                        <a:hueOff val="-1670000"/>
                      </a:schemeClr>
                    </a:gs>
                  </a:gsLst>
                  <a:lin ang="4620000" scaled="0"/>
                </a:gradFill>
              </a:ln>
              <a:effectLst/>
            </c:spPr>
          </c:dPt>
          <c:dPt>
            <c:idx val="9"/>
            <c:bubble3D val="0"/>
            <c:spPr>
              <a:gradFill>
                <a:gsLst>
                  <a:gs pos="100000">
                    <a:schemeClr val="accent4">
                      <a:lumMod val="60000"/>
                    </a:schemeClr>
                  </a:gs>
                  <a:gs pos="0">
                    <a:schemeClr val="accent4">
                      <a:lumMod val="60000"/>
                      <a:hueOff val="-1670000"/>
                    </a:schemeClr>
                  </a:gs>
                </a:gsLst>
                <a:lin ang="5400000" scaled="0"/>
              </a:gradFill>
              <a:ln>
                <a:gradFill>
                  <a:gsLst>
                    <a:gs pos="100000">
                      <a:schemeClr val="accent4">
                        <a:lumMod val="60000"/>
                        <a:lumMod val="75000"/>
                      </a:schemeClr>
                    </a:gs>
                    <a:gs pos="0">
                      <a:schemeClr val="accent4">
                        <a:lumMod val="60000"/>
                        <a:lumMod val="75000"/>
                        <a:hueOff val="-1670000"/>
                      </a:schemeClr>
                    </a:gs>
                  </a:gsLst>
                  <a:lin ang="4620000" scaled="0"/>
                </a:gradFill>
              </a:ln>
              <a:effectLst/>
            </c:spPr>
          </c:dPt>
          <c:dLbls>
            <c:dLbl>
              <c:idx val="1"/>
              <c:layout>
                <c:manualLayout>
                  <c:x val="0.0430055568978014"/>
                  <c:y val="0.0093497662558436"/>
                </c:manualLayout>
              </c:layout>
              <c:dLblPos val="bestFit"/>
              <c:showLegendKey val="0"/>
              <c:showVal val="1"/>
              <c:showCatName val="1"/>
              <c:showSerName val="0"/>
              <c:showPercent val="0"/>
              <c:showBubbleSize val="0"/>
              <c:extLst>
                <c:ext xmlns:c15="http://schemas.microsoft.com/office/drawing/2012/chart" uri="{CE6537A1-D6FC-4f65-9D91-7224C49458BB}">
                  <c15:layout/>
                </c:ext>
              </c:extLst>
            </c:dLbl>
            <c:dLbl>
              <c:idx val="2"/>
              <c:layout>
                <c:manualLayout>
                  <c:x val="0"/>
                  <c:y val="0.0471738206544836"/>
                </c:manualLayout>
              </c:layout>
              <c:dLblPos val="bestFit"/>
              <c:showLegendKey val="0"/>
              <c:showVal val="1"/>
              <c:showCatName val="1"/>
              <c:showSerName val="0"/>
              <c:showPercent val="0"/>
              <c:showBubbleSize val="0"/>
              <c:extLst>
                <c:ext xmlns:c15="http://schemas.microsoft.com/office/drawing/2012/chart" uri="{CE6537A1-D6FC-4f65-9D91-7224C49458BB}">
                  <c15:layout/>
                </c:ext>
              </c:extLst>
            </c:dLbl>
            <c:dLbl>
              <c:idx val="4"/>
              <c:layout>
                <c:manualLayout>
                  <c:x val="0.124788596279295"/>
                  <c:y val="0"/>
                </c:manualLayout>
              </c:layout>
              <c:dLblPos val="bestFit"/>
              <c:showLegendKey val="0"/>
              <c:showVal val="1"/>
              <c:showCatName val="1"/>
              <c:showSerName val="0"/>
              <c:showPercent val="0"/>
              <c:showBubbleSize val="0"/>
              <c:extLst>
                <c:ext xmlns:c15="http://schemas.microsoft.com/office/drawing/2012/chart" uri="{CE6537A1-D6FC-4f65-9D91-7224C49458BB}">
                  <c15:layout/>
                </c:ext>
              </c:extLst>
            </c:dLbl>
            <c:dLbl>
              <c:idx val="5"/>
              <c:layout/>
              <c:dLblPos val="bestFit"/>
              <c:showLegendKey val="0"/>
              <c:showVal val="1"/>
              <c:showCatName val="1"/>
              <c:showSerName val="0"/>
              <c:showPercent val="0"/>
              <c:showBubbleSize val="0"/>
              <c:extLst>
                <c:ext xmlns:c15="http://schemas.microsoft.com/office/drawing/2012/chart" uri="{CE6537A1-D6FC-4f65-9D91-7224C49458BB}">
                  <c15:layout/>
                </c:ext>
              </c:extLst>
            </c:dLbl>
            <c:dLbl>
              <c:idx val="6"/>
              <c:layout>
                <c:manualLayout>
                  <c:x val="0.0200531529354917"/>
                  <c:y val="-0.15809604759881"/>
                </c:manualLayout>
              </c:layout>
              <c:dLblPos val="bestFit"/>
              <c:showLegendKey val="0"/>
              <c:showVal val="1"/>
              <c:showCatName val="1"/>
              <c:showSerName val="0"/>
              <c:showPercent val="0"/>
              <c:showBubbleSize val="0"/>
              <c:extLst>
                <c:ext xmlns:c15="http://schemas.microsoft.com/office/drawing/2012/chart" uri="{CE6537A1-D6FC-4f65-9D91-7224C49458BB}">
                  <c15:layout/>
                </c:ext>
              </c:extLst>
            </c:dLbl>
            <c:dLbl>
              <c:idx val="7"/>
              <c:layout>
                <c:manualLayout>
                  <c:x val="-0.122130949504711"/>
                  <c:y val="-0.0660858478538037"/>
                </c:manualLayout>
              </c:layout>
              <c:dLblPos val="bestFit"/>
              <c:showLegendKey val="0"/>
              <c:showVal val="1"/>
              <c:showCatName val="1"/>
              <c:showSerName val="0"/>
              <c:showPercent val="0"/>
              <c:showBubbleSize val="0"/>
              <c:extLst>
                <c:ext xmlns:c15="http://schemas.microsoft.com/office/drawing/2012/chart" uri="{CE6537A1-D6FC-4f65-9D91-7224C49458BB}">
                  <c15:layout/>
                </c:ext>
              </c:extLst>
            </c:dLbl>
            <c:dLbl>
              <c:idx val="9"/>
              <c:layout>
                <c:manualLayout>
                  <c:x val="-0.0791253926069099"/>
                  <c:y val="0.0259243518912027"/>
                </c:manualLayout>
              </c:layout>
              <c:dLblPos val="bestFit"/>
              <c:showLegendKey val="0"/>
              <c:showVal val="1"/>
              <c:showCatName val="1"/>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1"/>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Sheet1!$A$2:$A$11</c:f>
              <c:strCache>
                <c:ptCount val="10"/>
                <c:pt idx="0">
                  <c:v>一般公共服务支出</c:v>
                </c:pt>
                <c:pt idx="1">
                  <c:v>文化旅游体育与传媒支出</c:v>
                </c:pt>
                <c:pt idx="2">
                  <c:v>国防支出</c:v>
                </c:pt>
                <c:pt idx="3">
                  <c:v>社会保障和就业支出</c:v>
                </c:pt>
                <c:pt idx="4">
                  <c:v>卫生健康支出</c:v>
                </c:pt>
                <c:pt idx="5">
                  <c:v>住房保障支出</c:v>
                </c:pt>
                <c:pt idx="6">
                  <c:v>节能环保支出</c:v>
                </c:pt>
                <c:pt idx="7">
                  <c:v>城乡社区支出</c:v>
                </c:pt>
                <c:pt idx="8">
                  <c:v>农林水支出</c:v>
                </c:pt>
                <c:pt idx="9">
                  <c:v>灾害防治及应急管理支出</c:v>
                </c:pt>
              </c:strCache>
            </c:strRef>
          </c:cat>
          <c:val>
            <c:numRef>
              <c:f>Sheet1!$B$2:$B$11</c:f>
              <c:numCache>
                <c:formatCode>General</c:formatCode>
                <c:ptCount val="10"/>
                <c:pt idx="0">
                  <c:v>773.58</c:v>
                </c:pt>
                <c:pt idx="1">
                  <c:v>197.89</c:v>
                </c:pt>
                <c:pt idx="2">
                  <c:v>5</c:v>
                </c:pt>
                <c:pt idx="3">
                  <c:v>2286.25</c:v>
                </c:pt>
                <c:pt idx="4">
                  <c:v>726.65</c:v>
                </c:pt>
                <c:pt idx="5">
                  <c:v>382.72</c:v>
                </c:pt>
                <c:pt idx="6">
                  <c:v>35.8</c:v>
                </c:pt>
                <c:pt idx="7">
                  <c:v>189.04</c:v>
                </c:pt>
                <c:pt idx="8">
                  <c:v>2871.04</c:v>
                </c:pt>
                <c:pt idx="9">
                  <c:v>13</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lt1">
        <a:lumMod val="96000"/>
      </a:schemeClr>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8">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lt1">
          <a:lumMod val="96000"/>
        </a:schemeClr>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gradFill>
        <a:gsLst>
          <a:gs pos="100000">
            <a:schemeClr val="phClr"/>
          </a:gs>
          <a:gs pos="0">
            <a:schemeClr val="phClr">
              <a:hueOff val="-1670000"/>
            </a:schemeClr>
          </a:gs>
        </a:gsLst>
        <a:lin ang="5400000" scaled="0"/>
      </a:gradFill>
      <a:ln>
        <a:gradFill>
          <a:gsLst>
            <a:gs pos="100000">
              <a:schemeClr val="phClr">
                <a:lumMod val="75000"/>
              </a:schemeClr>
            </a:gs>
            <a:gs pos="0">
              <a:schemeClr val="phClr">
                <a:lumMod val="75000"/>
                <a:hueOff val="-1670000"/>
              </a:schemeClr>
            </a:gs>
          </a:gsLst>
          <a:lin ang="4620000" scaled="0"/>
        </a:gra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0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四川省财政厅</Company>
  <Pages>21</Pages>
  <Words>1189</Words>
  <Characters>6781</Characters>
  <Lines>56</Lines>
  <Paragraphs>15</Paragraphs>
  <TotalTime>3</TotalTime>
  <ScaleCrop>false</ScaleCrop>
  <LinksUpToDate>false</LinksUpToDate>
  <CharactersWithSpaces>7955</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温柔</cp:lastModifiedBy>
  <cp:lastPrinted>2023-07-31T02:35:00Z</cp:lastPrinted>
  <dcterms:modified xsi:type="dcterms:W3CDTF">2023-10-26T03:35:59Z</dcterms:modified>
  <dc:title>四川省***</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A683B0ED30724B51AD6C64FBF4887DA3</vt:lpwstr>
  </property>
</Properties>
</file>