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sz w:val="72"/>
          <w:szCs w:val="72"/>
        </w:rPr>
      </w:pPr>
      <w:bookmarkStart w:id="0" w:name="_Toc15378441"/>
      <w:bookmarkStart w:id="1" w:name="_Toc15377193"/>
      <w:bookmarkStart w:id="2" w:name="_Toc15396475"/>
      <w:bookmarkStart w:id="3" w:name="_Toc15396597"/>
      <w:bookmarkStart w:id="4" w:name="_Toc15377425"/>
      <w:bookmarkStart w:id="5" w:name="_Toc15306267"/>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2022年度</w:t>
      </w:r>
      <w:bookmarkEnd w:id="0"/>
      <w:bookmarkEnd w:id="1"/>
      <w:bookmarkEnd w:id="2"/>
      <w:bookmarkEnd w:id="3"/>
      <w:bookmarkEnd w:id="4"/>
    </w:p>
    <w:bookmarkEnd w:id="5"/>
    <w:p>
      <w:pPr>
        <w:adjustRightInd w:val="0"/>
        <w:snapToGrid w:val="0"/>
        <w:spacing w:line="360" w:lineRule="auto"/>
        <w:jc w:val="center"/>
        <w:outlineLvl w:val="0"/>
        <w:rPr>
          <w:rFonts w:hint="eastAsia" w:ascii="方正小标宋简体" w:hAnsi="方正小标宋简体" w:eastAsia="方正小标宋简体" w:cs="方正小标宋简体"/>
          <w:sz w:val="72"/>
          <w:szCs w:val="72"/>
          <w:lang w:eastAsia="zh-CN"/>
        </w:rPr>
      </w:pPr>
      <w:bookmarkStart w:id="6" w:name="_Toc15378442"/>
      <w:bookmarkStart w:id="7" w:name="_Toc15377194"/>
      <w:bookmarkStart w:id="8" w:name="_Toc15396476"/>
      <w:bookmarkStart w:id="9" w:name="_Toc15377426"/>
      <w:bookmarkStart w:id="10" w:name="_Toc15396598"/>
      <w:bookmarkStart w:id="11" w:name="_Toc15306268"/>
      <w:r>
        <w:rPr>
          <w:rFonts w:hint="eastAsia" w:ascii="方正小标宋简体" w:hAnsi="方正小标宋简体" w:eastAsia="方正小标宋简体" w:cs="方正小标宋简体"/>
          <w:sz w:val="72"/>
          <w:szCs w:val="72"/>
          <w:lang w:eastAsia="zh-CN"/>
        </w:rPr>
        <w:t>中共乐至县委老干部局</w:t>
      </w:r>
    </w:p>
    <w:p>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决算</w:t>
      </w:r>
      <w:bookmarkEnd w:id="6"/>
      <w:bookmarkEnd w:id="7"/>
      <w:bookmarkEnd w:id="8"/>
      <w:bookmarkEnd w:id="9"/>
      <w:bookmarkEnd w:id="10"/>
      <w:bookmarkEnd w:id="11"/>
    </w:p>
    <w:p>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pPr>
        <w:widowControl/>
        <w:jc w:val="center"/>
        <w:rPr>
          <w:rFonts w:ascii="黑体" w:hAnsi="黑体" w:eastAsia="黑体" w:cstheme="minorBidi"/>
          <w:sz w:val="28"/>
          <w:szCs w:val="28"/>
        </w:rPr>
      </w:pPr>
    </w:p>
    <w:p>
      <w:pPr>
        <w:pStyle w:val="12"/>
      </w:pPr>
      <w:r>
        <w:rPr>
          <w:rFonts w:hint="eastAsia"/>
        </w:rPr>
        <w:t>公开时间：2023年</w:t>
      </w:r>
      <w:r>
        <w:rPr>
          <w:rFonts w:hint="eastAsia"/>
          <w:lang w:val="en-US" w:eastAsia="zh-CN"/>
        </w:rPr>
        <w:t>10</w:t>
      </w:r>
      <w:r>
        <w:rPr>
          <w:rFonts w:hint="eastAsia"/>
        </w:rPr>
        <w:t>月</w:t>
      </w:r>
      <w:r>
        <w:rPr>
          <w:rFonts w:hint="eastAsia"/>
          <w:lang w:val="en-US" w:eastAsia="zh-CN"/>
        </w:rPr>
        <w:t>19</w:t>
      </w:r>
      <w:r>
        <w:rPr>
          <w:rFonts w:hint="eastAsia"/>
        </w:rPr>
        <w:t>日</w:t>
      </w:r>
    </w:p>
    <w:p/>
    <w:p>
      <w:pPr>
        <w:pStyle w:val="12"/>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部门概况</w:t>
      </w:r>
    </w:p>
    <w:p>
      <w:pPr>
        <w:pStyle w:val="13"/>
        <w:adjustRightInd w:val="0"/>
        <w:snapToGrid w:val="0"/>
        <w:spacing w:line="440" w:lineRule="exact"/>
        <w:jc w:val="left"/>
      </w:pPr>
      <w:r>
        <w:rPr>
          <w:rFonts w:hint="eastAsia"/>
          <w:sz w:val="24"/>
        </w:rPr>
        <w:t>一、部门职责</w:t>
      </w:r>
    </w:p>
    <w:p>
      <w:pPr>
        <w:pStyle w:val="13"/>
        <w:adjustRightInd w:val="0"/>
        <w:snapToGrid w:val="0"/>
        <w:spacing w:line="440" w:lineRule="exact"/>
        <w:jc w:val="left"/>
        <w:rPr>
          <w:rFonts w:ascii="仿宋" w:hAnsi="仿宋" w:eastAsia="仿宋" w:cstheme="minorBidi"/>
          <w:sz w:val="24"/>
        </w:rPr>
      </w:pPr>
      <w:r>
        <w:rPr>
          <w:rFonts w:hint="eastAsia"/>
          <w:sz w:val="24"/>
        </w:rPr>
        <w:t>二、机构设置</w:t>
      </w:r>
    </w:p>
    <w:p>
      <w:pPr>
        <w:pStyle w:val="12"/>
        <w:adjustRightInd w:val="0"/>
        <w:snapToGrid w:val="0"/>
        <w:spacing w:before="0" w:line="440" w:lineRule="exact"/>
        <w:jc w:val="left"/>
        <w:rPr>
          <w:sz w:val="24"/>
          <w:szCs w:val="24"/>
        </w:rPr>
      </w:pPr>
      <w:r>
        <w:rPr>
          <w:rFonts w:hint="eastAsia"/>
          <w:sz w:val="24"/>
        </w:rPr>
        <w:t>第二部分 2022年度部门决算情况说明</w:t>
      </w:r>
    </w:p>
    <w:p>
      <w:pPr>
        <w:pStyle w:val="13"/>
        <w:adjustRightInd w:val="0"/>
        <w:snapToGrid w:val="0"/>
        <w:spacing w:line="440" w:lineRule="exact"/>
        <w:jc w:val="left"/>
        <w:rPr>
          <w:rFonts w:ascii="仿宋" w:hAnsi="仿宋" w:eastAsia="仿宋" w:cstheme="minorBidi"/>
          <w:sz w:val="24"/>
        </w:rPr>
      </w:pPr>
      <w:r>
        <w:rPr>
          <w:rFonts w:hint="eastAsia"/>
          <w:sz w:val="24"/>
        </w:rPr>
        <w:t>一、收入支出决算总体情况说明</w:t>
      </w:r>
    </w:p>
    <w:p>
      <w:pPr>
        <w:pStyle w:val="13"/>
        <w:adjustRightInd w:val="0"/>
        <w:snapToGrid w:val="0"/>
        <w:spacing w:line="440" w:lineRule="exact"/>
        <w:jc w:val="left"/>
        <w:rPr>
          <w:rFonts w:ascii="仿宋" w:hAnsi="仿宋" w:eastAsia="仿宋" w:cstheme="minorBidi"/>
          <w:sz w:val="24"/>
        </w:rPr>
      </w:pPr>
      <w:r>
        <w:rPr>
          <w:rFonts w:hint="eastAsia"/>
          <w:sz w:val="24"/>
        </w:rPr>
        <w:t>二、收入决算情况说明</w:t>
      </w:r>
    </w:p>
    <w:p>
      <w:pPr>
        <w:pStyle w:val="13"/>
        <w:adjustRightInd w:val="0"/>
        <w:snapToGrid w:val="0"/>
        <w:spacing w:line="440" w:lineRule="exact"/>
        <w:jc w:val="left"/>
        <w:rPr>
          <w:rFonts w:ascii="仿宋" w:hAnsi="仿宋" w:eastAsia="仿宋" w:cstheme="minorBidi"/>
          <w:sz w:val="24"/>
        </w:rPr>
      </w:pPr>
      <w:r>
        <w:rPr>
          <w:rFonts w:hint="eastAsia"/>
          <w:sz w:val="24"/>
        </w:rPr>
        <w:t>三、支出决算情况说明</w:t>
      </w:r>
    </w:p>
    <w:p>
      <w:pPr>
        <w:pStyle w:val="13"/>
        <w:adjustRightInd w:val="0"/>
        <w:snapToGrid w:val="0"/>
        <w:spacing w:line="440" w:lineRule="exact"/>
        <w:jc w:val="left"/>
        <w:rPr>
          <w:rFonts w:ascii="仿宋" w:hAnsi="仿宋" w:eastAsia="仿宋" w:cstheme="minorBidi"/>
          <w:sz w:val="24"/>
        </w:rPr>
      </w:pPr>
      <w:r>
        <w:rPr>
          <w:rFonts w:hint="eastAsia"/>
          <w:sz w:val="24"/>
        </w:rPr>
        <w:t>四、财政拨款收入支出决算总体情况说明</w:t>
      </w:r>
    </w:p>
    <w:p>
      <w:pPr>
        <w:pStyle w:val="13"/>
        <w:adjustRightInd w:val="0"/>
        <w:snapToGrid w:val="0"/>
        <w:spacing w:line="440" w:lineRule="exact"/>
        <w:jc w:val="left"/>
        <w:rPr>
          <w:rFonts w:ascii="仿宋" w:hAnsi="仿宋" w:eastAsia="仿宋" w:cstheme="minorBidi"/>
          <w:sz w:val="24"/>
        </w:rPr>
      </w:pPr>
      <w:r>
        <w:rPr>
          <w:rFonts w:hint="eastAsia"/>
          <w:sz w:val="24"/>
        </w:rPr>
        <w:t>五、一般公共预算财政拨款支出决算情况说明</w:t>
      </w:r>
    </w:p>
    <w:p>
      <w:pPr>
        <w:pStyle w:val="13"/>
        <w:adjustRightInd w:val="0"/>
        <w:snapToGrid w:val="0"/>
        <w:spacing w:line="440" w:lineRule="exact"/>
        <w:jc w:val="left"/>
        <w:rPr>
          <w:rFonts w:ascii="仿宋" w:hAnsi="仿宋" w:eastAsia="仿宋" w:cstheme="minorBidi"/>
          <w:sz w:val="24"/>
        </w:rPr>
      </w:pPr>
      <w:r>
        <w:rPr>
          <w:rFonts w:hint="eastAsia"/>
          <w:sz w:val="24"/>
        </w:rPr>
        <w:t>六、一般公共预算财政拨款基本支出决算情况说明</w:t>
      </w:r>
    </w:p>
    <w:p>
      <w:pPr>
        <w:pStyle w:val="13"/>
        <w:adjustRightInd w:val="0"/>
        <w:snapToGrid w:val="0"/>
        <w:spacing w:line="440" w:lineRule="exact"/>
        <w:jc w:val="left"/>
        <w:rPr>
          <w:rFonts w:ascii="仿宋" w:hAnsi="仿宋" w:eastAsia="仿宋" w:cstheme="minorBidi"/>
          <w:sz w:val="24"/>
        </w:rPr>
      </w:pPr>
      <w:r>
        <w:rPr>
          <w:rFonts w:hint="eastAsia"/>
          <w:sz w:val="24"/>
        </w:rPr>
        <w:t>七、财政拨款“三公”经费支出决算情况说明</w:t>
      </w:r>
    </w:p>
    <w:p>
      <w:pPr>
        <w:pStyle w:val="13"/>
        <w:adjustRightInd w:val="0"/>
        <w:snapToGrid w:val="0"/>
        <w:spacing w:line="440" w:lineRule="exact"/>
        <w:jc w:val="left"/>
        <w:rPr>
          <w:rFonts w:ascii="仿宋" w:hAnsi="仿宋" w:eastAsia="仿宋" w:cstheme="minorBidi"/>
          <w:sz w:val="24"/>
        </w:rPr>
      </w:pPr>
      <w:r>
        <w:rPr>
          <w:rFonts w:hint="eastAsia"/>
          <w:sz w:val="24"/>
        </w:rPr>
        <w:t>八、政府性基金预算支出决算情况说明</w:t>
      </w:r>
    </w:p>
    <w:p>
      <w:pPr>
        <w:pStyle w:val="13"/>
        <w:adjustRightInd w:val="0"/>
        <w:snapToGrid w:val="0"/>
        <w:spacing w:line="440" w:lineRule="exact"/>
        <w:ind w:leftChars="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九、国有资本经营预算支出决算情况说明</w:t>
      </w:r>
    </w:p>
    <w:p>
      <w:pPr>
        <w:adjustRightInd w:val="0"/>
        <w:snapToGrid w:val="0"/>
        <w:spacing w:line="440" w:lineRule="exact"/>
        <w:ind w:firstLine="420" w:firstLineChars="175"/>
        <w:jc w:val="left"/>
        <w:rPr>
          <w:rFonts w:asciiTheme="minorEastAsia" w:hAnsiTheme="minorEastAsia" w:eastAsiaTheme="minorEastAsia" w:cstheme="minorEastAsia"/>
          <w:sz w:val="24"/>
        </w:rPr>
      </w:pPr>
      <w:r>
        <w:rPr>
          <w:rStyle w:val="19"/>
          <w:rFonts w:hint="eastAsia" w:asciiTheme="minorEastAsia" w:hAnsiTheme="minorEastAsia" w:eastAsiaTheme="minorEastAsia" w:cstheme="minorEastAsia"/>
          <w:color w:val="auto"/>
          <w:sz w:val="24"/>
          <w:u w:val="none"/>
        </w:rPr>
        <w:t>十、</w:t>
      </w:r>
      <w:r>
        <w:rPr>
          <w:rFonts w:hint="eastAsia" w:asciiTheme="minorEastAsia" w:hAnsiTheme="minorEastAsia" w:eastAsiaTheme="minorEastAsia" w:cstheme="minorEastAsia"/>
          <w:sz w:val="24"/>
        </w:rPr>
        <w:t>其他重要事项的情况说明</w:t>
      </w:r>
      <w:r>
        <w:rPr>
          <w:rFonts w:hint="eastAsia" w:asciiTheme="minorEastAsia" w:hAnsiTheme="minorEastAsia" w:eastAsiaTheme="minorEastAsia" w:cstheme="minorEastAsia"/>
          <w:sz w:val="24"/>
        </w:rPr>
        <w:tab/>
      </w:r>
    </w:p>
    <w:p>
      <w:pPr>
        <w:pStyle w:val="12"/>
        <w:adjustRightInd w:val="0"/>
        <w:snapToGrid w:val="0"/>
        <w:spacing w:before="0" w:line="440" w:lineRule="exact"/>
        <w:jc w:val="left"/>
        <w:rPr>
          <w:rFonts w:cstheme="minorBidi"/>
          <w:sz w:val="24"/>
          <w:szCs w:val="24"/>
        </w:rPr>
      </w:pPr>
      <w:r>
        <w:rPr>
          <w:rFonts w:hint="eastAsia"/>
          <w:sz w:val="24"/>
        </w:rPr>
        <w:t>第三部分</w:t>
      </w:r>
      <w:r>
        <w:rPr>
          <w:sz w:val="24"/>
        </w:rPr>
        <w:t xml:space="preserve"> </w:t>
      </w:r>
      <w:r>
        <w:rPr>
          <w:rFonts w:hint="eastAsia"/>
          <w:sz w:val="24"/>
        </w:rPr>
        <w:t>名词解释</w:t>
      </w:r>
    </w:p>
    <w:p>
      <w:pPr>
        <w:pStyle w:val="12"/>
        <w:adjustRightInd w:val="0"/>
        <w:snapToGrid w:val="0"/>
        <w:spacing w:before="0" w:line="440" w:lineRule="exact"/>
        <w:jc w:val="left"/>
        <w:rPr>
          <w:rFonts w:cstheme="minorBidi"/>
          <w:sz w:val="24"/>
          <w:szCs w:val="24"/>
        </w:rPr>
      </w:pPr>
      <w:r>
        <w:rPr>
          <w:rFonts w:hint="eastAsia"/>
          <w:sz w:val="24"/>
        </w:rPr>
        <w:t>第四部分</w:t>
      </w:r>
      <w:r>
        <w:rPr>
          <w:sz w:val="24"/>
        </w:rPr>
        <w:t xml:space="preserve"> </w:t>
      </w:r>
      <w:r>
        <w:rPr>
          <w:rFonts w:hint="eastAsia"/>
          <w:sz w:val="24"/>
        </w:rPr>
        <w:t>附件</w:t>
      </w:r>
    </w:p>
    <w:p>
      <w:pPr>
        <w:pStyle w:val="12"/>
        <w:adjustRightInd w:val="0"/>
        <w:snapToGrid w:val="0"/>
        <w:spacing w:before="0" w:line="440" w:lineRule="exact"/>
        <w:jc w:val="left"/>
        <w:rPr>
          <w:rFonts w:cstheme="minorBidi"/>
          <w:sz w:val="24"/>
          <w:szCs w:val="24"/>
        </w:rPr>
      </w:pPr>
      <w:r>
        <w:rPr>
          <w:rFonts w:hint="eastAsia"/>
          <w:sz w:val="24"/>
        </w:rPr>
        <w:t>第五部分</w:t>
      </w:r>
      <w:r>
        <w:rPr>
          <w:sz w:val="24"/>
        </w:rPr>
        <w:t xml:space="preserve"> </w:t>
      </w:r>
      <w:r>
        <w:rPr>
          <w:rFonts w:hint="eastAsia"/>
          <w:sz w:val="24"/>
        </w:rPr>
        <w:t>附表</w:t>
      </w:r>
    </w:p>
    <w:p>
      <w:pPr>
        <w:pStyle w:val="13"/>
        <w:adjustRightInd w:val="0"/>
        <w:snapToGrid w:val="0"/>
        <w:spacing w:line="440" w:lineRule="exact"/>
        <w:jc w:val="left"/>
        <w:rPr>
          <w:sz w:val="24"/>
        </w:rPr>
      </w:pPr>
      <w:r>
        <w:rPr>
          <w:rFonts w:hint="eastAsia"/>
          <w:sz w:val="24"/>
        </w:rPr>
        <w:t>一、收入支出决算总表</w:t>
      </w:r>
    </w:p>
    <w:p>
      <w:pPr>
        <w:pStyle w:val="13"/>
        <w:adjustRightInd w:val="0"/>
        <w:snapToGrid w:val="0"/>
        <w:spacing w:line="440" w:lineRule="exact"/>
        <w:jc w:val="left"/>
        <w:rPr>
          <w:sz w:val="24"/>
        </w:rPr>
      </w:pPr>
      <w:r>
        <w:rPr>
          <w:rFonts w:hint="eastAsia"/>
          <w:sz w:val="24"/>
        </w:rPr>
        <w:t>二、收入决算表</w:t>
      </w:r>
    </w:p>
    <w:p>
      <w:pPr>
        <w:pStyle w:val="13"/>
        <w:adjustRightInd w:val="0"/>
        <w:snapToGrid w:val="0"/>
        <w:spacing w:line="440" w:lineRule="exact"/>
        <w:jc w:val="left"/>
        <w:rPr>
          <w:sz w:val="24"/>
        </w:rPr>
      </w:pPr>
      <w:r>
        <w:rPr>
          <w:rFonts w:hint="eastAsia"/>
          <w:sz w:val="24"/>
        </w:rPr>
        <w:t>三、支出决算表</w:t>
      </w:r>
    </w:p>
    <w:p>
      <w:pPr>
        <w:pStyle w:val="13"/>
        <w:adjustRightInd w:val="0"/>
        <w:snapToGrid w:val="0"/>
        <w:spacing w:line="440" w:lineRule="exact"/>
        <w:jc w:val="left"/>
        <w:rPr>
          <w:sz w:val="24"/>
        </w:rPr>
      </w:pPr>
      <w:r>
        <w:rPr>
          <w:rFonts w:hint="eastAsia"/>
          <w:sz w:val="24"/>
        </w:rPr>
        <w:t>四、财政拨款收入支出决算总表</w:t>
      </w:r>
    </w:p>
    <w:p>
      <w:pPr>
        <w:pStyle w:val="13"/>
        <w:adjustRightInd w:val="0"/>
        <w:snapToGrid w:val="0"/>
        <w:spacing w:line="440" w:lineRule="exact"/>
        <w:jc w:val="left"/>
        <w:rPr>
          <w:sz w:val="24"/>
        </w:rPr>
      </w:pPr>
      <w:r>
        <w:rPr>
          <w:rFonts w:hint="eastAsia"/>
          <w:sz w:val="24"/>
        </w:rPr>
        <w:t>五、财政拨款支出决算明细表</w:t>
      </w:r>
    </w:p>
    <w:p>
      <w:pPr>
        <w:pStyle w:val="13"/>
        <w:adjustRightInd w:val="0"/>
        <w:snapToGrid w:val="0"/>
        <w:spacing w:line="440" w:lineRule="exact"/>
        <w:jc w:val="left"/>
        <w:rPr>
          <w:sz w:val="24"/>
        </w:rPr>
      </w:pPr>
      <w:r>
        <w:rPr>
          <w:rFonts w:hint="eastAsia"/>
          <w:sz w:val="24"/>
        </w:rPr>
        <w:t>六、一般公共预算财政拨款支出决算表</w:t>
      </w:r>
    </w:p>
    <w:p>
      <w:pPr>
        <w:pStyle w:val="13"/>
        <w:adjustRightInd w:val="0"/>
        <w:snapToGrid w:val="0"/>
        <w:spacing w:line="440" w:lineRule="exact"/>
        <w:jc w:val="left"/>
        <w:rPr>
          <w:sz w:val="24"/>
        </w:rPr>
      </w:pPr>
      <w:r>
        <w:rPr>
          <w:rFonts w:hint="eastAsia"/>
          <w:sz w:val="24"/>
        </w:rPr>
        <w:t>七、一般公共预算财政拨款支出决算明细表</w:t>
      </w:r>
    </w:p>
    <w:p>
      <w:pPr>
        <w:pStyle w:val="13"/>
        <w:adjustRightInd w:val="0"/>
        <w:snapToGrid w:val="0"/>
        <w:spacing w:line="440" w:lineRule="exact"/>
        <w:jc w:val="left"/>
        <w:rPr>
          <w:sz w:val="24"/>
        </w:rPr>
      </w:pPr>
      <w:r>
        <w:rPr>
          <w:rFonts w:hint="eastAsia"/>
          <w:sz w:val="24"/>
        </w:rPr>
        <w:t>八、一般公共预算财政拨款基本支出决算明细表</w:t>
      </w:r>
    </w:p>
    <w:p>
      <w:pPr>
        <w:pStyle w:val="13"/>
        <w:adjustRightInd w:val="0"/>
        <w:snapToGrid w:val="0"/>
        <w:spacing w:line="440" w:lineRule="exact"/>
        <w:jc w:val="left"/>
        <w:rPr>
          <w:sz w:val="24"/>
        </w:rPr>
      </w:pPr>
      <w:r>
        <w:rPr>
          <w:rFonts w:hint="eastAsia"/>
          <w:sz w:val="24"/>
        </w:rPr>
        <w:t>九、一般公共预算财政拨款项目支出决算表</w:t>
      </w:r>
    </w:p>
    <w:p>
      <w:pPr>
        <w:pStyle w:val="13"/>
        <w:adjustRightInd w:val="0"/>
        <w:snapToGrid w:val="0"/>
        <w:spacing w:line="440" w:lineRule="exact"/>
        <w:jc w:val="left"/>
        <w:rPr>
          <w:sz w:val="24"/>
        </w:rPr>
      </w:pPr>
      <w:r>
        <w:rPr>
          <w:rFonts w:hint="eastAsia"/>
          <w:sz w:val="24"/>
        </w:rPr>
        <w:t>十、政府性基金预算财政拨款收入支出决算表</w:t>
      </w:r>
    </w:p>
    <w:p>
      <w:pPr>
        <w:pStyle w:val="13"/>
        <w:adjustRightInd w:val="0"/>
        <w:snapToGrid w:val="0"/>
        <w:spacing w:line="440" w:lineRule="exact"/>
        <w:jc w:val="left"/>
        <w:rPr>
          <w:sz w:val="24"/>
        </w:rPr>
      </w:pPr>
      <w:r>
        <w:rPr>
          <w:rFonts w:hint="eastAsia"/>
          <w:sz w:val="24"/>
        </w:rPr>
        <w:t>十一、国有资本经营预算财政拨款收入支出决算表</w:t>
      </w:r>
    </w:p>
    <w:p>
      <w:pPr>
        <w:pStyle w:val="13"/>
        <w:adjustRightInd w:val="0"/>
        <w:snapToGrid w:val="0"/>
        <w:spacing w:line="440" w:lineRule="exact"/>
        <w:jc w:val="left"/>
        <w:rPr>
          <w:sz w:val="24"/>
        </w:rPr>
      </w:pPr>
      <w:r>
        <w:rPr>
          <w:rFonts w:hint="eastAsia"/>
          <w:sz w:val="24"/>
        </w:rPr>
        <w:t>十二、国有资本经营预算财政拨款支出决算表</w:t>
      </w:r>
    </w:p>
    <w:p>
      <w:pPr>
        <w:pStyle w:val="13"/>
        <w:adjustRightInd w:val="0"/>
        <w:snapToGrid w:val="0"/>
        <w:spacing w:line="440" w:lineRule="exact"/>
        <w:jc w:val="left"/>
        <w:rPr>
          <w:rFonts w:asciiTheme="minorEastAsia" w:hAnsiTheme="minorEastAsia" w:eastAsiaTheme="minorEastAsia" w:cstheme="minorEastAsia"/>
          <w:sz w:val="24"/>
        </w:rPr>
      </w:pPr>
      <w:r>
        <w:rPr>
          <w:rFonts w:hint="eastAsia"/>
          <w:sz w:val="24"/>
        </w:rPr>
        <w:t>十三、财政拨款“三公”经费支出决算表</w:t>
      </w:r>
    </w:p>
    <w:p>
      <w:pPr>
        <w:widowControl/>
        <w:spacing w:line="440" w:lineRule="exact"/>
        <w:jc w:val="left"/>
        <w:rPr>
          <w:rFonts w:ascii="仿宋" w:hAnsi="仿宋" w:eastAsia="仿宋"/>
          <w:bCs/>
          <w:kern w:val="44"/>
          <w:sz w:val="24"/>
        </w:rPr>
      </w:pPr>
      <w:bookmarkStart w:id="12" w:name="_Toc15396599"/>
      <w:bookmarkStart w:id="13" w:name="_Toc15377196"/>
      <w:r>
        <w:rPr>
          <w:rFonts w:ascii="仿宋" w:hAnsi="仿宋" w:eastAsia="仿宋"/>
          <w:b/>
          <w:sz w:val="24"/>
        </w:rPr>
        <w:br w:type="page"/>
      </w:r>
    </w:p>
    <w:p>
      <w:pPr>
        <w:pStyle w:val="3"/>
        <w:jc w:val="center"/>
        <w:rPr>
          <w:rStyle w:val="29"/>
          <w:rFonts w:ascii="黑体" w:hAnsi="黑体" w:eastAsia="黑体"/>
          <w:b/>
          <w:bCs w:val="0"/>
        </w:rPr>
      </w:pPr>
      <w:r>
        <w:rPr>
          <w:rFonts w:hint="eastAsia" w:ascii="黑体" w:hAnsi="黑体" w:eastAsia="黑体"/>
          <w:b w:val="0"/>
        </w:rPr>
        <w:t xml:space="preserve">第一部分 </w:t>
      </w:r>
      <w:r>
        <w:rPr>
          <w:rStyle w:val="29"/>
          <w:rFonts w:hint="eastAsia" w:ascii="黑体" w:hAnsi="黑体" w:eastAsia="黑体"/>
          <w:b w:val="0"/>
          <w:bCs w:val="0"/>
        </w:rPr>
        <w:t>部门概况</w:t>
      </w:r>
      <w:bookmarkEnd w:id="12"/>
      <w:bookmarkEnd w:id="13"/>
    </w:p>
    <w:p>
      <w:pPr>
        <w:widowControl/>
        <w:jc w:val="left"/>
        <w:rPr>
          <w:rFonts w:ascii="黑体" w:eastAsia="黑体"/>
          <w:sz w:val="32"/>
          <w:szCs w:val="32"/>
        </w:rPr>
      </w:pPr>
    </w:p>
    <w:p>
      <w:pPr>
        <w:pStyle w:val="4"/>
        <w:rPr>
          <w:rFonts w:hint="eastAsia" w:ascii="黑体" w:hAnsi="黑体" w:eastAsia="黑体"/>
          <w:b w:val="0"/>
        </w:rPr>
      </w:pPr>
      <w:bookmarkStart w:id="14" w:name="_Toc15377197"/>
      <w:bookmarkStart w:id="15" w:name="_Toc15396600"/>
      <w:r>
        <w:rPr>
          <w:rFonts w:hint="eastAsia" w:ascii="黑体" w:hAnsi="黑体" w:eastAsia="黑体"/>
          <w:b w:val="0"/>
        </w:rPr>
        <w:t>一、</w:t>
      </w:r>
      <w:bookmarkEnd w:id="14"/>
      <w:bookmarkEnd w:id="15"/>
      <w:r>
        <w:rPr>
          <w:rFonts w:hint="eastAsia" w:ascii="黑体" w:hAnsi="黑体" w:eastAsia="黑体"/>
          <w:b w:val="0"/>
        </w:rPr>
        <w:t>部门职责</w:t>
      </w:r>
    </w:p>
    <w:p>
      <w:pPr>
        <w:spacing w:line="560" w:lineRule="exact"/>
        <w:ind w:firstLine="636" w:firstLineChars="199"/>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贯彻落实党中央关于离退休干部工作的方针政策和省委、市委、县委的决策部署；向县委报告全县离退休干部工作情况，提出工作建议。</w:t>
      </w:r>
    </w:p>
    <w:p>
      <w:pPr>
        <w:spacing w:line="560" w:lineRule="exact"/>
        <w:ind w:firstLine="636" w:firstLineChars="199"/>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指导乡镇、县级各部门开展离退休干部工作</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督促、检查具体执行情况；加强老干部工作部门自身建设和队伍建设；推进信息化精准化规范化建设。</w:t>
      </w:r>
    </w:p>
    <w:p>
      <w:pPr>
        <w:spacing w:line="560" w:lineRule="exact"/>
        <w:ind w:firstLine="636" w:firstLineChars="199"/>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督促落实离退休干部政治待遇和生活待遇，调查研究有关问题，协调有关部门提出解决办法，推进落实。</w:t>
      </w:r>
    </w:p>
    <w:p>
      <w:pPr>
        <w:spacing w:line="560" w:lineRule="exact"/>
        <w:ind w:firstLine="636" w:firstLineChars="199"/>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指导并督促、检查全县离退休干部党的建设，加强离退休干部政治建设、思想建设和党组织建设。</w:t>
      </w:r>
    </w:p>
    <w:p>
      <w:pPr>
        <w:spacing w:line="560" w:lineRule="exact"/>
        <w:ind w:firstLine="636" w:firstLineChars="199"/>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注重发挥离退休干部的独特优势，组织引导离退休干部积极开展正能量活动。</w:t>
      </w:r>
    </w:p>
    <w:p>
      <w:pPr>
        <w:spacing w:line="560" w:lineRule="exact"/>
        <w:ind w:firstLine="636" w:firstLineChars="199"/>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负责老干部的来信来访工作。</w:t>
      </w:r>
    </w:p>
    <w:p>
      <w:pPr>
        <w:spacing w:line="560" w:lineRule="exact"/>
        <w:ind w:firstLine="636" w:firstLineChars="199"/>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协同有关部门做好离退休干部丧事处理工作，了解反映遗属的有关情况。</w:t>
      </w:r>
    </w:p>
    <w:p>
      <w:pPr>
        <w:rPr>
          <w:rFonts w:hint="eastAsia" w:ascii="仿宋_GB2312" w:hAnsi="仿宋_GB2312" w:eastAsia="仿宋_GB2312" w:cs="仿宋_GB2312"/>
          <w:sz w:val="32"/>
          <w:szCs w:val="32"/>
        </w:rPr>
      </w:pPr>
      <w:r>
        <w:rPr>
          <w:rFonts w:hint="eastAsia" w:hAnsi="仿宋_GB2312" w:cs="仿宋_GB2312"/>
          <w:sz w:val="32"/>
          <w:szCs w:val="32"/>
          <w:lang w:val="en-US" w:eastAsia="zh-CN"/>
        </w:rPr>
        <w:t>8.</w:t>
      </w:r>
      <w:r>
        <w:rPr>
          <w:rFonts w:hint="eastAsia" w:ascii="仿宋_GB2312" w:hAnsi="仿宋_GB2312" w:eastAsia="仿宋_GB2312" w:cs="仿宋_GB2312"/>
          <w:sz w:val="32"/>
          <w:szCs w:val="32"/>
        </w:rPr>
        <w:t>完成县委交办的其他任务。</w:t>
      </w:r>
      <w:bookmarkStart w:id="16" w:name="_Toc15377200"/>
      <w:bookmarkStart w:id="17" w:name="_Toc15396601"/>
    </w:p>
    <w:p>
      <w:pPr>
        <w:rPr>
          <w:rStyle w:val="30"/>
          <w:b w:val="0"/>
          <w:bCs w:val="0"/>
        </w:rPr>
      </w:pPr>
      <w:r>
        <w:rPr>
          <w:rStyle w:val="30"/>
          <w:rFonts w:hint="eastAsia" w:ascii="黑体" w:hAnsi="黑体" w:eastAsia="黑体"/>
          <w:b w:val="0"/>
          <w:bCs w:val="0"/>
          <w:lang w:eastAsia="zh-CN"/>
        </w:rPr>
        <w:t>二、机</w:t>
      </w:r>
      <w:r>
        <w:rPr>
          <w:rStyle w:val="30"/>
          <w:rFonts w:hint="eastAsia" w:ascii="黑体" w:hAnsi="黑体" w:eastAsia="黑体"/>
          <w:b w:val="0"/>
          <w:bCs w:val="0"/>
        </w:rPr>
        <w:t>构设置</w:t>
      </w:r>
      <w:bookmarkEnd w:id="16"/>
      <w:bookmarkEnd w:id="17"/>
    </w:p>
    <w:p>
      <w:pPr>
        <w:ind w:firstLine="800" w:firstLineChars="250"/>
        <w:rPr>
          <w:rFonts w:eastAsia="仿宋"/>
          <w:sz w:val="32"/>
          <w:szCs w:val="32"/>
        </w:rPr>
      </w:pPr>
      <w:r>
        <w:rPr>
          <w:rFonts w:hint="eastAsia" w:eastAsia="仿宋"/>
          <w:sz w:val="32"/>
          <w:szCs w:val="32"/>
          <w:lang w:eastAsia="zh-CN"/>
        </w:rPr>
        <w:t>中共乐至县委老干部局</w:t>
      </w:r>
      <w:r>
        <w:rPr>
          <w:rFonts w:eastAsia="仿宋"/>
          <w:sz w:val="32"/>
          <w:szCs w:val="32"/>
        </w:rPr>
        <w:t>属一级预算单位，下</w:t>
      </w:r>
      <w:r>
        <w:rPr>
          <w:rFonts w:hint="eastAsia" w:eastAsia="仿宋"/>
          <w:sz w:val="32"/>
          <w:szCs w:val="32"/>
        </w:rPr>
        <w:t>属预算单位</w:t>
      </w:r>
      <w:r>
        <w:rPr>
          <w:rFonts w:hint="eastAsia" w:eastAsia="仿宋"/>
          <w:sz w:val="32"/>
          <w:szCs w:val="32"/>
          <w:lang w:val="en-US" w:eastAsia="zh-CN"/>
        </w:rPr>
        <w:t>1</w:t>
      </w:r>
      <w:r>
        <w:rPr>
          <w:rFonts w:eastAsia="仿宋"/>
          <w:sz w:val="32"/>
          <w:szCs w:val="32"/>
        </w:rPr>
        <w:t>个，其中行政</w:t>
      </w:r>
      <w:r>
        <w:rPr>
          <w:rFonts w:hint="eastAsia" w:eastAsia="仿宋"/>
          <w:sz w:val="32"/>
          <w:szCs w:val="32"/>
        </w:rPr>
        <w:t>单位</w:t>
      </w:r>
      <w:r>
        <w:rPr>
          <w:rFonts w:hint="eastAsia" w:eastAsia="仿宋"/>
          <w:sz w:val="32"/>
          <w:szCs w:val="32"/>
          <w:lang w:val="en-US" w:eastAsia="zh-CN"/>
        </w:rPr>
        <w:t>0</w:t>
      </w:r>
      <w:r>
        <w:rPr>
          <w:rFonts w:eastAsia="仿宋"/>
          <w:sz w:val="32"/>
          <w:szCs w:val="32"/>
        </w:rPr>
        <w:t>个，参照公务员法管理的事业</w:t>
      </w:r>
      <w:r>
        <w:rPr>
          <w:rFonts w:hint="eastAsia" w:eastAsia="仿宋"/>
          <w:sz w:val="32"/>
          <w:szCs w:val="32"/>
        </w:rPr>
        <w:t>单位</w:t>
      </w:r>
      <w:r>
        <w:rPr>
          <w:rFonts w:hint="eastAsia" w:eastAsia="仿宋"/>
          <w:bCs/>
          <w:sz w:val="32"/>
          <w:szCs w:val="32"/>
          <w:lang w:val="en-US" w:eastAsia="zh-CN"/>
        </w:rPr>
        <w:t>1</w:t>
      </w:r>
      <w:r>
        <w:rPr>
          <w:rFonts w:eastAsia="仿宋"/>
          <w:sz w:val="32"/>
          <w:szCs w:val="32"/>
        </w:rPr>
        <w:t>个，其他事业</w:t>
      </w:r>
      <w:r>
        <w:rPr>
          <w:rFonts w:hint="eastAsia" w:eastAsia="仿宋"/>
          <w:sz w:val="32"/>
          <w:szCs w:val="32"/>
        </w:rPr>
        <w:t>单位</w:t>
      </w:r>
      <w:r>
        <w:rPr>
          <w:rFonts w:hint="eastAsia" w:eastAsia="仿宋"/>
          <w:sz w:val="32"/>
          <w:szCs w:val="32"/>
          <w:lang w:val="en-US" w:eastAsia="zh-CN"/>
        </w:rPr>
        <w:t>0</w:t>
      </w:r>
      <w:r>
        <w:rPr>
          <w:rFonts w:eastAsia="仿宋"/>
          <w:sz w:val="32"/>
          <w:szCs w:val="32"/>
        </w:rPr>
        <w:t>个。</w:t>
      </w:r>
    </w:p>
    <w:p>
      <w:pPr>
        <w:ind w:firstLine="800" w:firstLineChars="250"/>
        <w:rPr>
          <w:rFonts w:ascii="仿宋" w:hAnsi="仿宋" w:eastAsia="仿宋"/>
          <w:sz w:val="32"/>
          <w:szCs w:val="32"/>
        </w:rPr>
      </w:pPr>
      <w:r>
        <w:rPr>
          <w:rFonts w:hint="eastAsia" w:ascii="仿宋" w:hAnsi="仿宋" w:eastAsia="仿宋"/>
          <w:sz w:val="32"/>
          <w:szCs w:val="32"/>
        </w:rPr>
        <w:t>纳入</w:t>
      </w:r>
      <w:r>
        <w:rPr>
          <w:rFonts w:hint="eastAsia" w:ascii="仿宋" w:hAnsi="仿宋" w:eastAsia="仿宋"/>
          <w:sz w:val="32"/>
          <w:szCs w:val="32"/>
          <w:lang w:eastAsia="zh-CN"/>
        </w:rPr>
        <w:t>老干部局</w:t>
      </w:r>
      <w:r>
        <w:rPr>
          <w:rFonts w:hint="eastAsia" w:ascii="仿宋" w:hAnsi="仿宋" w:eastAsia="仿宋"/>
          <w:sz w:val="32"/>
          <w:szCs w:val="32"/>
        </w:rPr>
        <w:t>2022年度部门决算编制范围的二级预算单位包括：</w:t>
      </w:r>
    </w:p>
    <w:p>
      <w:pPr>
        <w:pStyle w:val="2"/>
        <w:numPr>
          <w:ilvl w:val="0"/>
          <w:numId w:val="1"/>
        </w:numPr>
        <w:adjustRightInd w:val="0"/>
        <w:snapToGrid w:val="0"/>
        <w:spacing w:before="93" w:line="600" w:lineRule="exact"/>
        <w:outlineLvl w:val="2"/>
      </w:pPr>
      <w:bookmarkStart w:id="18" w:name="_Toc15377202"/>
      <w:bookmarkStart w:id="19" w:name="_Toc15377433"/>
      <w:bookmarkStart w:id="20" w:name="_Toc15306276"/>
      <w:bookmarkStart w:id="21" w:name="_Toc15378449"/>
      <w:r>
        <w:rPr>
          <w:rFonts w:hint="eastAsia" w:ascii="仿宋" w:hAnsi="仿宋" w:eastAsia="仿宋"/>
          <w:sz w:val="32"/>
          <w:szCs w:val="32"/>
          <w:lang w:eastAsia="zh-CN"/>
        </w:rPr>
        <w:t>乐至县老干部活动中心</w:t>
      </w:r>
      <w:bookmarkEnd w:id="18"/>
      <w:bookmarkEnd w:id="19"/>
      <w:bookmarkEnd w:id="20"/>
      <w:bookmarkEnd w:id="21"/>
    </w:p>
    <w:p>
      <w:pPr>
        <w:pStyle w:val="3"/>
        <w:ind w:right="440"/>
        <w:jc w:val="center"/>
        <w:rPr>
          <w:rStyle w:val="29"/>
          <w:rFonts w:ascii="黑体" w:hAnsi="黑体" w:eastAsia="黑体"/>
          <w:b w:val="0"/>
          <w:bCs/>
        </w:rPr>
      </w:pPr>
      <w:bookmarkStart w:id="22" w:name="_Toc15377204"/>
      <w:bookmarkStart w:id="23" w:name="_Toc15396602"/>
      <w:r>
        <w:rPr>
          <w:rFonts w:hint="eastAsia" w:ascii="黑体" w:hAnsi="黑体" w:eastAsia="黑体"/>
          <w:b w:val="0"/>
        </w:rPr>
        <w:t>第二部分 2022年度</w:t>
      </w:r>
      <w:r>
        <w:rPr>
          <w:rStyle w:val="29"/>
          <w:rFonts w:hint="eastAsia" w:ascii="黑体" w:hAnsi="黑体" w:eastAsia="黑体"/>
          <w:b w:val="0"/>
          <w:bCs/>
        </w:rPr>
        <w:t>部门决算情况说明</w:t>
      </w:r>
      <w:bookmarkEnd w:id="22"/>
      <w:bookmarkEnd w:id="23"/>
    </w:p>
    <w:p/>
    <w:p>
      <w:pPr>
        <w:pStyle w:val="28"/>
        <w:numPr>
          <w:ilvl w:val="0"/>
          <w:numId w:val="2"/>
        </w:numPr>
        <w:spacing w:line="600" w:lineRule="exact"/>
        <w:ind w:firstLineChars="0"/>
        <w:outlineLvl w:val="1"/>
        <w:rPr>
          <w:rStyle w:val="30"/>
          <w:rFonts w:ascii="黑体" w:hAnsi="黑体" w:eastAsia="黑体"/>
          <w:b w:val="0"/>
        </w:rPr>
      </w:pPr>
      <w:bookmarkStart w:id="24" w:name="_Toc15377205"/>
      <w:bookmarkStart w:id="25" w:name="_Toc15396603"/>
      <w:r>
        <w:rPr>
          <w:rFonts w:hint="eastAsia" w:ascii="黑体" w:hAnsi="黑体" w:eastAsia="黑体"/>
          <w:sz w:val="32"/>
          <w:szCs w:val="32"/>
        </w:rPr>
        <w:t>收</w:t>
      </w:r>
      <w:r>
        <w:rPr>
          <w:rStyle w:val="30"/>
          <w:rFonts w:hint="eastAsia" w:ascii="黑体" w:hAnsi="黑体" w:eastAsia="黑体"/>
          <w:b w:val="0"/>
        </w:rPr>
        <w:t>入支出决算总体情况说明</w:t>
      </w:r>
      <w:bookmarkEnd w:id="24"/>
      <w:bookmarkEnd w:id="25"/>
    </w:p>
    <w:p>
      <w:pPr>
        <w:spacing w:line="600" w:lineRule="exact"/>
        <w:ind w:firstLine="640" w:firstLineChars="200"/>
        <w:rPr>
          <w:rFonts w:hint="eastAsia" w:ascii="仿宋_GB2312" w:eastAsia="仿宋_GB2312"/>
          <w:sz w:val="32"/>
          <w:szCs w:val="32"/>
          <w:lang w:eastAsia="zh-CN"/>
        </w:rPr>
      </w:pPr>
      <w:r>
        <w:rPr>
          <w:rFonts w:hint="eastAsia" w:ascii="仿宋" w:hAnsi="仿宋" w:eastAsia="仿宋"/>
          <w:sz w:val="32"/>
          <w:szCs w:val="32"/>
        </w:rPr>
        <w:t>2022年度收、支总计</w:t>
      </w:r>
      <w:r>
        <w:rPr>
          <w:rFonts w:hint="eastAsia" w:ascii="仿宋" w:hAnsi="仿宋" w:eastAsia="仿宋"/>
          <w:sz w:val="32"/>
          <w:szCs w:val="32"/>
          <w:lang w:val="en-US" w:eastAsia="zh-CN"/>
        </w:rPr>
        <w:t>219.43</w:t>
      </w:r>
      <w:r>
        <w:rPr>
          <w:rFonts w:hint="eastAsia" w:ascii="仿宋" w:hAnsi="仿宋" w:eastAsia="仿宋"/>
          <w:sz w:val="32"/>
          <w:szCs w:val="32"/>
        </w:rPr>
        <w:t>万元。与2021年相比，收、支总计各增加</w:t>
      </w:r>
      <w:r>
        <w:rPr>
          <w:rFonts w:hint="eastAsia" w:ascii="仿宋" w:hAnsi="仿宋" w:eastAsia="仿宋"/>
          <w:sz w:val="32"/>
          <w:szCs w:val="32"/>
          <w:lang w:val="en-US" w:eastAsia="zh-CN"/>
        </w:rPr>
        <w:t>46.42</w:t>
      </w:r>
      <w:r>
        <w:rPr>
          <w:rFonts w:hint="eastAsia" w:ascii="仿宋" w:hAnsi="仿宋" w:eastAsia="仿宋"/>
          <w:sz w:val="32"/>
          <w:szCs w:val="32"/>
        </w:rPr>
        <w:t>万元，增长</w:t>
      </w:r>
      <w:r>
        <w:rPr>
          <w:rFonts w:hint="eastAsia" w:ascii="仿宋" w:hAnsi="仿宋" w:eastAsia="仿宋"/>
          <w:sz w:val="32"/>
          <w:szCs w:val="32"/>
          <w:lang w:val="en-US" w:eastAsia="zh-CN"/>
        </w:rPr>
        <w:t>26.83</w:t>
      </w:r>
      <w:r>
        <w:rPr>
          <w:rFonts w:ascii="仿宋" w:hAnsi="仿宋" w:eastAsia="仿宋"/>
          <w:sz w:val="32"/>
          <w:szCs w:val="32"/>
        </w:rPr>
        <w:t>%</w:t>
      </w:r>
      <w:r>
        <w:rPr>
          <w:rFonts w:hint="eastAsia" w:ascii="仿宋" w:hAnsi="仿宋" w:eastAsia="仿宋"/>
          <w:sz w:val="32"/>
          <w:szCs w:val="32"/>
        </w:rPr>
        <w:t>。主要变动原因是</w:t>
      </w:r>
      <w:r>
        <w:rPr>
          <w:rFonts w:hint="eastAsia" w:eastAsia="仿宋_GB2312"/>
          <w:sz w:val="32"/>
          <w:szCs w:val="32"/>
          <w:lang w:eastAsia="zh-CN"/>
        </w:rPr>
        <w:t>主要原因是老干部交通电话费、</w:t>
      </w:r>
      <w:r>
        <w:rPr>
          <w:rFonts w:hint="eastAsia" w:eastAsia="仿宋_GB2312"/>
          <w:sz w:val="32"/>
          <w:szCs w:val="32"/>
          <w:lang w:val="en-US" w:eastAsia="zh-CN"/>
        </w:rPr>
        <w:t>630人员门诊医疗、老干部春节慰问、老干部体检费等老干部专项经费项目增加</w:t>
      </w:r>
      <w:r>
        <w:rPr>
          <w:rFonts w:hint="eastAsia" w:ascii="仿宋" w:hAnsi="仿宋" w:eastAsia="仿宋"/>
          <w:sz w:val="32"/>
          <w:szCs w:val="32"/>
        </w:rPr>
        <w:t>。</w:t>
      </w:r>
    </w:p>
    <w:p>
      <w:pPr>
        <w:spacing w:line="600" w:lineRule="exact"/>
        <w:ind w:firstLine="640" w:firstLineChars="200"/>
        <w:jc w:val="left"/>
        <w:rPr>
          <w:rFonts w:hint="eastAsia" w:ascii="仿宋_GB2312" w:eastAsia="仿宋_GB2312"/>
          <w:sz w:val="32"/>
          <w:szCs w:val="32"/>
          <w:lang w:eastAsia="zh-CN"/>
        </w:rPr>
      </w:pPr>
    </w:p>
    <w:p>
      <w:pPr>
        <w:spacing w:line="600" w:lineRule="exact"/>
        <w:jc w:val="left"/>
        <w:rPr>
          <w:rFonts w:hint="eastAsia" w:ascii="仿宋_GB2312" w:eastAsia="仿宋_GB2312"/>
          <w:sz w:val="32"/>
          <w:szCs w:val="32"/>
          <w:lang w:eastAsia="zh-CN"/>
        </w:rPr>
      </w:pPr>
    </w:p>
    <w:p>
      <w:pPr>
        <w:spacing w:line="600" w:lineRule="exact"/>
        <w:ind w:firstLine="640" w:firstLineChars="200"/>
        <w:jc w:val="left"/>
        <w:rPr>
          <w:rFonts w:hint="eastAsia" w:ascii="仿宋_GB2312" w:eastAsia="仿宋_GB2312"/>
          <w:sz w:val="32"/>
          <w:szCs w:val="32"/>
          <w:lang w:eastAsia="zh-CN"/>
        </w:rPr>
      </w:pPr>
    </w:p>
    <w:p>
      <w:pPr>
        <w:spacing w:line="600" w:lineRule="exact"/>
        <w:ind w:firstLine="640" w:firstLineChars="200"/>
        <w:jc w:val="left"/>
        <w:rPr>
          <w:rFonts w:hint="eastAsia" w:ascii="仿宋_GB2312" w:eastAsia="仿宋_GB2312"/>
          <w:sz w:val="32"/>
          <w:szCs w:val="32"/>
          <w:lang w:eastAsia="zh-CN"/>
        </w:rPr>
      </w:pPr>
    </w:p>
    <w:p>
      <w:pPr>
        <w:spacing w:line="600" w:lineRule="exact"/>
        <w:ind w:firstLine="640" w:firstLineChars="200"/>
        <w:jc w:val="left"/>
        <w:rPr>
          <w:rFonts w:hint="eastAsia" w:ascii="仿宋_GB2312" w:eastAsia="仿宋_GB2312"/>
          <w:sz w:val="32"/>
          <w:szCs w:val="32"/>
          <w:lang w:eastAsia="zh-CN"/>
        </w:rPr>
      </w:pPr>
    </w:p>
    <w:p>
      <w:pPr>
        <w:pStyle w:val="2"/>
        <w:rPr>
          <w:rFonts w:hint="eastAsia"/>
          <w:lang w:eastAsia="zh-CN"/>
        </w:rPr>
      </w:pPr>
    </w:p>
    <w:p>
      <w:pPr>
        <w:spacing w:line="600" w:lineRule="exact"/>
        <w:ind w:firstLine="640" w:firstLineChars="200"/>
        <w:jc w:val="left"/>
        <w:rPr>
          <w:rFonts w:hint="eastAsia" w:ascii="仿宋_GB2312" w:eastAsia="仿宋_GB2312"/>
          <w:sz w:val="32"/>
          <w:szCs w:val="32"/>
          <w:lang w:eastAsia="zh-CN"/>
        </w:rPr>
      </w:pPr>
      <w:r>
        <w:rPr>
          <w:rFonts w:hint="eastAsia" w:ascii="仿宋_GB2312" w:eastAsia="仿宋_GB2312"/>
          <w:sz w:val="32"/>
          <w:szCs w:val="32"/>
          <w:lang w:eastAsia="zh-CN"/>
        </w:rPr>
        <w:drawing>
          <wp:anchor distT="0" distB="0" distL="114300" distR="114300" simplePos="0" relativeHeight="251659264" behindDoc="0" locked="0" layoutInCell="1" allowOverlap="1">
            <wp:simplePos x="0" y="0"/>
            <wp:positionH relativeFrom="column">
              <wp:posOffset>410845</wp:posOffset>
            </wp:positionH>
            <wp:positionV relativeFrom="paragraph">
              <wp:posOffset>-2300605</wp:posOffset>
            </wp:positionV>
            <wp:extent cx="3686810" cy="2597785"/>
            <wp:effectExtent l="4445" t="4445" r="23495" b="7620"/>
            <wp:wrapSquare wrapText="bothSides"/>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pStyle w:val="28"/>
        <w:numPr>
          <w:ilvl w:val="0"/>
          <w:numId w:val="2"/>
        </w:numPr>
        <w:spacing w:line="600" w:lineRule="exact"/>
        <w:ind w:firstLineChars="0"/>
        <w:outlineLvl w:val="1"/>
        <w:rPr>
          <w:rStyle w:val="30"/>
          <w:rFonts w:ascii="黑体" w:hAnsi="黑体" w:eastAsia="黑体"/>
          <w:b w:val="0"/>
        </w:rPr>
      </w:pPr>
      <w:bookmarkStart w:id="26" w:name="_Toc15377206"/>
      <w:bookmarkStart w:id="27" w:name="_Toc15396604"/>
      <w:r>
        <w:rPr>
          <w:rFonts w:hint="eastAsia" w:ascii="黑体" w:hAnsi="黑体" w:eastAsia="黑体"/>
          <w:sz w:val="32"/>
          <w:szCs w:val="32"/>
        </w:rPr>
        <w:t>收</w:t>
      </w:r>
      <w:r>
        <w:rPr>
          <w:rStyle w:val="30"/>
          <w:rFonts w:hint="eastAsia" w:ascii="黑体" w:hAnsi="黑体" w:eastAsia="黑体"/>
          <w:b w:val="0"/>
        </w:rPr>
        <w:t>入决算情况说明</w:t>
      </w:r>
      <w:bookmarkEnd w:id="26"/>
      <w:bookmarkEnd w:id="27"/>
    </w:p>
    <w:p>
      <w:pPr>
        <w:spacing w:line="600" w:lineRule="exact"/>
        <w:ind w:firstLine="640" w:firstLineChars="200"/>
        <w:outlineLvl w:val="1"/>
        <w:rPr>
          <w:rFonts w:hint="eastAsia"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22年本年收入合计</w:t>
      </w:r>
      <w:r>
        <w:rPr>
          <w:rFonts w:hint="eastAsia" w:ascii="仿宋" w:hAnsi="仿宋" w:eastAsia="仿宋"/>
          <w:sz w:val="32"/>
          <w:szCs w:val="32"/>
          <w:lang w:val="en-US" w:eastAsia="zh-CN"/>
        </w:rPr>
        <w:t>218.77</w:t>
      </w:r>
      <w:r>
        <w:rPr>
          <w:rFonts w:hint="eastAsia" w:ascii="仿宋" w:hAnsi="仿宋" w:eastAsia="仿宋"/>
          <w:sz w:val="32"/>
          <w:szCs w:val="32"/>
        </w:rPr>
        <w:t>万元，其中：一般公共预算财政拨款收入</w:t>
      </w:r>
      <w:r>
        <w:rPr>
          <w:rFonts w:hint="eastAsia" w:ascii="仿宋" w:hAnsi="仿宋" w:eastAsia="仿宋"/>
          <w:sz w:val="32"/>
          <w:szCs w:val="32"/>
          <w:lang w:val="en-US" w:eastAsia="zh-CN"/>
        </w:rPr>
        <w:t>218.77</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w:t>
      </w:r>
    </w:p>
    <w:p>
      <w:pPr>
        <w:spacing w:line="600" w:lineRule="exact"/>
        <w:ind w:firstLine="640" w:firstLineChars="200"/>
        <w:outlineLvl w:val="1"/>
        <w:rPr>
          <w:rFonts w:hint="eastAsia" w:ascii="仿宋_GB2312" w:eastAsia="仿宋_GB2312"/>
          <w:sz w:val="32"/>
          <w:szCs w:val="32"/>
          <w:lang w:eastAsia="zh-CN"/>
        </w:rPr>
      </w:pPr>
      <w:r>
        <w:rPr>
          <w:rFonts w:hint="eastAsia" w:ascii="仿宋_GB2312" w:eastAsia="仿宋_GB2312"/>
          <w:sz w:val="32"/>
          <w:szCs w:val="32"/>
          <w:lang w:eastAsia="zh-CN"/>
        </w:rPr>
        <w:drawing>
          <wp:anchor distT="0" distB="0" distL="114300" distR="114300" simplePos="0" relativeHeight="251660288" behindDoc="0" locked="0" layoutInCell="1" allowOverlap="1">
            <wp:simplePos x="0" y="0"/>
            <wp:positionH relativeFrom="column">
              <wp:posOffset>1025525</wp:posOffset>
            </wp:positionH>
            <wp:positionV relativeFrom="paragraph">
              <wp:posOffset>-226695</wp:posOffset>
            </wp:positionV>
            <wp:extent cx="3729355" cy="2624455"/>
            <wp:effectExtent l="4445" t="4445" r="19050" b="19050"/>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28"/>
        <w:numPr>
          <w:ilvl w:val="0"/>
          <w:numId w:val="2"/>
        </w:numPr>
        <w:spacing w:line="600" w:lineRule="exact"/>
        <w:ind w:firstLineChars="0"/>
        <w:outlineLvl w:val="1"/>
        <w:rPr>
          <w:rStyle w:val="30"/>
          <w:rFonts w:ascii="黑体" w:hAnsi="黑体" w:eastAsia="黑体"/>
          <w:b w:val="0"/>
        </w:rPr>
      </w:pPr>
      <w:bookmarkStart w:id="28" w:name="_Toc15396605"/>
      <w:bookmarkStart w:id="29" w:name="_Toc15377207"/>
      <w:r>
        <w:rPr>
          <w:rFonts w:hint="eastAsia" w:ascii="黑体" w:hAnsi="黑体" w:eastAsia="黑体"/>
          <w:sz w:val="32"/>
          <w:szCs w:val="32"/>
        </w:rPr>
        <w:t>支</w:t>
      </w:r>
      <w:r>
        <w:rPr>
          <w:rStyle w:val="30"/>
          <w:rFonts w:hint="eastAsia" w:ascii="黑体" w:hAnsi="黑体" w:eastAsia="黑体"/>
          <w:b w:val="0"/>
        </w:rPr>
        <w:t>出决算情况说明</w:t>
      </w:r>
      <w:bookmarkEnd w:id="28"/>
      <w:bookmarkEnd w:id="29"/>
    </w:p>
    <w:p>
      <w:pPr>
        <w:spacing w:line="600" w:lineRule="exact"/>
        <w:ind w:firstLine="640" w:firstLineChars="200"/>
        <w:outlineLvl w:val="1"/>
        <w:rPr>
          <w:rFonts w:hint="eastAsia" w:ascii="仿宋_GB2312" w:eastAsia="仿宋_GB2312"/>
          <w:sz w:val="32"/>
          <w:szCs w:val="32"/>
          <w:lang w:eastAsia="zh-CN"/>
        </w:rPr>
      </w:pPr>
      <w:r>
        <w:rPr>
          <w:rFonts w:ascii="仿宋" w:hAnsi="仿宋" w:eastAsia="仿宋"/>
          <w:sz w:val="32"/>
          <w:szCs w:val="32"/>
        </w:rPr>
        <w:t>20</w:t>
      </w:r>
      <w:r>
        <w:rPr>
          <w:rFonts w:hint="eastAsia" w:ascii="仿宋" w:hAnsi="仿宋" w:eastAsia="仿宋"/>
          <w:sz w:val="32"/>
          <w:szCs w:val="32"/>
        </w:rPr>
        <w:t>22年本年支出合计</w:t>
      </w:r>
      <w:r>
        <w:rPr>
          <w:rFonts w:hint="eastAsia" w:ascii="仿宋" w:hAnsi="仿宋" w:eastAsia="仿宋"/>
          <w:sz w:val="32"/>
          <w:szCs w:val="32"/>
          <w:lang w:val="en-US" w:eastAsia="zh-CN"/>
        </w:rPr>
        <w:t>217.47</w:t>
      </w:r>
      <w:r>
        <w:rPr>
          <w:rFonts w:hint="eastAsia" w:ascii="仿宋" w:hAnsi="仿宋" w:eastAsia="仿宋"/>
          <w:sz w:val="32"/>
          <w:szCs w:val="32"/>
        </w:rPr>
        <w:t>万元，其中：基本支出</w:t>
      </w:r>
      <w:r>
        <w:rPr>
          <w:rFonts w:hint="eastAsia" w:ascii="仿宋" w:hAnsi="仿宋" w:eastAsia="仿宋"/>
          <w:sz w:val="32"/>
          <w:szCs w:val="32"/>
          <w:lang w:val="en-US" w:eastAsia="zh-CN"/>
        </w:rPr>
        <w:t>132.07</w:t>
      </w:r>
      <w:r>
        <w:rPr>
          <w:rFonts w:hint="eastAsia" w:ascii="仿宋" w:hAnsi="仿宋" w:eastAsia="仿宋"/>
          <w:sz w:val="32"/>
          <w:szCs w:val="32"/>
        </w:rPr>
        <w:t>万元，占</w:t>
      </w:r>
      <w:r>
        <w:rPr>
          <w:rFonts w:hint="eastAsia" w:ascii="仿宋" w:hAnsi="仿宋" w:eastAsia="仿宋"/>
          <w:sz w:val="32"/>
          <w:szCs w:val="32"/>
          <w:lang w:val="en-US" w:eastAsia="zh-CN"/>
        </w:rPr>
        <w:t>60.73</w:t>
      </w:r>
      <w:r>
        <w:rPr>
          <w:rFonts w:ascii="仿宋" w:hAnsi="仿宋" w:eastAsia="仿宋"/>
          <w:sz w:val="32"/>
          <w:szCs w:val="32"/>
        </w:rPr>
        <w:t>%</w:t>
      </w:r>
      <w:r>
        <w:rPr>
          <w:rFonts w:hint="eastAsia" w:ascii="仿宋" w:hAnsi="仿宋" w:eastAsia="仿宋"/>
          <w:sz w:val="32"/>
          <w:szCs w:val="32"/>
        </w:rPr>
        <w:t>；项目支出</w:t>
      </w:r>
      <w:r>
        <w:rPr>
          <w:rFonts w:hint="eastAsia" w:ascii="仿宋" w:hAnsi="仿宋" w:eastAsia="仿宋"/>
          <w:sz w:val="32"/>
          <w:szCs w:val="32"/>
          <w:lang w:val="en-US" w:eastAsia="zh-CN"/>
        </w:rPr>
        <w:t>85.4</w:t>
      </w:r>
      <w:r>
        <w:rPr>
          <w:rFonts w:hint="eastAsia" w:ascii="仿宋" w:hAnsi="仿宋" w:eastAsia="仿宋"/>
          <w:sz w:val="32"/>
          <w:szCs w:val="32"/>
        </w:rPr>
        <w:t>万元，占</w:t>
      </w:r>
      <w:r>
        <w:rPr>
          <w:rFonts w:hint="eastAsia" w:ascii="仿宋" w:hAnsi="仿宋" w:eastAsia="仿宋"/>
          <w:sz w:val="32"/>
          <w:szCs w:val="32"/>
          <w:lang w:val="en-US" w:eastAsia="zh-CN"/>
        </w:rPr>
        <w:t>39.27</w:t>
      </w:r>
      <w:r>
        <w:rPr>
          <w:rFonts w:ascii="仿宋" w:hAnsi="仿宋" w:eastAsia="仿宋"/>
          <w:sz w:val="32"/>
          <w:szCs w:val="32"/>
        </w:rPr>
        <w:t>%</w:t>
      </w:r>
      <w:r>
        <w:rPr>
          <w:rFonts w:hint="eastAsia" w:ascii="仿宋" w:hAnsi="仿宋" w:eastAsia="仿宋"/>
          <w:sz w:val="32"/>
          <w:szCs w:val="32"/>
        </w:rPr>
        <w:t>。</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drawing>
          <wp:anchor distT="0" distB="0" distL="114300" distR="114300" simplePos="0" relativeHeight="251661312" behindDoc="0" locked="0" layoutInCell="1" allowOverlap="1">
            <wp:simplePos x="0" y="0"/>
            <wp:positionH relativeFrom="column">
              <wp:posOffset>531495</wp:posOffset>
            </wp:positionH>
            <wp:positionV relativeFrom="paragraph">
              <wp:posOffset>198120</wp:posOffset>
            </wp:positionV>
            <wp:extent cx="3703955" cy="2234565"/>
            <wp:effectExtent l="4445" t="5080" r="6350" b="8255"/>
            <wp:wrapTopAndBottom/>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spacing w:line="600" w:lineRule="exact"/>
        <w:ind w:firstLine="640" w:firstLineChars="200"/>
        <w:outlineLvl w:val="1"/>
        <w:rPr>
          <w:rStyle w:val="30"/>
          <w:rFonts w:ascii="黑体" w:hAnsi="黑体" w:eastAsia="黑体"/>
          <w:b w:val="0"/>
        </w:rPr>
      </w:pPr>
      <w:bookmarkStart w:id="30" w:name="_Toc15377208"/>
      <w:bookmarkStart w:id="31" w:name="_Toc15396606"/>
      <w:r>
        <w:rPr>
          <w:rFonts w:hint="eastAsia" w:ascii="黑体" w:hAnsi="黑体" w:eastAsia="黑体"/>
          <w:sz w:val="32"/>
          <w:szCs w:val="32"/>
        </w:rPr>
        <w:t>四、财</w:t>
      </w:r>
      <w:r>
        <w:rPr>
          <w:rStyle w:val="30"/>
          <w:rFonts w:hint="eastAsia" w:ascii="黑体" w:hAnsi="黑体" w:eastAsia="黑体"/>
          <w:b w:val="0"/>
        </w:rPr>
        <w:t>政拨款收入支出决算总体情况说明</w:t>
      </w:r>
      <w:bookmarkEnd w:id="30"/>
      <w:bookmarkEnd w:id="31"/>
    </w:p>
    <w:p>
      <w:pPr>
        <w:spacing w:line="600" w:lineRule="exact"/>
        <w:ind w:firstLine="640" w:firstLineChars="200"/>
        <w:rPr>
          <w:rFonts w:hint="eastAsia" w:ascii="黑体" w:hAnsi="黑体" w:eastAsia="黑体"/>
          <w:sz w:val="32"/>
          <w:szCs w:val="32"/>
        </w:rPr>
      </w:pPr>
      <w:r>
        <w:rPr>
          <w:rFonts w:ascii="仿宋" w:hAnsi="仿宋" w:eastAsia="仿宋"/>
          <w:sz w:val="32"/>
          <w:szCs w:val="32"/>
        </w:rPr>
        <w:t>20</w:t>
      </w:r>
      <w:r>
        <w:rPr>
          <w:rFonts w:hint="eastAsia" w:ascii="仿宋" w:hAnsi="仿宋" w:eastAsia="仿宋"/>
          <w:sz w:val="32"/>
          <w:szCs w:val="32"/>
        </w:rPr>
        <w:t>22年财政拨款收、支总计</w:t>
      </w:r>
      <w:r>
        <w:rPr>
          <w:rFonts w:hint="eastAsia" w:ascii="仿宋" w:hAnsi="仿宋" w:eastAsia="仿宋"/>
          <w:sz w:val="32"/>
          <w:szCs w:val="32"/>
          <w:lang w:val="en-US" w:eastAsia="zh-CN"/>
        </w:rPr>
        <w:t>219.473</w:t>
      </w:r>
      <w:r>
        <w:rPr>
          <w:rFonts w:hint="eastAsia" w:ascii="仿宋" w:hAnsi="仿宋" w:eastAsia="仿宋"/>
          <w:sz w:val="32"/>
          <w:szCs w:val="32"/>
        </w:rPr>
        <w:t>万元。与</w:t>
      </w:r>
      <w:r>
        <w:rPr>
          <w:rFonts w:ascii="仿宋" w:hAnsi="仿宋" w:eastAsia="仿宋"/>
          <w:sz w:val="32"/>
          <w:szCs w:val="32"/>
        </w:rPr>
        <w:t>20</w:t>
      </w:r>
      <w:r>
        <w:rPr>
          <w:rFonts w:hint="eastAsia" w:ascii="仿宋" w:hAnsi="仿宋" w:eastAsia="仿宋"/>
          <w:sz w:val="32"/>
          <w:szCs w:val="32"/>
        </w:rPr>
        <w:t>21年相比，财政拨款收、支总计各增加增加</w:t>
      </w:r>
      <w:r>
        <w:rPr>
          <w:rFonts w:hint="eastAsia" w:ascii="仿宋" w:hAnsi="仿宋" w:eastAsia="仿宋"/>
          <w:sz w:val="32"/>
          <w:szCs w:val="32"/>
          <w:lang w:val="en-US" w:eastAsia="zh-CN"/>
        </w:rPr>
        <w:t>46.42</w:t>
      </w:r>
      <w:r>
        <w:rPr>
          <w:rFonts w:hint="eastAsia" w:ascii="仿宋" w:hAnsi="仿宋" w:eastAsia="仿宋"/>
          <w:sz w:val="32"/>
          <w:szCs w:val="32"/>
        </w:rPr>
        <w:t>万元，增长</w:t>
      </w:r>
      <w:r>
        <w:rPr>
          <w:rFonts w:hint="eastAsia" w:ascii="仿宋" w:hAnsi="仿宋" w:eastAsia="仿宋"/>
          <w:sz w:val="32"/>
          <w:szCs w:val="32"/>
          <w:lang w:val="en-US" w:eastAsia="zh-CN"/>
        </w:rPr>
        <w:t>26.83</w:t>
      </w:r>
      <w:r>
        <w:rPr>
          <w:rFonts w:ascii="仿宋" w:hAnsi="仿宋" w:eastAsia="仿宋"/>
          <w:sz w:val="32"/>
          <w:szCs w:val="32"/>
        </w:rPr>
        <w:t>%</w:t>
      </w:r>
      <w:r>
        <w:rPr>
          <w:rFonts w:hint="eastAsia" w:ascii="仿宋" w:hAnsi="仿宋" w:eastAsia="仿宋"/>
          <w:sz w:val="32"/>
          <w:szCs w:val="32"/>
          <w:lang w:eastAsia="zh-CN"/>
        </w:rPr>
        <w:t>。</w:t>
      </w:r>
      <w:r>
        <w:rPr>
          <w:rFonts w:hint="eastAsia" w:ascii="仿宋" w:hAnsi="仿宋" w:eastAsia="仿宋"/>
          <w:sz w:val="32"/>
          <w:szCs w:val="32"/>
        </w:rPr>
        <w:t>主要变动原因是</w:t>
      </w:r>
      <w:r>
        <w:rPr>
          <w:rFonts w:hint="eastAsia" w:eastAsia="仿宋_GB2312"/>
          <w:sz w:val="32"/>
          <w:szCs w:val="32"/>
          <w:lang w:eastAsia="zh-CN"/>
        </w:rPr>
        <w:t>主要原因是老干部交通电话费、</w:t>
      </w:r>
      <w:r>
        <w:rPr>
          <w:rFonts w:hint="eastAsia" w:eastAsia="仿宋_GB2312"/>
          <w:sz w:val="32"/>
          <w:szCs w:val="32"/>
          <w:lang w:val="en-US" w:eastAsia="zh-CN"/>
        </w:rPr>
        <w:t>630人员门诊医疗、老干部春节慰问、老干部体检费等老干部专项经费项目增加</w:t>
      </w:r>
      <w:r>
        <w:rPr>
          <w:rFonts w:hint="eastAsia" w:ascii="仿宋" w:hAnsi="仿宋" w:eastAsia="仿宋"/>
          <w:sz w:val="32"/>
          <w:szCs w:val="32"/>
        </w:rPr>
        <w:t>。</w:t>
      </w:r>
      <w:bookmarkStart w:id="32" w:name="_Toc15377209"/>
      <w:bookmarkStart w:id="33" w:name="_Toc15396607"/>
    </w:p>
    <w:p>
      <w:pPr>
        <w:spacing w:line="600" w:lineRule="exact"/>
        <w:ind w:firstLine="640" w:firstLineChars="200"/>
        <w:outlineLvl w:val="1"/>
        <w:rPr>
          <w:rFonts w:hint="eastAsia" w:ascii="黑体" w:hAnsi="黑体" w:eastAsia="黑体"/>
          <w:sz w:val="32"/>
          <w:szCs w:val="32"/>
        </w:rPr>
      </w:pPr>
      <w:r>
        <w:rPr>
          <w:rFonts w:hint="eastAsia" w:ascii="仿宋_GB2312" w:eastAsia="仿宋_GB2312"/>
          <w:sz w:val="32"/>
          <w:szCs w:val="32"/>
          <w:lang w:eastAsia="zh-CN"/>
        </w:rPr>
        <w:drawing>
          <wp:anchor distT="0" distB="0" distL="114300" distR="114300" simplePos="0" relativeHeight="251662336" behindDoc="0" locked="0" layoutInCell="1" allowOverlap="1">
            <wp:simplePos x="0" y="0"/>
            <wp:positionH relativeFrom="column">
              <wp:posOffset>558800</wp:posOffset>
            </wp:positionH>
            <wp:positionV relativeFrom="paragraph">
              <wp:posOffset>294005</wp:posOffset>
            </wp:positionV>
            <wp:extent cx="3686810" cy="2597785"/>
            <wp:effectExtent l="4445" t="4445" r="23495" b="7620"/>
            <wp:wrapSquare wrapText="bothSides"/>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firstLine="640" w:firstLineChars="200"/>
        <w:outlineLvl w:val="1"/>
        <w:rPr>
          <w:rFonts w:hint="eastAsia" w:ascii="黑体" w:hAnsi="黑体" w:eastAsia="黑体"/>
          <w:sz w:val="32"/>
          <w:szCs w:val="32"/>
        </w:rPr>
      </w:pPr>
    </w:p>
    <w:p>
      <w:pPr>
        <w:spacing w:line="600" w:lineRule="exact"/>
        <w:ind w:firstLine="640" w:firstLineChars="200"/>
        <w:outlineLvl w:val="1"/>
        <w:rPr>
          <w:rFonts w:hint="eastAsia" w:ascii="黑体" w:hAnsi="黑体" w:eastAsia="黑体"/>
          <w:sz w:val="32"/>
          <w:szCs w:val="32"/>
        </w:rPr>
      </w:pPr>
    </w:p>
    <w:p>
      <w:pPr>
        <w:spacing w:line="600" w:lineRule="exact"/>
        <w:ind w:firstLine="640" w:firstLineChars="200"/>
        <w:outlineLvl w:val="1"/>
        <w:rPr>
          <w:rFonts w:hint="eastAsia" w:ascii="黑体" w:hAnsi="黑体" w:eastAsia="黑体"/>
          <w:sz w:val="32"/>
          <w:szCs w:val="32"/>
        </w:rPr>
      </w:pPr>
    </w:p>
    <w:p>
      <w:pPr>
        <w:spacing w:line="600" w:lineRule="exact"/>
        <w:ind w:firstLine="640" w:firstLineChars="200"/>
        <w:outlineLvl w:val="1"/>
        <w:rPr>
          <w:rFonts w:hint="eastAsia" w:ascii="黑体" w:hAnsi="黑体" w:eastAsia="黑体"/>
          <w:sz w:val="32"/>
          <w:szCs w:val="32"/>
        </w:rPr>
      </w:pPr>
    </w:p>
    <w:p>
      <w:pPr>
        <w:spacing w:line="600" w:lineRule="exact"/>
        <w:ind w:firstLine="640" w:firstLineChars="200"/>
        <w:outlineLvl w:val="1"/>
        <w:rPr>
          <w:rFonts w:hint="eastAsia" w:ascii="黑体" w:hAnsi="黑体" w:eastAsia="黑体"/>
          <w:sz w:val="32"/>
          <w:szCs w:val="32"/>
        </w:rPr>
      </w:pPr>
    </w:p>
    <w:p>
      <w:pPr>
        <w:pStyle w:val="2"/>
        <w:rPr>
          <w:rFonts w:hint="eastAsia" w:ascii="黑体" w:hAnsi="黑体" w:eastAsia="黑体"/>
          <w:sz w:val="32"/>
          <w:szCs w:val="32"/>
        </w:rPr>
      </w:pPr>
    </w:p>
    <w:p>
      <w:pPr>
        <w:rPr>
          <w:rFonts w:hint="eastAsia"/>
        </w:rPr>
      </w:pPr>
    </w:p>
    <w:p>
      <w:pPr>
        <w:spacing w:line="600" w:lineRule="exact"/>
        <w:ind w:firstLine="640" w:firstLineChars="200"/>
        <w:outlineLvl w:val="1"/>
        <w:rPr>
          <w:rStyle w:val="30"/>
          <w:rFonts w:ascii="黑体" w:hAnsi="黑体" w:eastAsia="黑体"/>
          <w:b w:val="0"/>
        </w:rPr>
      </w:pPr>
      <w:r>
        <w:rPr>
          <w:rFonts w:hint="eastAsia" w:ascii="黑体" w:hAnsi="黑体" w:eastAsia="黑体"/>
          <w:sz w:val="32"/>
          <w:szCs w:val="32"/>
        </w:rPr>
        <w:t>五、</w:t>
      </w:r>
      <w:r>
        <w:rPr>
          <w:rFonts w:hint="eastAsia" w:ascii="黑体" w:hAnsi="黑体" w:eastAsia="黑体"/>
          <w:b/>
          <w:sz w:val="32"/>
          <w:szCs w:val="32"/>
        </w:rPr>
        <w:t>一</w:t>
      </w:r>
      <w:r>
        <w:rPr>
          <w:rStyle w:val="30"/>
          <w:rFonts w:hint="eastAsia" w:ascii="黑体" w:hAnsi="黑体" w:eastAsia="黑体"/>
          <w:b w:val="0"/>
        </w:rPr>
        <w:t>般公共预算财政拨款支出决算情况说明</w:t>
      </w:r>
      <w:bookmarkEnd w:id="32"/>
      <w:bookmarkEnd w:id="33"/>
    </w:p>
    <w:p>
      <w:pPr>
        <w:spacing w:line="600" w:lineRule="exact"/>
        <w:ind w:firstLine="643" w:firstLineChars="200"/>
        <w:outlineLvl w:val="2"/>
        <w:rPr>
          <w:rFonts w:ascii="仿宋" w:hAnsi="仿宋" w:eastAsia="仿宋"/>
          <w:b/>
          <w:sz w:val="32"/>
          <w:szCs w:val="32"/>
        </w:rPr>
      </w:pPr>
      <w:bookmarkStart w:id="34" w:name="_Toc15377210"/>
      <w:r>
        <w:rPr>
          <w:rFonts w:hint="eastAsia" w:ascii="仿宋" w:hAnsi="仿宋" w:eastAsia="仿宋"/>
          <w:b/>
          <w:sz w:val="32"/>
          <w:szCs w:val="32"/>
        </w:rPr>
        <w:t>（一）一般公共预算财政拨款支出决算总体情况</w:t>
      </w:r>
      <w:bookmarkEnd w:id="34"/>
    </w:p>
    <w:p>
      <w:pPr>
        <w:spacing w:line="600" w:lineRule="exact"/>
        <w:ind w:firstLine="640" w:firstLineChars="200"/>
        <w:rPr>
          <w:rFonts w:hint="eastAsia" w:ascii="仿宋_GB2312" w:eastAsia="仿宋_GB2312"/>
          <w:sz w:val="32"/>
          <w:szCs w:val="32"/>
          <w:lang w:eastAsia="zh-CN"/>
        </w:rPr>
      </w:pPr>
      <w:r>
        <w:rPr>
          <w:rFonts w:ascii="仿宋" w:hAnsi="仿宋" w:eastAsia="仿宋"/>
          <w:sz w:val="32"/>
          <w:szCs w:val="32"/>
        </w:rPr>
        <w:t>20</w:t>
      </w:r>
      <w:r>
        <w:rPr>
          <w:rFonts w:hint="eastAsia" w:ascii="仿宋" w:hAnsi="仿宋" w:eastAsia="仿宋"/>
          <w:sz w:val="32"/>
          <w:szCs w:val="32"/>
        </w:rPr>
        <w:t>22年一般公共预算财政拨款支出</w:t>
      </w:r>
      <w:r>
        <w:rPr>
          <w:rFonts w:hint="eastAsia" w:ascii="仿宋" w:hAnsi="仿宋" w:eastAsia="仿宋"/>
          <w:sz w:val="32"/>
          <w:szCs w:val="32"/>
          <w:lang w:val="en-US" w:eastAsia="zh-CN"/>
        </w:rPr>
        <w:t>217.47</w:t>
      </w:r>
      <w:r>
        <w:rPr>
          <w:rFonts w:hint="eastAsia" w:ascii="仿宋" w:hAnsi="仿宋" w:eastAsia="仿宋"/>
          <w:sz w:val="32"/>
          <w:szCs w:val="32"/>
        </w:rPr>
        <w:t>万元，占本年支出合计的</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。与</w:t>
      </w:r>
      <w:r>
        <w:rPr>
          <w:rFonts w:ascii="仿宋" w:hAnsi="仿宋" w:eastAsia="仿宋"/>
          <w:sz w:val="32"/>
          <w:szCs w:val="32"/>
        </w:rPr>
        <w:t>20</w:t>
      </w:r>
      <w:r>
        <w:rPr>
          <w:rFonts w:hint="eastAsia" w:ascii="仿宋" w:hAnsi="仿宋" w:eastAsia="仿宋"/>
          <w:sz w:val="32"/>
          <w:szCs w:val="32"/>
        </w:rPr>
        <w:t>21年相比，一般公共预算财政拨款支出增加</w:t>
      </w:r>
      <w:r>
        <w:rPr>
          <w:rFonts w:hint="eastAsia" w:ascii="仿宋" w:hAnsi="仿宋" w:eastAsia="仿宋"/>
          <w:sz w:val="32"/>
          <w:szCs w:val="32"/>
          <w:lang w:val="en-US" w:eastAsia="zh-CN"/>
        </w:rPr>
        <w:t>45.11</w:t>
      </w:r>
      <w:r>
        <w:rPr>
          <w:rFonts w:hint="eastAsia" w:ascii="仿宋" w:hAnsi="仿宋" w:eastAsia="仿宋"/>
          <w:sz w:val="32"/>
          <w:szCs w:val="32"/>
        </w:rPr>
        <w:t>万元，增长</w:t>
      </w:r>
      <w:r>
        <w:rPr>
          <w:rFonts w:hint="eastAsia" w:ascii="仿宋" w:hAnsi="仿宋" w:eastAsia="仿宋"/>
          <w:sz w:val="32"/>
          <w:szCs w:val="32"/>
          <w:lang w:val="en-US" w:eastAsia="zh-CN"/>
        </w:rPr>
        <w:t>26.17</w:t>
      </w:r>
      <w:r>
        <w:rPr>
          <w:rFonts w:ascii="仿宋" w:hAnsi="仿宋" w:eastAsia="仿宋"/>
          <w:sz w:val="32"/>
          <w:szCs w:val="32"/>
        </w:rPr>
        <w:t>%</w:t>
      </w:r>
      <w:r>
        <w:rPr>
          <w:rFonts w:hint="eastAsia" w:ascii="仿宋" w:hAnsi="仿宋" w:eastAsia="仿宋"/>
          <w:sz w:val="32"/>
          <w:szCs w:val="32"/>
        </w:rPr>
        <w:t>。主要变动原因是</w:t>
      </w:r>
      <w:r>
        <w:rPr>
          <w:rFonts w:hint="eastAsia" w:eastAsia="仿宋_GB2312"/>
          <w:sz w:val="32"/>
          <w:szCs w:val="32"/>
          <w:lang w:eastAsia="zh-CN"/>
        </w:rPr>
        <w:t>主要原因是老干部交通电话费、</w:t>
      </w:r>
      <w:r>
        <w:rPr>
          <w:rFonts w:hint="eastAsia" w:eastAsia="仿宋_GB2312"/>
          <w:sz w:val="32"/>
          <w:szCs w:val="32"/>
          <w:lang w:val="en-US" w:eastAsia="zh-CN"/>
        </w:rPr>
        <w:t>630人员门诊医疗、老干部春节慰问、老干部体检费等老干部专项经费项目增加</w:t>
      </w:r>
      <w:r>
        <w:rPr>
          <w:rFonts w:hint="eastAsia" w:ascii="仿宋" w:hAnsi="仿宋" w:eastAsia="仿宋"/>
          <w:sz w:val="32"/>
          <w:szCs w:val="32"/>
        </w:rPr>
        <w:t>。</w:t>
      </w:r>
    </w:p>
    <w:p>
      <w:pPr>
        <w:spacing w:line="600" w:lineRule="exact"/>
        <w:ind w:firstLine="640" w:firstLineChars="200"/>
        <w:rPr>
          <w:rFonts w:ascii="仿宋" w:hAnsi="仿宋" w:eastAsia="仿宋"/>
          <w:sz w:val="32"/>
          <w:szCs w:val="32"/>
        </w:rPr>
      </w:pPr>
    </w:p>
    <w:p>
      <w:pPr>
        <w:spacing w:line="600" w:lineRule="exact"/>
        <w:ind w:firstLine="640" w:firstLineChars="200"/>
        <w:rPr>
          <w:rFonts w:ascii="仿宋" w:hAnsi="仿宋" w:eastAsia="仿宋"/>
          <w:sz w:val="32"/>
          <w:szCs w:val="32"/>
        </w:rPr>
      </w:pPr>
      <w:r>
        <w:rPr>
          <w:rFonts w:hint="eastAsia" w:ascii="仿宋_GB2312" w:eastAsia="仿宋_GB2312"/>
          <w:sz w:val="32"/>
          <w:szCs w:val="32"/>
          <w:lang w:eastAsia="zh-CN"/>
        </w:rPr>
        <w:drawing>
          <wp:anchor distT="0" distB="0" distL="114300" distR="114300" simplePos="0" relativeHeight="251663360" behindDoc="0" locked="0" layoutInCell="1" allowOverlap="1">
            <wp:simplePos x="0" y="0"/>
            <wp:positionH relativeFrom="column">
              <wp:posOffset>375920</wp:posOffset>
            </wp:positionH>
            <wp:positionV relativeFrom="paragraph">
              <wp:posOffset>24130</wp:posOffset>
            </wp:positionV>
            <wp:extent cx="3686810" cy="2597785"/>
            <wp:effectExtent l="4445" t="4445" r="23495" b="7620"/>
            <wp:wrapSquare wrapText="bothSides"/>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spacing w:line="600" w:lineRule="exact"/>
        <w:ind w:firstLine="643" w:firstLineChars="200"/>
        <w:outlineLvl w:val="2"/>
        <w:rPr>
          <w:rFonts w:hint="eastAsia" w:ascii="仿宋" w:hAnsi="仿宋" w:eastAsia="仿宋"/>
          <w:b/>
          <w:sz w:val="32"/>
          <w:szCs w:val="32"/>
        </w:rPr>
      </w:pPr>
      <w:bookmarkStart w:id="35" w:name="_Toc15377211"/>
    </w:p>
    <w:p>
      <w:pPr>
        <w:spacing w:line="600" w:lineRule="exact"/>
        <w:ind w:firstLine="643" w:firstLineChars="200"/>
        <w:outlineLvl w:val="2"/>
        <w:rPr>
          <w:rFonts w:hint="eastAsia" w:ascii="仿宋" w:hAnsi="仿宋" w:eastAsia="仿宋"/>
          <w:b/>
          <w:sz w:val="32"/>
          <w:szCs w:val="32"/>
        </w:rPr>
      </w:pPr>
    </w:p>
    <w:p>
      <w:pPr>
        <w:spacing w:line="600" w:lineRule="exact"/>
        <w:ind w:firstLine="643" w:firstLineChars="200"/>
        <w:outlineLvl w:val="2"/>
        <w:rPr>
          <w:rFonts w:hint="eastAsia" w:ascii="仿宋" w:hAnsi="仿宋" w:eastAsia="仿宋"/>
          <w:b/>
          <w:sz w:val="32"/>
          <w:szCs w:val="32"/>
        </w:rPr>
      </w:pPr>
    </w:p>
    <w:p>
      <w:pPr>
        <w:spacing w:line="600" w:lineRule="exact"/>
        <w:ind w:firstLine="643" w:firstLineChars="200"/>
        <w:outlineLvl w:val="2"/>
        <w:rPr>
          <w:rFonts w:hint="eastAsia" w:ascii="仿宋" w:hAnsi="仿宋" w:eastAsia="仿宋"/>
          <w:b/>
          <w:sz w:val="32"/>
          <w:szCs w:val="32"/>
        </w:rPr>
      </w:pPr>
    </w:p>
    <w:p>
      <w:pPr>
        <w:spacing w:line="600" w:lineRule="exact"/>
        <w:ind w:firstLine="643" w:firstLineChars="200"/>
        <w:outlineLvl w:val="2"/>
        <w:rPr>
          <w:rFonts w:hint="eastAsia" w:ascii="仿宋" w:hAnsi="仿宋" w:eastAsia="仿宋"/>
          <w:b/>
          <w:sz w:val="32"/>
          <w:szCs w:val="32"/>
        </w:rPr>
      </w:pPr>
    </w:p>
    <w:p>
      <w:pPr>
        <w:spacing w:line="600" w:lineRule="exact"/>
        <w:ind w:firstLine="643" w:firstLineChars="200"/>
        <w:outlineLvl w:val="2"/>
        <w:rPr>
          <w:rFonts w:ascii="仿宋" w:hAnsi="仿宋" w:eastAsia="仿宋"/>
          <w:b/>
          <w:sz w:val="32"/>
          <w:szCs w:val="32"/>
        </w:rPr>
      </w:pPr>
      <w:r>
        <w:rPr>
          <w:rFonts w:hint="eastAsia" w:ascii="仿宋" w:hAnsi="仿宋" w:eastAsia="仿宋"/>
          <w:b/>
          <w:sz w:val="32"/>
          <w:szCs w:val="32"/>
        </w:rPr>
        <w:t>（二）一般公共预算财政拨款支出决算结构情况</w:t>
      </w:r>
      <w:bookmarkEnd w:id="35"/>
    </w:p>
    <w:p>
      <w:pPr>
        <w:spacing w:line="600" w:lineRule="exact"/>
        <w:ind w:firstLine="640"/>
        <w:rPr>
          <w:rFonts w:hint="eastAsia" w:ascii="仿宋" w:hAnsi="仿宋" w:eastAsia="仿宋"/>
          <w:b/>
          <w:sz w:val="32"/>
          <w:szCs w:val="32"/>
        </w:rPr>
      </w:pPr>
      <w:r>
        <w:rPr>
          <w:rFonts w:ascii="仿宋" w:hAnsi="仿宋" w:eastAsia="仿宋"/>
          <w:sz w:val="32"/>
          <w:szCs w:val="32"/>
        </w:rPr>
        <w:t>20</w:t>
      </w:r>
      <w:r>
        <w:rPr>
          <w:rFonts w:hint="eastAsia" w:ascii="仿宋" w:hAnsi="仿宋" w:eastAsia="仿宋"/>
          <w:sz w:val="32"/>
          <w:szCs w:val="32"/>
        </w:rPr>
        <w:t>22年一般公共预算财政拨款支出</w:t>
      </w:r>
      <w:r>
        <w:rPr>
          <w:rFonts w:hint="eastAsia" w:ascii="仿宋" w:hAnsi="仿宋" w:eastAsia="仿宋"/>
          <w:sz w:val="32"/>
          <w:szCs w:val="32"/>
          <w:lang w:val="en-US" w:eastAsia="zh-CN"/>
        </w:rPr>
        <w:t>217.47</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一般公共服务</w:t>
      </w:r>
      <w:r>
        <w:rPr>
          <w:rFonts w:hint="eastAsia" w:ascii="仿宋" w:hAnsi="仿宋" w:eastAsia="仿宋"/>
          <w:b/>
          <w:bCs/>
          <w:sz w:val="32"/>
          <w:szCs w:val="32"/>
        </w:rPr>
        <w:t>支出</w:t>
      </w:r>
      <w:r>
        <w:rPr>
          <w:rFonts w:hint="eastAsia" w:ascii="仿宋" w:hAnsi="仿宋" w:eastAsia="仿宋"/>
          <w:b/>
          <w:bCs/>
          <w:sz w:val="32"/>
          <w:szCs w:val="32"/>
          <w:lang w:val="en-US" w:eastAsia="zh-CN"/>
        </w:rPr>
        <w:t>194.1</w:t>
      </w:r>
      <w:r>
        <w:rPr>
          <w:rFonts w:hint="eastAsia" w:ascii="仿宋" w:hAnsi="仿宋" w:eastAsia="仿宋"/>
          <w:sz w:val="32"/>
          <w:szCs w:val="32"/>
        </w:rPr>
        <w:t>万元，占</w:t>
      </w:r>
      <w:r>
        <w:rPr>
          <w:rFonts w:hint="eastAsia" w:ascii="仿宋" w:hAnsi="仿宋" w:eastAsia="仿宋"/>
          <w:sz w:val="32"/>
          <w:szCs w:val="32"/>
          <w:lang w:val="en-US" w:eastAsia="zh-CN"/>
        </w:rPr>
        <w:t>89.25</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lang w:val="en-US" w:eastAsia="zh-CN"/>
        </w:rPr>
        <w:t>6.86</w:t>
      </w:r>
      <w:r>
        <w:rPr>
          <w:rFonts w:hint="eastAsia" w:ascii="仿宋" w:hAnsi="仿宋" w:eastAsia="仿宋"/>
          <w:sz w:val="32"/>
          <w:szCs w:val="32"/>
        </w:rPr>
        <w:t>万元，占</w:t>
      </w:r>
      <w:r>
        <w:rPr>
          <w:rFonts w:hint="eastAsia" w:ascii="仿宋" w:hAnsi="仿宋" w:eastAsia="仿宋"/>
          <w:sz w:val="32"/>
          <w:szCs w:val="32"/>
          <w:lang w:val="en-US" w:eastAsia="zh-CN"/>
        </w:rPr>
        <w:t>3.15</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4</w:t>
      </w:r>
      <w:r>
        <w:rPr>
          <w:rFonts w:hint="eastAsia" w:ascii="仿宋" w:hAnsi="仿宋" w:eastAsia="仿宋"/>
          <w:sz w:val="32"/>
          <w:szCs w:val="32"/>
        </w:rPr>
        <w:t>万元，占</w:t>
      </w:r>
      <w:r>
        <w:rPr>
          <w:rFonts w:hint="eastAsia" w:ascii="仿宋" w:hAnsi="仿宋" w:eastAsia="仿宋"/>
          <w:sz w:val="32"/>
          <w:szCs w:val="32"/>
          <w:lang w:val="en-US" w:eastAsia="zh-CN"/>
        </w:rPr>
        <w:t>1.85</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lang w:val="en-US" w:eastAsia="zh-CN"/>
        </w:rPr>
        <w:t>12.51</w:t>
      </w:r>
      <w:r>
        <w:rPr>
          <w:rFonts w:hint="eastAsia" w:ascii="仿宋" w:hAnsi="仿宋" w:eastAsia="仿宋"/>
          <w:sz w:val="32"/>
          <w:szCs w:val="32"/>
        </w:rPr>
        <w:t>万元，占</w:t>
      </w:r>
      <w:r>
        <w:rPr>
          <w:rFonts w:hint="eastAsia" w:ascii="仿宋" w:hAnsi="仿宋" w:eastAsia="仿宋"/>
          <w:sz w:val="32"/>
          <w:szCs w:val="32"/>
          <w:lang w:val="en-US" w:eastAsia="zh-CN"/>
        </w:rPr>
        <w:t>5.75</w:t>
      </w:r>
      <w:r>
        <w:rPr>
          <w:rFonts w:ascii="仿宋" w:hAnsi="仿宋" w:eastAsia="仿宋"/>
          <w:sz w:val="32"/>
          <w:szCs w:val="32"/>
        </w:rPr>
        <w:t>%</w:t>
      </w:r>
      <w:r>
        <w:rPr>
          <w:rFonts w:hint="eastAsia" w:ascii="仿宋" w:hAnsi="仿宋" w:eastAsia="仿宋"/>
          <w:sz w:val="32"/>
          <w:szCs w:val="32"/>
        </w:rPr>
        <w:t>。</w:t>
      </w:r>
      <w:bookmarkStart w:id="36" w:name="_Toc15377212"/>
    </w:p>
    <w:p>
      <w:pPr>
        <w:rPr>
          <w:rFonts w:hint="eastAsia" w:ascii="仿宋" w:hAnsi="仿宋" w:eastAsia="仿宋"/>
          <w:b/>
          <w:sz w:val="32"/>
          <w:szCs w:val="32"/>
        </w:rPr>
      </w:pPr>
      <w:r>
        <w:rPr>
          <w:rFonts w:hint="eastAsia" w:ascii="仿宋" w:hAnsi="仿宋" w:eastAsia="仿宋"/>
          <w:b/>
          <w:sz w:val="32"/>
          <w:szCs w:val="32"/>
          <w:lang w:eastAsia="zh-CN"/>
        </w:rPr>
        <w:drawing>
          <wp:inline distT="0" distB="0" distL="114300" distR="114300">
            <wp:extent cx="5080000" cy="3810000"/>
            <wp:effectExtent l="4445" t="4445" r="2095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rPr>
          <w:rFonts w:hint="eastAsia"/>
        </w:rPr>
      </w:pPr>
    </w:p>
    <w:p>
      <w:pPr>
        <w:spacing w:line="600" w:lineRule="exact"/>
        <w:ind w:firstLine="643" w:firstLineChars="200"/>
        <w:outlineLvl w:val="2"/>
        <w:rPr>
          <w:rFonts w:ascii="仿宋" w:hAnsi="仿宋" w:eastAsia="仿宋"/>
          <w:b/>
          <w:sz w:val="32"/>
          <w:szCs w:val="32"/>
        </w:rPr>
      </w:pPr>
      <w:r>
        <w:rPr>
          <w:rFonts w:hint="eastAsia" w:ascii="仿宋" w:hAnsi="仿宋" w:eastAsia="仿宋"/>
          <w:b/>
          <w:sz w:val="32"/>
          <w:szCs w:val="32"/>
        </w:rPr>
        <w:t>（三）一般公共预算财政拨款支出决算具体情况</w:t>
      </w:r>
      <w:bookmarkEnd w:id="36"/>
    </w:p>
    <w:p>
      <w:pPr>
        <w:spacing w:line="600" w:lineRule="exact"/>
        <w:ind w:firstLine="643" w:firstLineChars="200"/>
        <w:outlineLvl w:val="2"/>
        <w:rPr>
          <w:rFonts w:ascii="仿宋" w:hAnsi="仿宋" w:eastAsia="仿宋"/>
          <w:sz w:val="32"/>
          <w:szCs w:val="32"/>
        </w:rPr>
      </w:pPr>
      <w:bookmarkStart w:id="37" w:name="_Toc15377213"/>
      <w:bookmarkStart w:id="38" w:name="_Toc15378460"/>
      <w:bookmarkStart w:id="39" w:name="_Toc15377444"/>
      <w:r>
        <w:rPr>
          <w:rFonts w:hint="eastAsia" w:ascii="仿宋" w:hAnsi="仿宋" w:eastAsia="仿宋"/>
          <w:b/>
          <w:sz w:val="32"/>
          <w:szCs w:val="32"/>
        </w:rPr>
        <w:t>2022年一般公共预算支出决算数为</w:t>
      </w:r>
      <w:r>
        <w:rPr>
          <w:rFonts w:hint="eastAsia" w:ascii="仿宋" w:hAnsi="仿宋" w:eastAsia="仿宋"/>
          <w:b/>
          <w:sz w:val="32"/>
          <w:szCs w:val="32"/>
          <w:lang w:val="en-US" w:eastAsia="zh-CN"/>
        </w:rPr>
        <w:t>217.47</w:t>
      </w:r>
      <w:r>
        <w:rPr>
          <w:rFonts w:hint="eastAsia" w:ascii="仿宋" w:hAnsi="仿宋" w:eastAsia="仿宋"/>
          <w:sz w:val="32"/>
          <w:szCs w:val="32"/>
        </w:rPr>
        <w:t>，</w:t>
      </w:r>
      <w:r>
        <w:rPr>
          <w:rStyle w:val="17"/>
          <w:rFonts w:hint="eastAsia" w:ascii="仿宋" w:hAnsi="仿宋" w:eastAsia="仿宋"/>
          <w:bCs/>
          <w:sz w:val="32"/>
          <w:szCs w:val="32"/>
        </w:rPr>
        <w:t>完成预算</w:t>
      </w:r>
      <w:r>
        <w:rPr>
          <w:rStyle w:val="17"/>
          <w:rFonts w:hint="eastAsia" w:ascii="仿宋" w:hAnsi="仿宋" w:eastAsia="仿宋"/>
          <w:bCs/>
          <w:sz w:val="32"/>
          <w:szCs w:val="32"/>
          <w:lang w:val="en-US" w:eastAsia="zh-CN"/>
        </w:rPr>
        <w:t>99.41</w:t>
      </w:r>
      <w:r>
        <w:rPr>
          <w:rStyle w:val="17"/>
          <w:rFonts w:ascii="仿宋" w:hAnsi="仿宋" w:eastAsia="仿宋"/>
          <w:bCs/>
          <w:sz w:val="32"/>
          <w:szCs w:val="32"/>
        </w:rPr>
        <w:t>%</w:t>
      </w:r>
      <w:r>
        <w:rPr>
          <w:rStyle w:val="17"/>
          <w:rFonts w:hint="eastAsia" w:ascii="仿宋" w:hAnsi="仿宋" w:eastAsia="仿宋"/>
          <w:bCs/>
          <w:sz w:val="32"/>
          <w:szCs w:val="32"/>
        </w:rPr>
        <w:t>。其中：</w:t>
      </w:r>
      <w:bookmarkEnd w:id="37"/>
      <w:bookmarkEnd w:id="38"/>
      <w:bookmarkEnd w:id="39"/>
    </w:p>
    <w:p>
      <w:pPr>
        <w:spacing w:line="600" w:lineRule="exact"/>
        <w:ind w:firstLine="643" w:firstLineChars="200"/>
        <w:rPr>
          <w:rFonts w:ascii="仿宋" w:hAnsi="仿宋" w:eastAsia="仿宋"/>
          <w:b/>
          <w:sz w:val="32"/>
          <w:szCs w:val="32"/>
        </w:rPr>
      </w:pPr>
      <w:r>
        <w:rPr>
          <w:rStyle w:val="17"/>
          <w:rFonts w:ascii="仿宋" w:hAnsi="仿宋" w:eastAsia="仿宋"/>
          <w:bCs/>
          <w:sz w:val="32"/>
          <w:szCs w:val="32"/>
        </w:rPr>
        <w:t>1.</w:t>
      </w:r>
      <w:r>
        <w:rPr>
          <w:rStyle w:val="17"/>
          <w:rFonts w:hint="eastAsia" w:ascii="仿宋" w:hAnsi="仿宋" w:eastAsia="仿宋"/>
          <w:bCs/>
          <w:sz w:val="32"/>
          <w:szCs w:val="32"/>
        </w:rPr>
        <w:t>一般公共服务（类）</w:t>
      </w:r>
      <w:r>
        <w:rPr>
          <w:rStyle w:val="17"/>
          <w:rFonts w:hint="eastAsia" w:ascii="仿宋" w:hAnsi="仿宋" w:eastAsia="仿宋"/>
          <w:bCs/>
          <w:sz w:val="32"/>
          <w:szCs w:val="32"/>
          <w:lang w:val="en-US" w:eastAsia="zh-CN"/>
        </w:rPr>
        <w:t>201</w:t>
      </w:r>
      <w:r>
        <w:rPr>
          <w:rStyle w:val="17"/>
          <w:rFonts w:hint="eastAsia" w:ascii="仿宋" w:hAnsi="仿宋" w:eastAsia="仿宋"/>
          <w:bCs/>
          <w:sz w:val="32"/>
          <w:szCs w:val="32"/>
        </w:rPr>
        <w:t>（款）</w:t>
      </w:r>
      <w:r>
        <w:rPr>
          <w:rStyle w:val="17"/>
          <w:rFonts w:hint="eastAsia" w:ascii="仿宋" w:hAnsi="仿宋" w:eastAsia="仿宋"/>
          <w:bCs/>
          <w:sz w:val="32"/>
          <w:szCs w:val="32"/>
          <w:lang w:val="en-US" w:eastAsia="zh-CN"/>
        </w:rPr>
        <w:t>31（</w:t>
      </w:r>
      <w:r>
        <w:rPr>
          <w:rStyle w:val="17"/>
          <w:rFonts w:hint="eastAsia" w:ascii="仿宋" w:hAnsi="仿宋" w:eastAsia="仿宋"/>
          <w:bCs/>
          <w:sz w:val="32"/>
          <w:szCs w:val="32"/>
        </w:rPr>
        <w:t>项）</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val="en-US" w:eastAsia="zh-CN"/>
        </w:rPr>
        <w:t>194.1</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val="en-US" w:eastAsia="zh-CN"/>
        </w:rPr>
        <w:t>99.33</w:t>
      </w:r>
      <w:r>
        <w:rPr>
          <w:rStyle w:val="17"/>
          <w:rFonts w:ascii="仿宋" w:hAnsi="仿宋" w:eastAsia="仿宋"/>
          <w:b w:val="0"/>
          <w:bCs/>
          <w:sz w:val="32"/>
          <w:szCs w:val="32"/>
        </w:rPr>
        <w:t>%</w:t>
      </w:r>
      <w:r>
        <w:rPr>
          <w:rStyle w:val="17"/>
          <w:rFonts w:hint="eastAsia" w:ascii="仿宋" w:hAnsi="仿宋" w:eastAsia="仿宋"/>
          <w:b w:val="0"/>
          <w:bCs/>
          <w:sz w:val="32"/>
          <w:szCs w:val="32"/>
          <w:lang w:eastAsia="zh-CN"/>
        </w:rPr>
        <w:t>，</w:t>
      </w:r>
      <w:r>
        <w:rPr>
          <w:rStyle w:val="17"/>
          <w:rFonts w:hint="eastAsia" w:ascii="仿宋" w:hAnsi="仿宋" w:eastAsia="仿宋"/>
          <w:b w:val="0"/>
          <w:bCs/>
          <w:sz w:val="32"/>
          <w:szCs w:val="32"/>
        </w:rPr>
        <w:t>决算数小于预算数的主要原因是</w:t>
      </w:r>
      <w:r>
        <w:rPr>
          <w:rStyle w:val="17"/>
          <w:rFonts w:hint="eastAsia" w:ascii="仿宋" w:hAnsi="仿宋" w:eastAsia="仿宋"/>
          <w:b w:val="0"/>
          <w:bCs/>
          <w:sz w:val="32"/>
          <w:szCs w:val="32"/>
          <w:lang w:eastAsia="zh-CN"/>
        </w:rPr>
        <w:t>，老干部去世，慰问费减少</w:t>
      </w:r>
      <w:r>
        <w:rPr>
          <w:rStyle w:val="17"/>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7"/>
          <w:rFonts w:hint="eastAsia" w:ascii="仿宋" w:hAnsi="仿宋" w:eastAsia="仿宋"/>
          <w:bCs/>
          <w:sz w:val="32"/>
          <w:szCs w:val="32"/>
          <w:lang w:val="en-US" w:eastAsia="zh-CN"/>
        </w:rPr>
        <w:t>2</w:t>
      </w:r>
      <w:r>
        <w:rPr>
          <w:rStyle w:val="17"/>
          <w:rFonts w:ascii="仿宋" w:hAnsi="仿宋" w:eastAsia="仿宋"/>
          <w:bCs/>
          <w:sz w:val="32"/>
          <w:szCs w:val="32"/>
        </w:rPr>
        <w:t>.</w:t>
      </w:r>
      <w:r>
        <w:rPr>
          <w:rStyle w:val="17"/>
          <w:rFonts w:hint="eastAsia" w:ascii="仿宋" w:hAnsi="仿宋" w:eastAsia="仿宋"/>
          <w:bCs/>
          <w:sz w:val="32"/>
          <w:szCs w:val="32"/>
        </w:rPr>
        <w:t>社会保障和就业（类）</w:t>
      </w:r>
      <w:r>
        <w:rPr>
          <w:rStyle w:val="17"/>
          <w:rFonts w:hint="eastAsia" w:ascii="仿宋" w:hAnsi="仿宋" w:eastAsia="仿宋"/>
          <w:bCs/>
          <w:sz w:val="32"/>
          <w:szCs w:val="32"/>
          <w:lang w:val="en-US" w:eastAsia="zh-CN"/>
        </w:rPr>
        <w:t>208</w:t>
      </w:r>
      <w:r>
        <w:rPr>
          <w:rStyle w:val="17"/>
          <w:rFonts w:hint="eastAsia" w:ascii="仿宋" w:hAnsi="仿宋" w:eastAsia="仿宋"/>
          <w:bCs/>
          <w:sz w:val="32"/>
          <w:szCs w:val="32"/>
        </w:rPr>
        <w:t>（款）</w:t>
      </w:r>
      <w:r>
        <w:rPr>
          <w:rStyle w:val="17"/>
          <w:rFonts w:hint="eastAsia" w:ascii="仿宋" w:hAnsi="仿宋" w:eastAsia="仿宋"/>
          <w:bCs/>
          <w:sz w:val="32"/>
          <w:szCs w:val="32"/>
          <w:lang w:val="en-US" w:eastAsia="zh-CN"/>
        </w:rPr>
        <w:t>05</w:t>
      </w:r>
      <w:r>
        <w:rPr>
          <w:rStyle w:val="17"/>
          <w:rFonts w:hint="eastAsia" w:ascii="仿宋" w:hAnsi="仿宋" w:eastAsia="仿宋"/>
          <w:bCs/>
          <w:sz w:val="32"/>
          <w:szCs w:val="32"/>
        </w:rPr>
        <w:t>（项）</w:t>
      </w:r>
      <w:r>
        <w:rPr>
          <w:rStyle w:val="17"/>
          <w:rFonts w:hint="eastAsia" w:ascii="仿宋" w:hAnsi="仿宋" w:eastAsia="仿宋"/>
          <w:bCs/>
          <w:sz w:val="32"/>
          <w:szCs w:val="32"/>
          <w:lang w:val="en-US" w:eastAsia="zh-CN"/>
        </w:rPr>
        <w:t>05</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val="en-US" w:eastAsia="zh-CN"/>
        </w:rPr>
        <w:t>6.86</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7"/>
          <w:rFonts w:hint="eastAsia" w:ascii="仿宋" w:hAnsi="仿宋" w:eastAsia="仿宋"/>
          <w:bCs/>
          <w:sz w:val="32"/>
          <w:szCs w:val="32"/>
          <w:lang w:val="en-US" w:eastAsia="zh-CN"/>
        </w:rPr>
        <w:t>3</w:t>
      </w:r>
      <w:r>
        <w:rPr>
          <w:rStyle w:val="17"/>
          <w:rFonts w:ascii="仿宋" w:hAnsi="仿宋" w:eastAsia="仿宋"/>
          <w:bCs/>
          <w:sz w:val="32"/>
          <w:szCs w:val="32"/>
        </w:rPr>
        <w:t>.</w:t>
      </w:r>
      <w:r>
        <w:rPr>
          <w:rFonts w:hint="eastAsia" w:ascii="仿宋" w:hAnsi="仿宋" w:eastAsia="仿宋"/>
          <w:b/>
          <w:bCs/>
          <w:sz w:val="32"/>
          <w:szCs w:val="32"/>
        </w:rPr>
        <w:t>卫生健康</w:t>
      </w:r>
      <w:r>
        <w:rPr>
          <w:rStyle w:val="17"/>
          <w:rFonts w:hint="eastAsia" w:ascii="仿宋" w:hAnsi="仿宋" w:eastAsia="仿宋"/>
          <w:bCs/>
          <w:sz w:val="32"/>
          <w:szCs w:val="32"/>
        </w:rPr>
        <w:t>（类）</w:t>
      </w:r>
      <w:r>
        <w:rPr>
          <w:rStyle w:val="17"/>
          <w:rFonts w:hint="eastAsia" w:ascii="仿宋" w:hAnsi="仿宋" w:eastAsia="仿宋"/>
          <w:bCs/>
          <w:sz w:val="32"/>
          <w:szCs w:val="32"/>
          <w:lang w:val="en-US" w:eastAsia="zh-CN"/>
        </w:rPr>
        <w:t>210</w:t>
      </w:r>
      <w:r>
        <w:rPr>
          <w:rStyle w:val="17"/>
          <w:rFonts w:hint="eastAsia" w:ascii="仿宋" w:hAnsi="仿宋" w:eastAsia="仿宋"/>
          <w:bCs/>
          <w:sz w:val="32"/>
          <w:szCs w:val="32"/>
        </w:rPr>
        <w:t>（款）</w:t>
      </w:r>
      <w:r>
        <w:rPr>
          <w:rStyle w:val="17"/>
          <w:rFonts w:hint="eastAsia" w:ascii="仿宋" w:hAnsi="仿宋" w:eastAsia="仿宋"/>
          <w:bCs/>
          <w:sz w:val="32"/>
          <w:szCs w:val="32"/>
          <w:lang w:val="en-US" w:eastAsia="zh-CN"/>
        </w:rPr>
        <w:t>11</w:t>
      </w:r>
      <w:r>
        <w:rPr>
          <w:rStyle w:val="17"/>
          <w:rFonts w:hint="eastAsia" w:ascii="仿宋" w:hAnsi="仿宋" w:eastAsia="仿宋"/>
          <w:bCs/>
          <w:sz w:val="32"/>
          <w:szCs w:val="32"/>
        </w:rPr>
        <w:t>（项）</w:t>
      </w:r>
      <w:r>
        <w:rPr>
          <w:rStyle w:val="17"/>
          <w:rFonts w:ascii="仿宋" w:hAnsi="仿宋" w:eastAsia="仿宋"/>
          <w:bCs/>
          <w:sz w:val="32"/>
          <w:szCs w:val="32"/>
        </w:rPr>
        <w:t>:</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val="en-US" w:eastAsia="zh-CN"/>
        </w:rPr>
        <w:t>4</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w:t>
      </w:r>
    </w:p>
    <w:p>
      <w:pPr>
        <w:spacing w:line="600" w:lineRule="exact"/>
        <w:ind w:firstLine="640"/>
        <w:rPr>
          <w:rFonts w:ascii="仿宋" w:hAnsi="仿宋" w:eastAsia="仿宋"/>
          <w:b/>
          <w:sz w:val="32"/>
          <w:szCs w:val="32"/>
        </w:rPr>
      </w:pPr>
      <w:r>
        <w:rPr>
          <w:rFonts w:hint="eastAsia" w:ascii="仿宋" w:hAnsi="仿宋" w:eastAsia="仿宋"/>
          <w:b/>
          <w:bCs/>
          <w:sz w:val="32"/>
          <w:szCs w:val="32"/>
          <w:lang w:val="en-US" w:eastAsia="zh-CN"/>
        </w:rPr>
        <w:t>4.</w:t>
      </w:r>
      <w:r>
        <w:rPr>
          <w:rFonts w:hint="eastAsia" w:ascii="仿宋" w:hAnsi="仿宋" w:eastAsia="仿宋"/>
          <w:b/>
          <w:bCs/>
          <w:sz w:val="32"/>
          <w:szCs w:val="32"/>
        </w:rPr>
        <w:t>住房保障支出</w:t>
      </w:r>
      <w:r>
        <w:rPr>
          <w:rStyle w:val="17"/>
          <w:rFonts w:hint="eastAsia" w:ascii="仿宋" w:hAnsi="仿宋" w:eastAsia="仿宋"/>
          <w:bCs/>
          <w:sz w:val="32"/>
          <w:szCs w:val="32"/>
        </w:rPr>
        <w:t>（类）</w:t>
      </w:r>
      <w:r>
        <w:rPr>
          <w:rStyle w:val="17"/>
          <w:rFonts w:hint="eastAsia" w:ascii="仿宋" w:hAnsi="仿宋" w:eastAsia="仿宋"/>
          <w:bCs/>
          <w:sz w:val="32"/>
          <w:szCs w:val="32"/>
          <w:lang w:val="en-US" w:eastAsia="zh-CN"/>
        </w:rPr>
        <w:t>221</w:t>
      </w:r>
      <w:r>
        <w:rPr>
          <w:rStyle w:val="17"/>
          <w:rFonts w:hint="eastAsia" w:ascii="仿宋" w:hAnsi="仿宋" w:eastAsia="仿宋"/>
          <w:bCs/>
          <w:sz w:val="32"/>
          <w:szCs w:val="32"/>
        </w:rPr>
        <w:t>（款）</w:t>
      </w:r>
      <w:r>
        <w:rPr>
          <w:rStyle w:val="17"/>
          <w:rFonts w:hint="eastAsia" w:ascii="仿宋" w:hAnsi="仿宋" w:eastAsia="仿宋"/>
          <w:bCs/>
          <w:sz w:val="32"/>
          <w:szCs w:val="32"/>
          <w:lang w:val="en-US" w:eastAsia="zh-CN"/>
        </w:rPr>
        <w:t>01</w:t>
      </w:r>
      <w:r>
        <w:rPr>
          <w:rStyle w:val="17"/>
          <w:rFonts w:hint="eastAsia" w:ascii="仿宋" w:hAnsi="仿宋" w:eastAsia="仿宋"/>
          <w:bCs/>
          <w:sz w:val="32"/>
          <w:szCs w:val="32"/>
        </w:rPr>
        <w:t>（项）</w:t>
      </w:r>
      <w:r>
        <w:rPr>
          <w:rStyle w:val="17"/>
          <w:rFonts w:hint="eastAsia" w:ascii="仿宋" w:hAnsi="仿宋" w:eastAsia="仿宋"/>
          <w:bCs/>
          <w:sz w:val="32"/>
          <w:szCs w:val="32"/>
          <w:lang w:val="en-US" w:eastAsia="zh-CN"/>
        </w:rPr>
        <w:t>01：</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val="en-US" w:eastAsia="zh-CN"/>
        </w:rPr>
        <w:t>12.51</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w:t>
      </w:r>
    </w:p>
    <w:p>
      <w:pPr>
        <w:tabs>
          <w:tab w:val="right" w:pos="8306"/>
        </w:tabs>
        <w:spacing w:line="600" w:lineRule="exact"/>
        <w:ind w:firstLine="640"/>
        <w:outlineLvl w:val="1"/>
        <w:rPr>
          <w:rStyle w:val="30"/>
        </w:rPr>
      </w:pPr>
      <w:bookmarkStart w:id="40" w:name="_Toc15377214"/>
      <w:bookmarkStart w:id="41"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0"/>
          <w:rFonts w:hint="eastAsia" w:ascii="黑体" w:hAnsi="黑体" w:eastAsia="黑体"/>
          <w:b w:val="0"/>
        </w:rPr>
        <w:t>般公共预算财政拨款基本支出决算情况说明</w:t>
      </w:r>
      <w:bookmarkEnd w:id="40"/>
      <w:bookmarkEnd w:id="41"/>
      <w:r>
        <w:rPr>
          <w:rStyle w:val="30"/>
          <w:rFonts w:ascii="黑体" w:hAnsi="黑体" w:eastAsia="黑体"/>
          <w:b w:val="0"/>
        </w:rPr>
        <w:tab/>
      </w:r>
    </w:p>
    <w:p>
      <w:pPr>
        <w:spacing w:line="600" w:lineRule="exact"/>
        <w:ind w:firstLine="645"/>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22年一般公共预算财政拨款基本支出</w:t>
      </w:r>
      <w:r>
        <w:rPr>
          <w:rFonts w:hint="eastAsia" w:ascii="仿宋" w:hAnsi="仿宋" w:eastAsia="仿宋"/>
          <w:sz w:val="32"/>
          <w:szCs w:val="32"/>
          <w:lang w:val="en-US" w:eastAsia="zh-CN"/>
        </w:rPr>
        <w:t>132.07</w:t>
      </w:r>
      <w:r>
        <w:rPr>
          <w:rFonts w:hint="eastAsia" w:ascii="仿宋" w:hAnsi="仿宋" w:eastAsia="仿宋"/>
          <w:sz w:val="32"/>
          <w:szCs w:val="32"/>
        </w:rPr>
        <w:t>万元，其中：</w:t>
      </w:r>
    </w:p>
    <w:p>
      <w:pPr>
        <w:spacing w:line="600" w:lineRule="exact"/>
        <w:ind w:firstLine="645"/>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109.67</w:t>
      </w:r>
      <w:r>
        <w:rPr>
          <w:rFonts w:hint="eastAsia" w:ascii="仿宋" w:hAnsi="仿宋" w:eastAsia="仿宋"/>
          <w:sz w:val="32"/>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 w:hAnsi="仿宋" w:eastAsia="仿宋"/>
          <w:sz w:val="32"/>
          <w:szCs w:val="32"/>
        </w:rPr>
        <w:br w:type="textWrapping"/>
      </w:r>
      <w:r>
        <w:rPr>
          <w:rFonts w:hint="eastAsia" w:ascii="仿宋" w:hAnsi="仿宋" w:eastAsia="仿宋"/>
          <w:sz w:val="32"/>
          <w:szCs w:val="32"/>
        </w:rPr>
        <w:t>　　公用经费</w:t>
      </w:r>
      <w:r>
        <w:rPr>
          <w:rFonts w:hint="eastAsia" w:ascii="仿宋" w:hAnsi="仿宋" w:eastAsia="仿宋"/>
          <w:sz w:val="32"/>
          <w:szCs w:val="32"/>
          <w:lang w:val="en-US" w:eastAsia="zh-CN"/>
        </w:rPr>
        <w:t>22.4</w:t>
      </w:r>
      <w:r>
        <w:rPr>
          <w:rFonts w:hint="eastAsia" w:ascii="仿宋" w:hAnsi="仿宋" w:eastAsia="仿宋"/>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rPr>
          <w:rFonts w:ascii="仿宋" w:hAnsi="仿宋" w:eastAsia="仿宋"/>
          <w:b/>
          <w:sz w:val="32"/>
          <w:szCs w:val="32"/>
        </w:rPr>
      </w:pPr>
    </w:p>
    <w:p>
      <w:pPr>
        <w:spacing w:line="600" w:lineRule="exact"/>
        <w:ind w:firstLine="640"/>
        <w:outlineLvl w:val="1"/>
        <w:rPr>
          <w:rStyle w:val="30"/>
          <w:rFonts w:ascii="黑体" w:hAnsi="黑体" w:eastAsia="黑体"/>
          <w:b w:val="0"/>
        </w:rPr>
      </w:pPr>
      <w:bookmarkStart w:id="42" w:name="_Toc15377215"/>
      <w:bookmarkStart w:id="43" w:name="_Toc15396609"/>
      <w:r>
        <w:rPr>
          <w:rFonts w:hint="eastAsia" w:ascii="黑体" w:eastAsia="黑体"/>
          <w:sz w:val="32"/>
          <w:szCs w:val="32"/>
        </w:rPr>
        <w:t>七、</w:t>
      </w:r>
      <w:r>
        <w:rPr>
          <w:rStyle w:val="30"/>
          <w:rFonts w:hint="eastAsia" w:ascii="黑体" w:hAnsi="黑体" w:eastAsia="黑体"/>
          <w:b w:val="0"/>
        </w:rPr>
        <w:t>财政拨款</w:t>
      </w:r>
      <w:r>
        <w:rPr>
          <w:rStyle w:val="30"/>
          <w:rFonts w:hint="eastAsia" w:ascii="黑体" w:hAnsi="黑体" w:eastAsia="黑体"/>
        </w:rPr>
        <w:t>“</w:t>
      </w:r>
      <w:r>
        <w:rPr>
          <w:rStyle w:val="30"/>
          <w:rFonts w:hint="eastAsia" w:ascii="黑体" w:hAnsi="黑体" w:eastAsia="黑体"/>
          <w:b w:val="0"/>
        </w:rPr>
        <w:t>三公”经费支出决算情况说明</w:t>
      </w:r>
      <w:bookmarkEnd w:id="42"/>
      <w:bookmarkEnd w:id="43"/>
    </w:p>
    <w:p>
      <w:pPr>
        <w:spacing w:line="600" w:lineRule="exact"/>
        <w:ind w:firstLine="640"/>
        <w:outlineLvl w:val="2"/>
        <w:rPr>
          <w:rFonts w:ascii="仿宋" w:hAnsi="仿宋" w:eastAsia="仿宋"/>
          <w:b/>
          <w:sz w:val="32"/>
          <w:szCs w:val="32"/>
        </w:rPr>
      </w:pPr>
      <w:bookmarkStart w:id="44" w:name="_Toc15377216"/>
      <w:r>
        <w:rPr>
          <w:rFonts w:hint="eastAsia" w:ascii="仿宋" w:hAnsi="仿宋" w:eastAsia="仿宋"/>
          <w:b/>
          <w:sz w:val="32"/>
          <w:szCs w:val="32"/>
        </w:rPr>
        <w:t>（一）“三公”经费财政拨款支出决算总体情况说明</w:t>
      </w:r>
      <w:bookmarkEnd w:id="44"/>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22年“三公”经费财政拨款支出决算为</w:t>
      </w:r>
      <w:r>
        <w:rPr>
          <w:rFonts w:hint="eastAsia" w:ascii="仿宋" w:hAnsi="仿宋" w:eastAsia="仿宋"/>
          <w:sz w:val="32"/>
          <w:szCs w:val="32"/>
          <w:lang w:val="en-US" w:eastAsia="zh-CN"/>
        </w:rPr>
        <w:t>3.49</w:t>
      </w:r>
      <w:r>
        <w:rPr>
          <w:rFonts w:hint="eastAsia" w:ascii="仿宋" w:hAnsi="仿宋" w:eastAsia="仿宋"/>
          <w:sz w:val="32"/>
          <w:szCs w:val="32"/>
        </w:rPr>
        <w:t>万元，完成预算</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，较上年减少</w:t>
      </w:r>
      <w:r>
        <w:rPr>
          <w:rFonts w:hint="eastAsia" w:ascii="仿宋" w:hAnsi="仿宋" w:eastAsia="仿宋"/>
          <w:sz w:val="32"/>
          <w:szCs w:val="32"/>
          <w:lang w:val="en-US" w:eastAsia="zh-CN"/>
        </w:rPr>
        <w:t>0.35</w:t>
      </w:r>
      <w:r>
        <w:rPr>
          <w:rFonts w:hint="eastAsia" w:ascii="仿宋" w:hAnsi="仿宋" w:eastAsia="仿宋"/>
          <w:sz w:val="32"/>
          <w:szCs w:val="32"/>
        </w:rPr>
        <w:t>万元，下降</w:t>
      </w:r>
      <w:r>
        <w:rPr>
          <w:rFonts w:hint="eastAsia" w:ascii="仿宋" w:hAnsi="仿宋" w:eastAsia="仿宋"/>
          <w:sz w:val="32"/>
          <w:szCs w:val="32"/>
          <w:lang w:val="en-US" w:eastAsia="zh-CN"/>
        </w:rPr>
        <w:t>9.11</w:t>
      </w:r>
      <w:r>
        <w:rPr>
          <w:rFonts w:hint="eastAsia" w:ascii="仿宋" w:hAnsi="仿宋" w:eastAsia="仿宋"/>
          <w:sz w:val="32"/>
          <w:szCs w:val="32"/>
        </w:rPr>
        <w:t>%。决算数与预算数持平的主要原因是</w:t>
      </w:r>
      <w:r>
        <w:rPr>
          <w:rFonts w:hint="eastAsia" w:ascii="仿宋" w:hAnsi="仿宋" w:eastAsia="仿宋"/>
          <w:sz w:val="32"/>
          <w:szCs w:val="32"/>
          <w:lang w:eastAsia="zh-CN"/>
        </w:rPr>
        <w:t>合理预算安排使用公务用车</w:t>
      </w:r>
      <w:r>
        <w:rPr>
          <w:rFonts w:hint="eastAsia" w:ascii="仿宋" w:hAnsi="仿宋" w:eastAsia="仿宋"/>
          <w:sz w:val="32"/>
          <w:szCs w:val="32"/>
        </w:rPr>
        <w:t>。</w:t>
      </w:r>
    </w:p>
    <w:p>
      <w:pPr>
        <w:spacing w:line="600" w:lineRule="exact"/>
        <w:ind w:firstLine="640"/>
        <w:outlineLvl w:val="2"/>
        <w:rPr>
          <w:rFonts w:ascii="仿宋" w:hAnsi="仿宋" w:eastAsia="仿宋"/>
          <w:b/>
          <w:sz w:val="32"/>
          <w:szCs w:val="32"/>
        </w:rPr>
      </w:pPr>
      <w:bookmarkStart w:id="45" w:name="_Toc15377217"/>
      <w:r>
        <w:rPr>
          <w:rFonts w:hint="eastAsia" w:ascii="仿宋" w:hAnsi="仿宋" w:eastAsia="仿宋"/>
          <w:b/>
          <w:sz w:val="32"/>
          <w:szCs w:val="32"/>
        </w:rPr>
        <w:t>（二）“三公”经费财政拨款支出决算具体情况说明</w:t>
      </w:r>
      <w:bookmarkEnd w:id="45"/>
    </w:p>
    <w:p>
      <w:pPr>
        <w:spacing w:line="600" w:lineRule="exact"/>
        <w:ind w:firstLine="640"/>
        <w:rPr>
          <w:rFonts w:hint="eastAsia"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22年“三公”经费财政拨款支出决算中</w:t>
      </w:r>
      <w:r>
        <w:rPr>
          <w:rFonts w:hint="eastAsia" w:ascii="仿宋" w:hAnsi="仿宋" w:eastAsia="仿宋"/>
          <w:sz w:val="32"/>
          <w:szCs w:val="32"/>
          <w:lang w:eastAsia="zh-CN"/>
        </w:rPr>
        <w:t>，</w:t>
      </w:r>
      <w:r>
        <w:rPr>
          <w:rFonts w:hint="eastAsia" w:ascii="仿宋" w:hAnsi="仿宋" w:eastAsia="仿宋"/>
          <w:sz w:val="32"/>
          <w:szCs w:val="32"/>
        </w:rPr>
        <w:t>公务用车购置及运行维护费支出决算</w:t>
      </w:r>
      <w:r>
        <w:rPr>
          <w:rFonts w:hint="eastAsia" w:ascii="仿宋" w:hAnsi="仿宋" w:eastAsia="仿宋"/>
          <w:sz w:val="32"/>
          <w:szCs w:val="32"/>
          <w:lang w:val="en-US" w:eastAsia="zh-CN"/>
        </w:rPr>
        <w:t>3.03</w:t>
      </w:r>
      <w:r>
        <w:rPr>
          <w:rFonts w:hint="eastAsia" w:ascii="仿宋" w:hAnsi="仿宋" w:eastAsia="仿宋"/>
          <w:sz w:val="32"/>
          <w:szCs w:val="32"/>
        </w:rPr>
        <w:t>万元，占</w:t>
      </w:r>
      <w:r>
        <w:rPr>
          <w:rFonts w:hint="eastAsia" w:ascii="仿宋" w:hAnsi="仿宋" w:eastAsia="仿宋"/>
          <w:sz w:val="32"/>
          <w:szCs w:val="32"/>
          <w:lang w:val="en-US" w:eastAsia="zh-CN"/>
        </w:rPr>
        <w:t>86.82</w:t>
      </w:r>
      <w:r>
        <w:rPr>
          <w:rFonts w:ascii="仿宋" w:hAnsi="仿宋" w:eastAsia="仿宋"/>
          <w:sz w:val="32"/>
          <w:szCs w:val="32"/>
        </w:rPr>
        <w:t>%</w:t>
      </w:r>
      <w:r>
        <w:rPr>
          <w:rFonts w:hint="eastAsia" w:ascii="仿宋" w:hAnsi="仿宋" w:eastAsia="仿宋"/>
          <w:sz w:val="32"/>
          <w:szCs w:val="32"/>
        </w:rPr>
        <w:t>；公务接待费支出决算</w:t>
      </w:r>
      <w:r>
        <w:rPr>
          <w:rFonts w:hint="eastAsia" w:ascii="仿宋" w:hAnsi="仿宋" w:eastAsia="仿宋"/>
          <w:sz w:val="32"/>
          <w:szCs w:val="32"/>
          <w:lang w:val="en-US" w:eastAsia="zh-CN"/>
        </w:rPr>
        <w:t>0.46</w:t>
      </w:r>
      <w:r>
        <w:rPr>
          <w:rFonts w:hint="eastAsia" w:ascii="仿宋" w:hAnsi="仿宋" w:eastAsia="仿宋"/>
          <w:sz w:val="32"/>
          <w:szCs w:val="32"/>
        </w:rPr>
        <w:t>万元，占</w:t>
      </w:r>
      <w:r>
        <w:rPr>
          <w:rFonts w:hint="eastAsia" w:ascii="仿宋" w:hAnsi="仿宋" w:eastAsia="仿宋"/>
          <w:sz w:val="32"/>
          <w:szCs w:val="32"/>
          <w:lang w:val="en-US" w:eastAsia="zh-CN"/>
        </w:rPr>
        <w:t>13.18</w:t>
      </w:r>
      <w:r>
        <w:rPr>
          <w:rFonts w:ascii="仿宋" w:hAnsi="仿宋" w:eastAsia="仿宋"/>
          <w:sz w:val="32"/>
          <w:szCs w:val="32"/>
        </w:rPr>
        <w:t>%</w:t>
      </w:r>
      <w:r>
        <w:rPr>
          <w:rFonts w:hint="eastAsia" w:ascii="仿宋" w:hAnsi="仿宋" w:eastAsia="仿宋"/>
          <w:sz w:val="32"/>
          <w:szCs w:val="32"/>
        </w:rPr>
        <w:t>。具体情况如下：</w:t>
      </w:r>
    </w:p>
    <w:p>
      <w:pPr>
        <w:spacing w:line="600" w:lineRule="exact"/>
        <w:ind w:firstLine="640"/>
        <w:rPr>
          <w:rFonts w:ascii="仿宋_GB2312" w:eastAsia="仿宋_GB2312"/>
          <w:b/>
          <w:sz w:val="32"/>
          <w:szCs w:val="32"/>
        </w:rPr>
      </w:pPr>
      <w:r>
        <w:rPr>
          <w:rFonts w:hint="eastAsia" w:ascii="仿宋_GB2312" w:eastAsia="仿宋_GB2312"/>
          <w:b/>
          <w:sz w:val="32"/>
          <w:szCs w:val="32"/>
          <w:lang w:eastAsia="zh-CN"/>
        </w:rPr>
        <w:drawing>
          <wp:anchor distT="0" distB="0" distL="114300" distR="114300" simplePos="0" relativeHeight="251664384" behindDoc="0" locked="0" layoutInCell="1" allowOverlap="1">
            <wp:simplePos x="0" y="0"/>
            <wp:positionH relativeFrom="column">
              <wp:posOffset>470535</wp:posOffset>
            </wp:positionH>
            <wp:positionV relativeFrom="paragraph">
              <wp:posOffset>280670</wp:posOffset>
            </wp:positionV>
            <wp:extent cx="4500245" cy="1758315"/>
            <wp:effectExtent l="4445" t="4445" r="10160" b="8890"/>
            <wp:wrapTopAndBottom/>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pPr>
        <w:spacing w:line="600" w:lineRule="exact"/>
        <w:ind w:firstLine="640"/>
        <w:rPr>
          <w:rFonts w:ascii="仿宋_GB2312" w:eastAsia="仿宋_GB2312"/>
          <w:b/>
          <w:sz w:val="32"/>
          <w:szCs w:val="32"/>
        </w:rPr>
      </w:pPr>
      <w:r>
        <w:rPr>
          <w:rFonts w:hint="eastAsia" w:ascii="仿宋_GB2312" w:eastAsia="仿宋_GB2312"/>
          <w:b/>
          <w:sz w:val="32"/>
          <w:szCs w:val="32"/>
          <w:lang w:val="en-US" w:eastAsia="zh-CN"/>
        </w:rPr>
        <w:t>1</w:t>
      </w:r>
      <w:r>
        <w:rPr>
          <w:rFonts w:ascii="仿宋_GB2312" w:eastAsia="仿宋_GB2312"/>
          <w:b/>
          <w:sz w:val="32"/>
          <w:szCs w:val="32"/>
        </w:rPr>
        <w:t>.</w:t>
      </w:r>
      <w:r>
        <w:rPr>
          <w:rFonts w:hint="eastAsia" w:ascii="仿宋_GB2312" w:eastAsia="仿宋_GB2312"/>
          <w:b/>
          <w:sz w:val="32"/>
          <w:szCs w:val="32"/>
        </w:rPr>
        <w:t>公务用车购置及运行维护费支出</w:t>
      </w:r>
      <w:r>
        <w:rPr>
          <w:rFonts w:hint="eastAsia" w:ascii="仿宋_GB2312" w:eastAsia="仿宋_GB2312"/>
          <w:sz w:val="32"/>
          <w:szCs w:val="32"/>
          <w:lang w:val="en-US" w:eastAsia="zh-CN"/>
        </w:rPr>
        <w:t>3.03</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hint="eastAsia" w:ascii="仿宋" w:hAnsi="仿宋" w:eastAsia="仿宋"/>
          <w:b w:val="0"/>
          <w:bCs/>
          <w:sz w:val="32"/>
          <w:szCs w:val="32"/>
          <w:lang w:val="en-US" w:eastAsia="zh-CN"/>
        </w:rPr>
        <w:t>86.82</w:t>
      </w:r>
      <w:r>
        <w:rPr>
          <w:rStyle w:val="17"/>
          <w:rFonts w:ascii="仿宋" w:hAnsi="仿宋" w:eastAsia="仿宋"/>
          <w:b w:val="0"/>
          <w:bCs/>
          <w:sz w:val="32"/>
          <w:szCs w:val="32"/>
        </w:rPr>
        <w:t>%</w:t>
      </w:r>
      <w:r>
        <w:rPr>
          <w:rStyle w:val="17"/>
          <w:rFonts w:hint="eastAsia" w:ascii="仿宋" w:hAnsi="仿宋" w:eastAsia="仿宋"/>
          <w:b w:val="0"/>
          <w:bCs/>
          <w:sz w:val="32"/>
          <w:szCs w:val="32"/>
        </w:rPr>
        <w:t>。</w:t>
      </w:r>
      <w:r>
        <w:rPr>
          <w:rFonts w:hint="eastAsia" w:ascii="仿宋_GB2312" w:eastAsia="仿宋_GB2312"/>
          <w:sz w:val="32"/>
          <w:szCs w:val="32"/>
        </w:rPr>
        <w:t>公务用车购置及运行维护费支出决算比</w:t>
      </w:r>
      <w:r>
        <w:rPr>
          <w:rFonts w:ascii="仿宋_GB2312" w:eastAsia="仿宋_GB2312"/>
          <w:sz w:val="32"/>
          <w:szCs w:val="32"/>
        </w:rPr>
        <w:t>20</w:t>
      </w:r>
      <w:r>
        <w:rPr>
          <w:rFonts w:hint="eastAsia" w:ascii="仿宋_GB2312" w:eastAsia="仿宋_GB2312"/>
          <w:sz w:val="32"/>
          <w:szCs w:val="32"/>
        </w:rPr>
        <w:t>21年减少</w:t>
      </w:r>
      <w:r>
        <w:rPr>
          <w:rFonts w:hint="eastAsia" w:ascii="仿宋_GB2312" w:eastAsia="仿宋_GB2312"/>
          <w:sz w:val="32"/>
          <w:szCs w:val="32"/>
          <w:lang w:val="en-US" w:eastAsia="zh-CN"/>
        </w:rPr>
        <w:t>0.24</w:t>
      </w:r>
      <w:r>
        <w:rPr>
          <w:rFonts w:hint="eastAsia" w:ascii="仿宋_GB2312" w:eastAsia="仿宋_GB2312"/>
          <w:sz w:val="32"/>
          <w:szCs w:val="32"/>
        </w:rPr>
        <w:t>万元，下降</w:t>
      </w:r>
      <w:r>
        <w:rPr>
          <w:rFonts w:hint="eastAsia" w:ascii="仿宋_GB2312" w:eastAsia="仿宋_GB2312"/>
          <w:sz w:val="32"/>
          <w:szCs w:val="32"/>
          <w:lang w:val="en-US" w:eastAsia="zh-CN"/>
        </w:rPr>
        <w:t>7.12</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eastAsia="zh-CN"/>
        </w:rPr>
        <w:t>公务用车使用时间减少</w:t>
      </w:r>
      <w:r>
        <w:rPr>
          <w:rFonts w:hint="eastAsia" w:ascii="仿宋_GB2312" w:eastAsia="仿宋_GB2312"/>
          <w:sz w:val="32"/>
          <w:szCs w:val="32"/>
        </w:rPr>
        <w:t>。</w:t>
      </w:r>
    </w:p>
    <w:p>
      <w:pPr>
        <w:spacing w:line="600" w:lineRule="exact"/>
        <w:ind w:firstLine="640"/>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月底，单位共有公务用车</w:t>
      </w:r>
      <w:r>
        <w:rPr>
          <w:rFonts w:hint="eastAsia" w:ascii="仿宋_GB2312" w:eastAsia="仿宋_GB2312"/>
          <w:sz w:val="32"/>
          <w:szCs w:val="32"/>
          <w:lang w:val="en-US" w:eastAsia="zh-CN"/>
        </w:rPr>
        <w:t>1</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辆、越野车</w:t>
      </w:r>
      <w:r>
        <w:rPr>
          <w:rFonts w:hint="eastAsia" w:ascii="仿宋_GB2312" w:eastAsia="仿宋_GB2312"/>
          <w:sz w:val="32"/>
          <w:szCs w:val="32"/>
          <w:lang w:val="en-US" w:eastAsia="zh-CN"/>
        </w:rPr>
        <w:t>0</w:t>
      </w:r>
      <w:r>
        <w:rPr>
          <w:rFonts w:hint="eastAsia" w:ascii="仿宋_GB2312" w:eastAsia="仿宋_GB2312"/>
          <w:sz w:val="32"/>
          <w:szCs w:val="32"/>
        </w:rPr>
        <w:t>辆、载客汽车</w:t>
      </w:r>
      <w:r>
        <w:rPr>
          <w:rFonts w:hint="eastAsia" w:ascii="仿宋_GB2312" w:eastAsia="仿宋_GB2312"/>
          <w:sz w:val="32"/>
          <w:szCs w:val="32"/>
          <w:lang w:val="en-US" w:eastAsia="zh-CN"/>
        </w:rPr>
        <w:t>1</w:t>
      </w:r>
      <w:r>
        <w:rPr>
          <w:rFonts w:hint="eastAsia" w:ascii="仿宋_GB2312" w:eastAsia="仿宋_GB2312"/>
          <w:sz w:val="32"/>
          <w:szCs w:val="32"/>
        </w:rPr>
        <w:t>辆。</w:t>
      </w:r>
    </w:p>
    <w:p>
      <w:pPr>
        <w:spacing w:line="600" w:lineRule="exact"/>
        <w:ind w:firstLine="640"/>
        <w:rPr>
          <w:rFonts w:ascii="仿宋_GB2312" w:eastAsia="仿宋_GB2312"/>
          <w:sz w:val="32"/>
          <w:szCs w:val="32"/>
        </w:rPr>
      </w:pPr>
      <w:r>
        <w:rPr>
          <w:rFonts w:hint="eastAsia" w:ascii="仿宋_GB2312" w:eastAsia="仿宋_GB2312"/>
          <w:b/>
          <w:sz w:val="32"/>
          <w:szCs w:val="32"/>
          <w:lang w:val="en-US" w:eastAsia="zh-CN"/>
        </w:rPr>
        <w:t>2.</w:t>
      </w:r>
      <w:r>
        <w:rPr>
          <w:rFonts w:hint="eastAsia" w:ascii="仿宋_GB2312" w:eastAsia="仿宋_GB2312"/>
          <w:b/>
          <w:sz w:val="32"/>
          <w:szCs w:val="32"/>
        </w:rPr>
        <w:t>公务用车运行维护费支出</w:t>
      </w:r>
      <w:r>
        <w:rPr>
          <w:rFonts w:hint="eastAsia" w:ascii="仿宋_GB2312" w:eastAsia="仿宋_GB2312"/>
          <w:sz w:val="32"/>
          <w:szCs w:val="32"/>
          <w:lang w:val="en-US" w:eastAsia="zh-CN"/>
        </w:rPr>
        <w:t>3.03</w:t>
      </w:r>
      <w:r>
        <w:rPr>
          <w:rFonts w:hint="eastAsia" w:ascii="仿宋_GB2312" w:eastAsia="仿宋_GB2312"/>
          <w:sz w:val="32"/>
          <w:szCs w:val="32"/>
        </w:rPr>
        <w:t>万元。主要用于</w:t>
      </w:r>
      <w:r>
        <w:rPr>
          <w:rFonts w:hint="eastAsia" w:ascii="仿宋_GB2312" w:eastAsia="仿宋_GB2312"/>
          <w:sz w:val="32"/>
          <w:szCs w:val="32"/>
          <w:lang w:eastAsia="zh-CN"/>
        </w:rPr>
        <w:t>出差、保障老干部用车</w:t>
      </w:r>
      <w:r>
        <w:rPr>
          <w:rFonts w:hint="eastAsia" w:ascii="仿宋_GB2312" w:eastAsia="仿宋_GB2312"/>
          <w:sz w:val="32"/>
          <w:szCs w:val="32"/>
        </w:rPr>
        <w:t>等所需的公务用车燃料费、维修费、过路过桥费、保险费等支出。</w:t>
      </w:r>
    </w:p>
    <w:p>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_GB2312" w:eastAsia="仿宋_GB2312"/>
          <w:sz w:val="32"/>
          <w:szCs w:val="32"/>
          <w:lang w:val="en-US" w:eastAsia="zh-CN"/>
        </w:rPr>
        <w:t>0.46</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w:t>
      </w:r>
      <w:r>
        <w:rPr>
          <w:rFonts w:hint="eastAsia" w:ascii="仿宋_GB2312" w:eastAsia="仿宋_GB2312"/>
          <w:sz w:val="32"/>
          <w:szCs w:val="32"/>
        </w:rPr>
        <w:t>公务接待费支出决算比</w:t>
      </w:r>
      <w:r>
        <w:rPr>
          <w:rFonts w:ascii="仿宋_GB2312" w:eastAsia="仿宋_GB2312"/>
          <w:sz w:val="32"/>
          <w:szCs w:val="32"/>
        </w:rPr>
        <w:t>20</w:t>
      </w:r>
      <w:r>
        <w:rPr>
          <w:rFonts w:hint="eastAsia" w:ascii="仿宋_GB2312" w:eastAsia="仿宋_GB2312"/>
          <w:sz w:val="32"/>
          <w:szCs w:val="32"/>
        </w:rPr>
        <w:t>21年减少</w:t>
      </w:r>
      <w:r>
        <w:rPr>
          <w:rFonts w:hint="eastAsia" w:ascii="仿宋_GB2312" w:eastAsia="仿宋_GB2312"/>
          <w:sz w:val="32"/>
          <w:szCs w:val="32"/>
          <w:lang w:val="en-US" w:eastAsia="zh-CN"/>
        </w:rPr>
        <w:t>0.02</w:t>
      </w:r>
      <w:r>
        <w:rPr>
          <w:rFonts w:hint="eastAsia" w:ascii="仿宋_GB2312" w:eastAsia="仿宋_GB2312"/>
          <w:sz w:val="32"/>
          <w:szCs w:val="32"/>
        </w:rPr>
        <w:t>万元，下降</w:t>
      </w:r>
      <w:r>
        <w:rPr>
          <w:rFonts w:hint="eastAsia" w:ascii="仿宋_GB2312" w:eastAsia="仿宋_GB2312"/>
          <w:sz w:val="32"/>
          <w:szCs w:val="32"/>
          <w:lang w:val="en-US" w:eastAsia="zh-CN"/>
        </w:rPr>
        <w:t>4.17</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eastAsia="zh-CN"/>
        </w:rPr>
        <w:t>公务接待人次减少</w:t>
      </w:r>
      <w:r>
        <w:rPr>
          <w:rFonts w:hint="eastAsia" w:ascii="仿宋_GB2312" w:eastAsia="仿宋_GB2312"/>
          <w:sz w:val="32"/>
          <w:szCs w:val="32"/>
        </w:rPr>
        <w:t>。其中：</w:t>
      </w:r>
    </w:p>
    <w:p>
      <w:pPr>
        <w:spacing w:line="600" w:lineRule="exact"/>
        <w:ind w:firstLine="640"/>
        <w:rPr>
          <w:rFonts w:ascii="黑体" w:eastAsia="黑体"/>
          <w:sz w:val="32"/>
          <w:szCs w:val="32"/>
        </w:rPr>
      </w:pPr>
      <w:r>
        <w:rPr>
          <w:rFonts w:hint="eastAsia" w:ascii="仿宋" w:hAnsi="仿宋" w:eastAsia="仿宋"/>
          <w:b/>
          <w:sz w:val="32"/>
          <w:szCs w:val="32"/>
        </w:rPr>
        <w:t>国内公务接待支出</w:t>
      </w:r>
      <w:r>
        <w:rPr>
          <w:rFonts w:hint="eastAsia" w:ascii="仿宋" w:hAnsi="仿宋" w:eastAsia="仿宋"/>
          <w:b/>
          <w:sz w:val="32"/>
          <w:szCs w:val="32"/>
          <w:lang w:val="en-US" w:eastAsia="zh-CN"/>
        </w:rPr>
        <w:t>0.46</w:t>
      </w:r>
      <w:r>
        <w:rPr>
          <w:rFonts w:hint="eastAsia" w:ascii="仿宋_GB2312" w:eastAsia="仿宋_GB2312"/>
          <w:sz w:val="32"/>
          <w:szCs w:val="32"/>
        </w:rPr>
        <w:t>万元，主要用于</w:t>
      </w:r>
      <w:r>
        <w:rPr>
          <w:rFonts w:hint="eastAsia" w:ascii="仿宋_GB2312" w:eastAsia="仿宋_GB2312"/>
          <w:sz w:val="32"/>
          <w:szCs w:val="32"/>
          <w:lang w:eastAsia="zh-CN"/>
        </w:rPr>
        <w:t>接待资阳市各县区老干部局到乐至调研老干部工作等</w:t>
      </w:r>
      <w:r>
        <w:rPr>
          <w:rFonts w:hint="eastAsia" w:ascii="仿宋_GB2312" w:eastAsia="仿宋_GB2312"/>
          <w:sz w:val="32"/>
          <w:szCs w:val="32"/>
        </w:rPr>
        <w:t>。国内公务接待</w:t>
      </w:r>
      <w:r>
        <w:rPr>
          <w:rFonts w:hint="eastAsia" w:ascii="仿宋_GB2312" w:eastAsia="仿宋_GB2312"/>
          <w:sz w:val="32"/>
          <w:szCs w:val="32"/>
          <w:lang w:val="en-US" w:eastAsia="zh-CN"/>
        </w:rPr>
        <w:t>4</w:t>
      </w:r>
      <w:r>
        <w:rPr>
          <w:rFonts w:hint="eastAsia" w:ascii="仿宋_GB2312" w:eastAsia="仿宋_GB2312"/>
          <w:sz w:val="32"/>
          <w:szCs w:val="32"/>
        </w:rPr>
        <w:t>批次，</w:t>
      </w:r>
      <w:r>
        <w:rPr>
          <w:rFonts w:hint="eastAsia" w:ascii="仿宋_GB2312" w:eastAsia="仿宋_GB2312"/>
          <w:sz w:val="32"/>
          <w:szCs w:val="32"/>
          <w:lang w:val="en-US" w:eastAsia="zh-CN"/>
        </w:rPr>
        <w:t>65</w:t>
      </w:r>
      <w:r>
        <w:rPr>
          <w:rFonts w:hint="eastAsia" w:ascii="仿宋_GB2312" w:eastAsia="仿宋_GB2312"/>
          <w:sz w:val="32"/>
          <w:szCs w:val="32"/>
        </w:rPr>
        <w:t>人次，共计支出</w:t>
      </w:r>
      <w:r>
        <w:rPr>
          <w:rFonts w:hint="eastAsia" w:ascii="仿宋_GB2312" w:eastAsia="仿宋_GB2312"/>
          <w:sz w:val="32"/>
          <w:szCs w:val="32"/>
          <w:lang w:val="en-US" w:eastAsia="zh-CN"/>
        </w:rPr>
        <w:t>0.46</w:t>
      </w:r>
      <w:r>
        <w:rPr>
          <w:rFonts w:hint="eastAsia" w:ascii="仿宋_GB2312" w:eastAsia="仿宋_GB2312"/>
          <w:sz w:val="32"/>
          <w:szCs w:val="32"/>
        </w:rPr>
        <w:t>万元，具体内容包括：</w:t>
      </w:r>
      <w:r>
        <w:rPr>
          <w:rFonts w:hint="eastAsia" w:ascii="仿宋_GB2312" w:eastAsia="仿宋_GB2312"/>
          <w:sz w:val="32"/>
          <w:szCs w:val="32"/>
          <w:lang w:eastAsia="zh-CN"/>
        </w:rPr>
        <w:t>接待市委老干部局一行调研乐至老干部工作重点任务，接待费用</w:t>
      </w:r>
      <w:r>
        <w:rPr>
          <w:rFonts w:hint="eastAsia" w:ascii="仿宋_GB2312" w:eastAsia="仿宋_GB2312"/>
          <w:sz w:val="32"/>
          <w:szCs w:val="32"/>
          <w:lang w:val="en-US" w:eastAsia="zh-CN"/>
        </w:rPr>
        <w:t>0.13万元；接待安岳部分离退休党支部书记到乐至开展离退休干部党建工作，接待费用0.096万元；接待雁江老干部门球队和乒乓球队到乐至开展交流活动，接待费用0.126万元；接待安岳老干部门球组到乐至开展交流活动，接待费用0.102万元</w:t>
      </w:r>
      <w:r>
        <w:rPr>
          <w:rFonts w:hint="eastAsia" w:ascii="仿宋_GB2312" w:eastAsia="仿宋_GB2312"/>
          <w:sz w:val="32"/>
          <w:szCs w:val="32"/>
        </w:rPr>
        <w:t>。</w:t>
      </w:r>
      <w:bookmarkStart w:id="46" w:name="_Toc15396610"/>
      <w:bookmarkStart w:id="47" w:name="_Toc15377218"/>
    </w:p>
    <w:p>
      <w:pPr>
        <w:spacing w:line="600" w:lineRule="exact"/>
        <w:ind w:firstLine="640"/>
        <w:outlineLvl w:val="1"/>
        <w:rPr>
          <w:rStyle w:val="30"/>
          <w:rFonts w:ascii="黑体" w:hAnsi="黑体" w:eastAsia="黑体"/>
        </w:rPr>
      </w:pPr>
      <w:r>
        <w:rPr>
          <w:rFonts w:hint="eastAsia" w:ascii="黑体" w:eastAsia="黑体"/>
          <w:sz w:val="32"/>
          <w:szCs w:val="32"/>
        </w:rPr>
        <w:t>八、</w:t>
      </w:r>
      <w:r>
        <w:rPr>
          <w:rStyle w:val="30"/>
          <w:rFonts w:hint="eastAsia" w:ascii="黑体" w:hAnsi="黑体" w:eastAsia="黑体"/>
          <w:b w:val="0"/>
        </w:rPr>
        <w:t>政府性基金预算支出决算情况说明</w:t>
      </w:r>
      <w:bookmarkEnd w:id="46"/>
      <w:bookmarkEnd w:id="47"/>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numPr>
          <w:ilvl w:val="0"/>
          <w:numId w:val="3"/>
        </w:numPr>
        <w:spacing w:line="600" w:lineRule="exact"/>
        <w:ind w:firstLine="640"/>
        <w:outlineLvl w:val="1"/>
        <w:rPr>
          <w:rStyle w:val="30"/>
          <w:rFonts w:ascii="黑体" w:hAnsi="黑体" w:eastAsia="黑体"/>
          <w:b w:val="0"/>
        </w:rPr>
      </w:pPr>
      <w:bookmarkStart w:id="48" w:name="_Toc15377219"/>
      <w:bookmarkStart w:id="49" w:name="_Toc15396611"/>
      <w:r>
        <w:rPr>
          <w:rStyle w:val="30"/>
          <w:rFonts w:hint="eastAsia" w:ascii="黑体" w:hAnsi="黑体" w:eastAsia="黑体"/>
          <w:b w:val="0"/>
        </w:rPr>
        <w:t>国有资本经营预算支出决算情况说明</w:t>
      </w:r>
      <w:bookmarkEnd w:id="48"/>
      <w:bookmarkEnd w:id="49"/>
    </w:p>
    <w:p>
      <w:pPr>
        <w:spacing w:line="600" w:lineRule="exact"/>
        <w:ind w:firstLine="640"/>
        <w:rPr>
          <w:rFonts w:ascii="方正小标宋简体" w:hAnsi="方正小标宋简体" w:eastAsia="方正小标宋简体" w:cs="方正小标宋简体"/>
          <w:sz w:val="44"/>
          <w:szCs w:val="44"/>
        </w:rPr>
      </w:pPr>
      <w:r>
        <w:rPr>
          <w:rFonts w:ascii="仿宋_GB2312" w:eastAsia="仿宋_GB2312"/>
          <w:sz w:val="32"/>
          <w:szCs w:val="32"/>
        </w:rPr>
        <w:t>20</w:t>
      </w:r>
      <w:r>
        <w:rPr>
          <w:rFonts w:hint="eastAsia" w:ascii="仿宋_GB2312" w:eastAsia="仿宋_GB2312"/>
          <w:sz w:val="32"/>
          <w:szCs w:val="32"/>
        </w:rPr>
        <w:t>22年国有资本经营预算财政拨款支出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numPr>
          <w:ilvl w:val="0"/>
          <w:numId w:val="3"/>
        </w:numPr>
        <w:spacing w:line="600" w:lineRule="exact"/>
        <w:ind w:firstLine="640"/>
        <w:outlineLvl w:val="1"/>
        <w:rPr>
          <w:rStyle w:val="30"/>
          <w:rFonts w:ascii="黑体" w:hAnsi="黑体" w:eastAsia="黑体"/>
          <w:b w:val="0"/>
        </w:rPr>
      </w:pPr>
      <w:bookmarkStart w:id="50" w:name="_Toc15396612"/>
      <w:bookmarkStart w:id="51" w:name="_Toc15377221"/>
      <w:r>
        <w:rPr>
          <w:rStyle w:val="30"/>
          <w:rFonts w:hint="eastAsia" w:ascii="黑体" w:hAnsi="黑体" w:eastAsia="黑体"/>
          <w:b w:val="0"/>
        </w:rPr>
        <w:t>其他重要事项的情况说明</w:t>
      </w:r>
      <w:bookmarkEnd w:id="50"/>
      <w:bookmarkEnd w:id="51"/>
    </w:p>
    <w:p>
      <w:pPr>
        <w:spacing w:line="600" w:lineRule="exact"/>
        <w:ind w:firstLine="643" w:firstLineChars="200"/>
        <w:outlineLvl w:val="2"/>
        <w:rPr>
          <w:rFonts w:ascii="仿宋" w:hAnsi="仿宋" w:eastAsia="仿宋"/>
          <w:sz w:val="32"/>
          <w:szCs w:val="32"/>
        </w:rPr>
      </w:pPr>
      <w:bookmarkStart w:id="52" w:name="_Toc15377222"/>
      <w:r>
        <w:rPr>
          <w:rFonts w:hint="eastAsia" w:ascii="仿宋" w:hAnsi="仿宋" w:eastAsia="仿宋"/>
          <w:b/>
          <w:sz w:val="32"/>
          <w:szCs w:val="32"/>
        </w:rPr>
        <w:t>（一）机关运行经费支出情况</w:t>
      </w:r>
      <w:bookmarkEnd w:id="52"/>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w:t>
      </w:r>
      <w:r>
        <w:rPr>
          <w:rFonts w:hint="eastAsia" w:ascii="仿宋_GB2312" w:eastAsia="仿宋_GB2312"/>
          <w:sz w:val="32"/>
          <w:szCs w:val="32"/>
          <w:lang w:eastAsia="zh-CN"/>
        </w:rPr>
        <w:t>中共乐至县委老干部局</w:t>
      </w:r>
      <w:r>
        <w:rPr>
          <w:rFonts w:hint="eastAsia" w:ascii="仿宋_GB2312" w:eastAsia="仿宋_GB2312"/>
          <w:sz w:val="32"/>
          <w:szCs w:val="32"/>
        </w:rPr>
        <w:t>机关运行经费支出</w:t>
      </w:r>
      <w:r>
        <w:rPr>
          <w:rFonts w:hint="eastAsia" w:ascii="仿宋_GB2312" w:eastAsia="仿宋_GB2312"/>
          <w:sz w:val="32"/>
          <w:szCs w:val="32"/>
          <w:lang w:val="en-US" w:eastAsia="zh-CN"/>
        </w:rPr>
        <w:t>22.4</w:t>
      </w:r>
      <w:r>
        <w:rPr>
          <w:rFonts w:hint="eastAsia" w:ascii="仿宋_GB2312" w:eastAsia="仿宋_GB2312"/>
          <w:sz w:val="32"/>
          <w:szCs w:val="32"/>
        </w:rPr>
        <w:t>万元，比</w:t>
      </w:r>
      <w:r>
        <w:rPr>
          <w:rFonts w:ascii="仿宋_GB2312" w:eastAsia="仿宋_GB2312"/>
          <w:sz w:val="32"/>
          <w:szCs w:val="32"/>
        </w:rPr>
        <w:t>20</w:t>
      </w:r>
      <w:r>
        <w:rPr>
          <w:rFonts w:hint="eastAsia" w:ascii="仿宋_GB2312" w:eastAsia="仿宋_GB2312"/>
          <w:sz w:val="32"/>
          <w:szCs w:val="32"/>
        </w:rPr>
        <w:t>21年减少</w:t>
      </w:r>
      <w:r>
        <w:rPr>
          <w:rFonts w:hint="eastAsia" w:ascii="仿宋_GB2312" w:eastAsia="仿宋_GB2312"/>
          <w:sz w:val="32"/>
          <w:szCs w:val="32"/>
          <w:lang w:val="en-US" w:eastAsia="zh-CN"/>
        </w:rPr>
        <w:t>5.86</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20.74</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eastAsia="zh-CN"/>
        </w:rPr>
        <w:t>机关工作人员减少，相应经费支出减少</w:t>
      </w:r>
      <w:r>
        <w:rPr>
          <w:rFonts w:hint="eastAsia" w:ascii="仿宋_GB2312" w:eastAsia="仿宋_GB2312"/>
          <w:sz w:val="32"/>
          <w:szCs w:val="32"/>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53" w:name="_Toc15377223"/>
      <w:r>
        <w:rPr>
          <w:rFonts w:hint="eastAsia" w:ascii="仿宋" w:hAnsi="仿宋" w:eastAsia="仿宋"/>
          <w:b/>
          <w:sz w:val="32"/>
          <w:szCs w:val="32"/>
        </w:rPr>
        <w:t>（二）政府采购支出情况</w:t>
      </w:r>
      <w:bookmarkEnd w:id="53"/>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w:t>
      </w:r>
      <w:r>
        <w:rPr>
          <w:rFonts w:hint="eastAsia" w:ascii="仿宋_GB2312" w:eastAsia="仿宋_GB2312"/>
          <w:sz w:val="32"/>
          <w:szCs w:val="32"/>
          <w:lang w:eastAsia="zh-CN"/>
        </w:rPr>
        <w:t>老干部局</w:t>
      </w:r>
      <w:r>
        <w:rPr>
          <w:rFonts w:hint="eastAsia" w:ascii="仿宋_GB2312" w:eastAsia="仿宋_GB2312"/>
          <w:sz w:val="32"/>
          <w:szCs w:val="32"/>
        </w:rPr>
        <w:t>政府采购支出总额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万元。授予中小企业合同金额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，其中：授予小微企业合同金额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54" w:name="_Toc15377224"/>
      <w:r>
        <w:rPr>
          <w:rFonts w:hint="eastAsia" w:ascii="仿宋" w:hAnsi="仿宋" w:eastAsia="仿宋"/>
          <w:b/>
          <w:sz w:val="32"/>
          <w:szCs w:val="32"/>
        </w:rPr>
        <w:t>（三）国有资产占有使用情况</w:t>
      </w:r>
      <w:bookmarkEnd w:id="54"/>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中共乐至县委老干部局</w:t>
      </w:r>
      <w:r>
        <w:rPr>
          <w:rFonts w:hint="eastAsia" w:ascii="仿宋_GB2312" w:eastAsia="仿宋_GB2312"/>
          <w:sz w:val="32"/>
          <w:szCs w:val="32"/>
        </w:rPr>
        <w:t>共有车辆</w:t>
      </w:r>
      <w:r>
        <w:rPr>
          <w:rFonts w:hint="eastAsia" w:ascii="仿宋_GB2312" w:eastAsia="仿宋_GB2312"/>
          <w:sz w:val="32"/>
          <w:szCs w:val="32"/>
          <w:lang w:val="en-US" w:eastAsia="zh-CN"/>
        </w:rPr>
        <w:t>1</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1</w:t>
      </w:r>
      <w:r>
        <w:rPr>
          <w:rFonts w:hint="eastAsia" w:ascii="仿宋_GB2312" w:eastAsia="仿宋_GB2312"/>
          <w:sz w:val="32"/>
          <w:szCs w:val="32"/>
        </w:rPr>
        <w:t>辆，其他用车主要是用于</w:t>
      </w:r>
      <w:r>
        <w:rPr>
          <w:rFonts w:hint="eastAsia" w:ascii="仿宋_GB2312" w:eastAsia="仿宋_GB2312"/>
          <w:sz w:val="32"/>
          <w:szCs w:val="32"/>
          <w:lang w:eastAsia="zh-CN"/>
        </w:rPr>
        <w:t>保障老干部用车</w:t>
      </w:r>
      <w:r>
        <w:rPr>
          <w:rFonts w:hint="eastAsia" w:ascii="仿宋_GB2312" w:eastAsia="仿宋_GB2312"/>
          <w:sz w:val="32"/>
          <w:szCs w:val="32"/>
        </w:rPr>
        <w:t>。单价</w:t>
      </w:r>
      <w:r>
        <w:rPr>
          <w:rFonts w:ascii="仿宋_GB2312" w:eastAsia="仿宋_GB2312"/>
          <w:sz w:val="32"/>
          <w:szCs w:val="32"/>
        </w:rPr>
        <w:t>100</w:t>
      </w:r>
      <w:r>
        <w:rPr>
          <w:rFonts w:hint="eastAsia" w:ascii="仿宋_GB2312" w:eastAsia="仿宋_GB2312"/>
          <w:sz w:val="32"/>
          <w:szCs w:val="32"/>
        </w:rPr>
        <w:t>万元以上专用设备</w:t>
      </w:r>
      <w:r>
        <w:rPr>
          <w:rFonts w:hint="eastAsia" w:ascii="仿宋_GB2312" w:eastAsia="仿宋_GB2312"/>
          <w:sz w:val="32"/>
          <w:szCs w:val="32"/>
          <w:lang w:val="en-US" w:eastAsia="zh-CN"/>
        </w:rPr>
        <w:t>0</w:t>
      </w:r>
      <w:r>
        <w:rPr>
          <w:rFonts w:hint="eastAsia" w:ascii="仿宋_GB2312" w:eastAsia="仿宋_GB2312"/>
          <w:sz w:val="32"/>
          <w:szCs w:val="32"/>
        </w:rPr>
        <w:t>台（套）。</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pPr>
        <w:widowControl/>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根据预算绩效管理要求，本部门在2022年度预算编制阶段，组织对</w:t>
      </w:r>
      <w:r>
        <w:rPr>
          <w:rFonts w:hint="eastAsia" w:ascii="仿宋_GB2312" w:hAnsi="仿宋_GB2312" w:eastAsia="仿宋_GB2312" w:cs="仿宋_GB2312"/>
          <w:sz w:val="32"/>
          <w:szCs w:val="32"/>
          <w:lang w:eastAsia="zh-CN"/>
        </w:rPr>
        <w:t>老干部健康体检费</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个项目开展了预算事前绩效评估，对</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个项目开展绩效监控。</w:t>
      </w:r>
    </w:p>
    <w:p>
      <w:pPr>
        <w:autoSpaceDE w:val="0"/>
        <w:autoSpaceDN w:val="0"/>
        <w:adjustRightIn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组织对2022年度一般公共预算、政府性基金预算、国有资本经营预算、社会保险基金预算以及资本资产、债券资金等全面开展绩效自评，形成</w:t>
      </w:r>
      <w:r>
        <w:rPr>
          <w:rFonts w:hint="eastAsia" w:ascii="仿宋_GB2312" w:hAnsi="仿宋_GB2312" w:eastAsia="仿宋_GB2312" w:cs="仿宋_GB2312"/>
          <w:sz w:val="32"/>
          <w:szCs w:val="32"/>
          <w:lang w:eastAsia="zh-CN"/>
        </w:rPr>
        <w:t>中共乐至县委老干部局</w:t>
      </w:r>
      <w:r>
        <w:rPr>
          <w:rFonts w:hint="eastAsia" w:ascii="仿宋_GB2312" w:hAnsi="仿宋_GB2312" w:eastAsia="仿宋_GB2312" w:cs="仿宋_GB2312"/>
          <w:sz w:val="32"/>
          <w:szCs w:val="32"/>
        </w:rPr>
        <w:t>部门整体（含部门预算项目）绩效自评报告、</w:t>
      </w:r>
      <w:r>
        <w:rPr>
          <w:rFonts w:hint="eastAsia" w:ascii="仿宋_GB2312" w:hAnsi="仿宋_GB2312" w:eastAsia="仿宋_GB2312" w:cs="仿宋_GB2312"/>
          <w:sz w:val="32"/>
          <w:szCs w:val="32"/>
          <w:lang w:eastAsia="zh-CN"/>
        </w:rPr>
        <w:t>老干部健康体检</w:t>
      </w:r>
      <w:r>
        <w:rPr>
          <w:rFonts w:hint="eastAsia" w:ascii="仿宋_GB2312" w:hAnsi="仿宋_GB2312" w:eastAsia="仿宋_GB2312" w:cs="仿宋_GB2312"/>
          <w:sz w:val="32"/>
          <w:szCs w:val="32"/>
        </w:rPr>
        <w:t>等专项预算项目绩效自评报告，其中，</w:t>
      </w:r>
      <w:r>
        <w:rPr>
          <w:rFonts w:hint="eastAsia" w:ascii="仿宋_GB2312" w:hAnsi="仿宋_GB2312" w:eastAsia="仿宋_GB2312" w:cs="仿宋_GB2312"/>
          <w:sz w:val="32"/>
          <w:szCs w:val="32"/>
          <w:lang w:eastAsia="zh-CN"/>
        </w:rPr>
        <w:t>中共乐至县委老干部局</w:t>
      </w:r>
      <w:r>
        <w:rPr>
          <w:rFonts w:hint="eastAsia" w:ascii="仿宋_GB2312" w:hAnsi="仿宋_GB2312" w:eastAsia="仿宋_GB2312" w:cs="仿宋_GB2312"/>
          <w:sz w:val="32"/>
          <w:szCs w:val="32"/>
        </w:rPr>
        <w:t>部门整体（含部门预算项目）绩效自评得分为</w:t>
      </w:r>
      <w:r>
        <w:rPr>
          <w:rFonts w:hint="eastAsia" w:ascii="仿宋_GB2312" w:hAnsi="仿宋_GB2312" w:eastAsia="仿宋_GB2312" w:cs="仿宋_GB2312"/>
          <w:sz w:val="32"/>
          <w:szCs w:val="32"/>
          <w:lang w:val="en-US" w:eastAsia="zh-CN"/>
        </w:rPr>
        <w:t>95.45</w:t>
      </w:r>
      <w:r>
        <w:rPr>
          <w:rFonts w:hint="eastAsia" w:ascii="仿宋_GB2312" w:hAnsi="仿宋_GB2312" w:eastAsia="仿宋_GB2312" w:cs="仿宋_GB2312"/>
          <w:sz w:val="32"/>
          <w:szCs w:val="32"/>
        </w:rPr>
        <w:t>分，绩效自评综述：</w:t>
      </w:r>
      <w:r>
        <w:rPr>
          <w:rFonts w:hint="default" w:ascii="Times New Roman" w:hAnsi="Times New Roman" w:eastAsia="方正仿宋简体" w:cs="Times New Roman"/>
          <w:sz w:val="30"/>
          <w:szCs w:val="30"/>
          <w:lang w:eastAsia="zh-CN"/>
        </w:rPr>
        <w:t>我局</w:t>
      </w:r>
      <w:r>
        <w:rPr>
          <w:rFonts w:hint="default" w:ascii="Times New Roman" w:hAnsi="Times New Roman" w:eastAsia="方正仿宋简体" w:cs="Times New Roman"/>
          <w:sz w:val="30"/>
          <w:szCs w:val="30"/>
          <w:lang w:val="en-US" w:eastAsia="zh-CN"/>
        </w:rPr>
        <w:t>2021年经费支出</w:t>
      </w:r>
      <w:r>
        <w:rPr>
          <w:rFonts w:hint="default" w:ascii="Times New Roman" w:hAnsi="Times New Roman" w:eastAsia="方正仿宋简体" w:cs="Times New Roman"/>
          <w:sz w:val="30"/>
          <w:szCs w:val="30"/>
          <w:lang w:eastAsia="zh-CN"/>
        </w:rPr>
        <w:t>符合国家政策，与实际需求高度相关。在项目实施过程中，我局</w:t>
      </w:r>
      <w:r>
        <w:rPr>
          <w:rFonts w:hint="default" w:ascii="Times New Roman" w:hAnsi="Times New Roman" w:eastAsia="仿宋_GB2312" w:cs="Times New Roman"/>
          <w:sz w:val="30"/>
          <w:szCs w:val="30"/>
          <w:lang w:eastAsia="zh-CN"/>
        </w:rPr>
        <w:t>严格执行项目预算管理及收支管理，依据行政事业单位财务管理制度，及时进行</w:t>
      </w:r>
      <w:r>
        <w:rPr>
          <w:rFonts w:hint="default" w:ascii="Times New Roman" w:hAnsi="Times New Roman" w:eastAsia="仿宋_GB2312" w:cs="Times New Roman"/>
          <w:sz w:val="30"/>
          <w:szCs w:val="30"/>
        </w:rPr>
        <w:t>会计核算及账务处理</w:t>
      </w:r>
      <w:r>
        <w:rPr>
          <w:rFonts w:hint="default" w:ascii="Times New Roman" w:hAnsi="Times New Roman" w:eastAsia="仿宋_GB2312" w:cs="Times New Roman"/>
          <w:sz w:val="30"/>
          <w:szCs w:val="30"/>
          <w:lang w:eastAsia="zh-CN"/>
        </w:rPr>
        <w:t>，</w:t>
      </w:r>
      <w:r>
        <w:rPr>
          <w:rFonts w:hint="default" w:ascii="Times New Roman" w:hAnsi="Times New Roman" w:eastAsia="仿宋_GB2312" w:cs="Times New Roman"/>
          <w:sz w:val="30"/>
          <w:szCs w:val="30"/>
        </w:rPr>
        <w:t>不存在截留、挤占</w:t>
      </w:r>
      <w:r>
        <w:rPr>
          <w:rFonts w:hint="default" w:ascii="Times New Roman" w:hAnsi="Times New Roman" w:eastAsia="仿宋_GB2312" w:cs="Times New Roman"/>
          <w:sz w:val="30"/>
          <w:szCs w:val="30"/>
          <w:lang w:eastAsia="zh-CN"/>
        </w:rPr>
        <w:t>或者</w:t>
      </w:r>
      <w:r>
        <w:rPr>
          <w:rFonts w:hint="default" w:ascii="Times New Roman" w:hAnsi="Times New Roman" w:eastAsia="仿宋_GB2312" w:cs="Times New Roman"/>
          <w:sz w:val="30"/>
          <w:szCs w:val="30"/>
        </w:rPr>
        <w:t>挪用</w:t>
      </w:r>
      <w:r>
        <w:rPr>
          <w:rFonts w:hint="default" w:ascii="Times New Roman" w:hAnsi="Times New Roman" w:eastAsia="仿宋_GB2312" w:cs="Times New Roman"/>
          <w:sz w:val="30"/>
          <w:szCs w:val="30"/>
          <w:lang w:eastAsia="zh-CN"/>
        </w:rPr>
        <w:t>专项资金</w:t>
      </w:r>
      <w:r>
        <w:rPr>
          <w:rFonts w:hint="default" w:ascii="Times New Roman" w:hAnsi="Times New Roman" w:eastAsia="仿宋_GB2312" w:cs="Times New Roman"/>
          <w:sz w:val="30"/>
          <w:szCs w:val="30"/>
        </w:rPr>
        <w:t>，超预算或者无预算安排支出，虚列支出、转嫁支出</w:t>
      </w:r>
      <w:r>
        <w:rPr>
          <w:rFonts w:hint="default" w:ascii="Times New Roman" w:hAnsi="Times New Roman" w:eastAsia="仿宋_GB2312" w:cs="Times New Roman"/>
          <w:sz w:val="30"/>
          <w:szCs w:val="30"/>
          <w:lang w:eastAsia="zh-CN"/>
        </w:rPr>
        <w:t>等现状</w:t>
      </w:r>
      <w:r>
        <w:rPr>
          <w:rFonts w:hint="default" w:ascii="Times New Roman" w:hAnsi="Times New Roman" w:eastAsia="仿宋_GB2312" w:cs="Times New Roman"/>
          <w:sz w:val="30"/>
          <w:szCs w:val="30"/>
        </w:rPr>
        <w:t>，对照项目资金管理办法，严格执行财务管理制度</w:t>
      </w:r>
      <w:r>
        <w:rPr>
          <w:rFonts w:hint="default" w:ascii="Times New Roman" w:hAnsi="Times New Roman" w:eastAsia="仿宋_GB2312" w:cs="Times New Roman"/>
          <w:sz w:val="30"/>
          <w:szCs w:val="30"/>
          <w:lang w:eastAsia="zh-CN"/>
        </w:rPr>
        <w:t>，</w:t>
      </w:r>
      <w:r>
        <w:rPr>
          <w:rFonts w:hint="default" w:ascii="Times New Roman" w:hAnsi="Times New Roman" w:eastAsia="仿宋_GB2312" w:cs="Times New Roman"/>
          <w:sz w:val="30"/>
          <w:szCs w:val="30"/>
        </w:rPr>
        <w:t>会计核算</w:t>
      </w:r>
      <w:r>
        <w:rPr>
          <w:rFonts w:hint="default" w:ascii="Times New Roman" w:hAnsi="Times New Roman" w:eastAsia="仿宋_GB2312" w:cs="Times New Roman"/>
          <w:sz w:val="30"/>
          <w:szCs w:val="30"/>
          <w:lang w:eastAsia="zh-CN"/>
        </w:rPr>
        <w:t>合乎</w:t>
      </w:r>
      <w:r>
        <w:rPr>
          <w:rFonts w:hint="default" w:ascii="Times New Roman" w:hAnsi="Times New Roman" w:eastAsia="仿宋_GB2312" w:cs="Times New Roman"/>
          <w:sz w:val="30"/>
          <w:szCs w:val="30"/>
        </w:rPr>
        <w:t>规范。</w:t>
      </w:r>
      <w:r>
        <w:rPr>
          <w:rFonts w:hint="default" w:ascii="Times New Roman" w:hAnsi="Times New Roman" w:eastAsia="方正仿宋简体" w:cs="Times New Roman"/>
          <w:sz w:val="30"/>
          <w:szCs w:val="30"/>
        </w:rPr>
        <w:t>依据《乐至县财政支出绩效评价管理办法》规定</w:t>
      </w:r>
      <w:r>
        <w:rPr>
          <w:rFonts w:hint="default" w:ascii="Times New Roman" w:hAnsi="Times New Roman" w:eastAsia="方正仿宋简体" w:cs="Times New Roman"/>
          <w:sz w:val="30"/>
          <w:szCs w:val="30"/>
          <w:lang w:eastAsia="zh-CN"/>
        </w:rPr>
        <w:t>自评</w:t>
      </w:r>
      <w:r>
        <w:rPr>
          <w:rFonts w:hint="default" w:ascii="Times New Roman" w:hAnsi="Times New Roman" w:eastAsia="方正仿宋简体" w:cs="Times New Roman"/>
          <w:sz w:val="30"/>
          <w:szCs w:val="30"/>
        </w:rPr>
        <w:t>绩效等级</w:t>
      </w:r>
      <w:r>
        <w:rPr>
          <w:rFonts w:hint="default" w:ascii="Times New Roman" w:hAnsi="Times New Roman" w:eastAsia="方正仿宋简体" w:cs="Times New Roman"/>
          <w:sz w:val="30"/>
          <w:szCs w:val="30"/>
          <w:lang w:eastAsia="zh-CN"/>
        </w:rPr>
        <w:t>为优</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老干部健康体检等</w:t>
      </w:r>
      <w:r>
        <w:rPr>
          <w:rFonts w:hint="eastAsia" w:ascii="仿宋_GB2312" w:hAnsi="仿宋_GB2312" w:eastAsia="仿宋_GB2312" w:cs="仿宋_GB2312"/>
          <w:sz w:val="32"/>
          <w:szCs w:val="32"/>
        </w:rPr>
        <w:t>专项预算项目绩效自评得分为</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rPr>
        <w:t>分，绩效自评综述</w:t>
      </w:r>
      <w:r>
        <w:rPr>
          <w:rFonts w:hint="eastAsia" w:eastAsia="方正仿宋简体"/>
          <w:sz w:val="32"/>
          <w:szCs w:val="32"/>
          <w:lang w:eastAsia="zh-CN"/>
        </w:rPr>
        <w:t>离退休老干部活动经费项目符合国家政策，与实际需求高度相关。在项目实施过程中，我局</w:t>
      </w:r>
      <w:r>
        <w:rPr>
          <w:rFonts w:hint="eastAsia" w:eastAsia="仿宋_GB2312"/>
          <w:sz w:val="32"/>
          <w:szCs w:val="32"/>
          <w:lang w:eastAsia="zh-CN"/>
        </w:rPr>
        <w:t>严格执行项目预算管理及收支管理，依据行政事业单位财务管理制度，及时进行</w:t>
      </w:r>
      <w:r>
        <w:rPr>
          <w:rFonts w:hint="eastAsia" w:eastAsia="仿宋_GB2312"/>
          <w:sz w:val="32"/>
          <w:szCs w:val="32"/>
        </w:rPr>
        <w:t>会计核算及账务处理</w:t>
      </w:r>
      <w:r>
        <w:rPr>
          <w:rFonts w:hint="eastAsia" w:eastAsia="仿宋_GB2312"/>
          <w:sz w:val="32"/>
          <w:szCs w:val="32"/>
          <w:lang w:eastAsia="zh-CN"/>
        </w:rPr>
        <w:t>，</w:t>
      </w:r>
      <w:r>
        <w:rPr>
          <w:rFonts w:hint="eastAsia" w:ascii="仿宋_GB2312" w:eastAsia="仿宋_GB2312"/>
          <w:sz w:val="32"/>
          <w:szCs w:val="32"/>
        </w:rPr>
        <w:t>不存在截留、挤占</w:t>
      </w:r>
      <w:r>
        <w:rPr>
          <w:rFonts w:hint="eastAsia" w:ascii="仿宋_GB2312" w:eastAsia="仿宋_GB2312"/>
          <w:sz w:val="32"/>
          <w:szCs w:val="32"/>
          <w:lang w:eastAsia="zh-CN"/>
        </w:rPr>
        <w:t>或者</w:t>
      </w:r>
      <w:r>
        <w:rPr>
          <w:rFonts w:hint="eastAsia" w:ascii="仿宋_GB2312" w:eastAsia="仿宋_GB2312"/>
          <w:sz w:val="32"/>
          <w:szCs w:val="32"/>
        </w:rPr>
        <w:t>挪用</w:t>
      </w:r>
      <w:r>
        <w:rPr>
          <w:rFonts w:hint="eastAsia" w:ascii="仿宋_GB2312" w:eastAsia="仿宋_GB2312"/>
          <w:sz w:val="32"/>
          <w:szCs w:val="32"/>
          <w:lang w:eastAsia="zh-CN"/>
        </w:rPr>
        <w:t>专项资金</w:t>
      </w:r>
      <w:r>
        <w:rPr>
          <w:rFonts w:hint="eastAsia" w:ascii="仿宋_GB2312" w:eastAsia="仿宋_GB2312"/>
          <w:sz w:val="32"/>
          <w:szCs w:val="32"/>
        </w:rPr>
        <w:t>，超预算或者无预算安排支出，虚列支出、转嫁支出</w:t>
      </w:r>
      <w:r>
        <w:rPr>
          <w:rFonts w:hint="eastAsia" w:ascii="仿宋_GB2312" w:eastAsia="仿宋_GB2312"/>
          <w:sz w:val="32"/>
          <w:szCs w:val="32"/>
          <w:lang w:eastAsia="zh-CN"/>
        </w:rPr>
        <w:t>等现状</w:t>
      </w:r>
      <w:r>
        <w:rPr>
          <w:rFonts w:hint="eastAsia" w:ascii="仿宋_GB2312" w:eastAsia="仿宋_GB2312"/>
          <w:sz w:val="32"/>
          <w:szCs w:val="32"/>
        </w:rPr>
        <w:t>，</w:t>
      </w:r>
      <w:r>
        <w:rPr>
          <w:rFonts w:hint="eastAsia" w:eastAsia="仿宋_GB2312"/>
          <w:sz w:val="32"/>
          <w:szCs w:val="32"/>
        </w:rPr>
        <w:t>对照项目资金管理办法，严格执行财务管理制度</w:t>
      </w:r>
      <w:r>
        <w:rPr>
          <w:rFonts w:hint="eastAsia" w:eastAsia="仿宋_GB2312"/>
          <w:sz w:val="32"/>
          <w:szCs w:val="32"/>
          <w:lang w:eastAsia="zh-CN"/>
        </w:rPr>
        <w:t>，</w:t>
      </w:r>
      <w:r>
        <w:rPr>
          <w:rFonts w:hint="eastAsia" w:eastAsia="仿宋_GB2312"/>
          <w:sz w:val="32"/>
          <w:szCs w:val="32"/>
        </w:rPr>
        <w:t>会计核算</w:t>
      </w:r>
      <w:r>
        <w:rPr>
          <w:rFonts w:hint="eastAsia" w:eastAsia="仿宋_GB2312"/>
          <w:sz w:val="32"/>
          <w:szCs w:val="32"/>
          <w:lang w:eastAsia="zh-CN"/>
        </w:rPr>
        <w:t>合乎</w:t>
      </w:r>
      <w:r>
        <w:rPr>
          <w:rFonts w:hint="eastAsia" w:eastAsia="仿宋_GB2312"/>
          <w:sz w:val="32"/>
          <w:szCs w:val="32"/>
        </w:rPr>
        <w:t>规范。</w:t>
      </w:r>
      <w:r>
        <w:rPr>
          <w:rFonts w:hint="eastAsia" w:eastAsia="方正仿宋简体"/>
          <w:sz w:val="32"/>
          <w:szCs w:val="32"/>
        </w:rPr>
        <w:t>依据《乐至县财政支出绩效评价管理办法》规定</w:t>
      </w:r>
      <w:r>
        <w:rPr>
          <w:rFonts w:hint="eastAsia" w:eastAsia="方正仿宋简体"/>
          <w:sz w:val="32"/>
          <w:szCs w:val="32"/>
          <w:lang w:eastAsia="zh-CN"/>
        </w:rPr>
        <w:t>自评</w:t>
      </w:r>
      <w:r>
        <w:rPr>
          <w:rFonts w:hint="eastAsia" w:eastAsia="方正仿宋简体"/>
          <w:sz w:val="32"/>
          <w:szCs w:val="32"/>
        </w:rPr>
        <w:t>绩效等级</w:t>
      </w:r>
      <w:r>
        <w:rPr>
          <w:rFonts w:hint="eastAsia" w:eastAsia="方正仿宋简体"/>
          <w:sz w:val="32"/>
          <w:szCs w:val="32"/>
          <w:lang w:eastAsia="zh-CN"/>
        </w:rPr>
        <w:t>为优</w:t>
      </w:r>
      <w:r>
        <w:rPr>
          <w:rFonts w:hint="eastAsia" w:eastAsia="方正仿宋简体"/>
          <w:sz w:val="32"/>
          <w:szCs w:val="32"/>
        </w:rPr>
        <w:t>。</w:t>
      </w:r>
      <w:r>
        <w:rPr>
          <w:rFonts w:hint="eastAsia" w:ascii="仿宋_GB2312" w:hAnsi="仿宋_GB2312" w:eastAsia="仿宋_GB2312" w:cs="仿宋_GB2312"/>
          <w:sz w:val="32"/>
          <w:szCs w:val="32"/>
        </w:rPr>
        <w:t>绩效自评报告详见附件。</w:t>
      </w:r>
      <w:bookmarkStart w:id="55" w:name="_Hlk113349417"/>
    </w:p>
    <w:p>
      <w:pPr>
        <w:pStyle w:val="2"/>
        <w:rPr>
          <w:rFonts w:hint="eastAsia" w:ascii="仿宋_GB2312" w:hAnsi="仿宋_GB2312" w:eastAsia="仿宋_GB2312" w:cs="仿宋_GB2312"/>
          <w:sz w:val="32"/>
          <w:szCs w:val="32"/>
        </w:rPr>
      </w:pPr>
    </w:p>
    <w:bookmarkEnd w:id="55"/>
    <w:p>
      <w:pPr>
        <w:widowControl/>
        <w:jc w:val="left"/>
        <w:rPr>
          <w:rFonts w:ascii="仿宋_GB2312" w:eastAsia="仿宋_GB2312"/>
          <w:b/>
          <w:sz w:val="32"/>
          <w:szCs w:val="32"/>
        </w:rPr>
      </w:pPr>
      <w:r>
        <w:rPr>
          <w:rFonts w:ascii="仿宋_GB2312" w:eastAsia="仿宋_GB2312"/>
          <w:b/>
          <w:sz w:val="32"/>
          <w:szCs w:val="32"/>
        </w:rPr>
        <w:br w:type="page"/>
      </w:r>
    </w:p>
    <w:p>
      <w:pPr>
        <w:pStyle w:val="2"/>
        <w:spacing w:before="93"/>
      </w:pPr>
    </w:p>
    <w:p>
      <w:pPr>
        <w:numPr>
          <w:ilvl w:val="0"/>
          <w:numId w:val="4"/>
        </w:numPr>
        <w:spacing w:line="600" w:lineRule="exact"/>
        <w:ind w:firstLine="660" w:firstLineChars="150"/>
        <w:jc w:val="center"/>
        <w:outlineLvl w:val="0"/>
        <w:rPr>
          <w:rStyle w:val="29"/>
          <w:rFonts w:ascii="黑体" w:hAnsi="黑体" w:eastAsia="黑体"/>
          <w:b w:val="0"/>
        </w:rPr>
      </w:pPr>
      <w:bookmarkStart w:id="56" w:name="_Toc15377225"/>
      <w:bookmarkStart w:id="57" w:name="_Toc15396613"/>
      <w:r>
        <w:rPr>
          <w:rFonts w:hint="eastAsia" w:ascii="黑体" w:hAnsi="黑体" w:eastAsia="黑体"/>
          <w:sz w:val="44"/>
          <w:szCs w:val="44"/>
        </w:rPr>
        <w:t>名</w:t>
      </w:r>
      <w:r>
        <w:rPr>
          <w:rStyle w:val="29"/>
          <w:rFonts w:hint="eastAsia" w:ascii="黑体" w:hAnsi="黑体" w:eastAsia="黑体"/>
          <w:b w:val="0"/>
        </w:rPr>
        <w:t>词解释</w:t>
      </w:r>
      <w:bookmarkEnd w:id="56"/>
      <w:bookmarkEnd w:id="57"/>
    </w:p>
    <w:p>
      <w:pPr>
        <w:spacing w:line="600" w:lineRule="exact"/>
        <w:jc w:val="left"/>
        <w:rPr>
          <w:rFonts w:ascii="宋体"/>
          <w:b/>
          <w:sz w:val="44"/>
          <w:szCs w:val="44"/>
        </w:rPr>
      </w:pP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事业收入：指事业单位开展专业业务活动及辅助活动取得的收入。如…（二级预算单位事业收入情况）等。</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经营收入：指事业单位在专业业务活动及其辅助活动之外开展非独立核算经营活动取得的收入。如…（二级预算单位经营收入情况）等。</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其他收入：指单位取得的除上述收入以外的各项收入。主要是…（收入类型）等。</w:t>
      </w:r>
      <w:r>
        <w:rPr>
          <w:rFonts w:ascii="仿宋_GB2312" w:eastAsia="仿宋_GB2312"/>
          <w:color w:val="auto"/>
          <w:sz w:val="32"/>
          <w:szCs w:val="32"/>
        </w:rPr>
        <w:t xml:space="preserve"> </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eastAsia="仿宋_GB2312"/>
          <w:color w:val="auto"/>
          <w:sz w:val="32"/>
          <w:szCs w:val="32"/>
        </w:rPr>
        <w:t>使用非财政拨款结余：指事业单位使用以前年度积累的非财政拨款结余弥补当年收支差额的金额。</w:t>
      </w:r>
      <w:r>
        <w:rPr>
          <w:rFonts w:ascii="仿宋_GB2312" w:eastAsia="仿宋_GB2312"/>
          <w:color w:val="auto"/>
          <w:sz w:val="32"/>
          <w:szCs w:val="32"/>
        </w:rPr>
        <w:t xml:space="preserve"> </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pPr>
        <w:ind w:firstLine="640" w:firstLineChars="200"/>
        <w:rPr>
          <w:rFonts w:ascii="仿宋_GB2312" w:eastAsia="仿宋_GB2312"/>
          <w:sz w:val="32"/>
          <w:szCs w:val="32"/>
        </w:rPr>
      </w:pPr>
      <w:r>
        <w:rPr>
          <w:rFonts w:ascii="仿宋_GB2312" w:eastAsia="仿宋_GB2312"/>
          <w:sz w:val="32"/>
          <w:szCs w:val="32"/>
        </w:rPr>
        <w:t>9.</w:t>
      </w:r>
      <w:r>
        <w:rPr>
          <w:rFonts w:hint="eastAsia" w:ascii="仿宋_GB2312" w:eastAsia="仿宋_GB2312"/>
          <w:sz w:val="32"/>
          <w:szCs w:val="32"/>
        </w:rPr>
        <w:t>一般公共服务（类）</w:t>
      </w:r>
      <w:r>
        <w:rPr>
          <w:rFonts w:hint="eastAsia" w:ascii="仿宋_GB2312" w:eastAsia="仿宋_GB2312"/>
          <w:sz w:val="32"/>
          <w:szCs w:val="32"/>
          <w:lang w:val="en-US" w:eastAsia="zh-CN"/>
        </w:rPr>
        <w:t>201</w:t>
      </w:r>
      <w:r>
        <w:rPr>
          <w:rFonts w:hint="eastAsia" w:ascii="仿宋_GB2312" w:eastAsia="仿宋_GB2312"/>
          <w:sz w:val="32"/>
          <w:szCs w:val="32"/>
        </w:rPr>
        <w:t>（款）</w:t>
      </w:r>
      <w:r>
        <w:rPr>
          <w:rFonts w:hint="eastAsia" w:ascii="仿宋_GB2312" w:eastAsia="仿宋_GB2312"/>
          <w:sz w:val="32"/>
          <w:szCs w:val="32"/>
          <w:lang w:val="en-US" w:eastAsia="zh-CN"/>
        </w:rPr>
        <w:t>31</w:t>
      </w:r>
      <w:r>
        <w:rPr>
          <w:rFonts w:hint="eastAsia" w:ascii="仿宋_GB2312" w:eastAsia="仿宋_GB2312"/>
          <w:sz w:val="32"/>
          <w:szCs w:val="32"/>
        </w:rPr>
        <w:t>（项）：指指</w:t>
      </w:r>
      <w:r>
        <w:rPr>
          <w:rFonts w:hint="eastAsia" w:ascii="仿宋_GB2312" w:eastAsia="仿宋_GB2312"/>
          <w:sz w:val="32"/>
          <w:szCs w:val="32"/>
          <w:lang w:eastAsia="zh-CN"/>
        </w:rPr>
        <w:t>党委办公厅（室）及相关机构的支出</w:t>
      </w:r>
      <w:r>
        <w:rPr>
          <w:rFonts w:hint="eastAsia" w:ascii="仿宋_GB2312" w:eastAsia="仿宋_GB2312"/>
          <w:sz w:val="32"/>
          <w:szCs w:val="32"/>
        </w:rPr>
        <w:t>。</w:t>
      </w:r>
    </w:p>
    <w:p>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社会保障和就业（类）</w:t>
      </w:r>
      <w:r>
        <w:rPr>
          <w:rFonts w:hint="eastAsia" w:ascii="仿宋_GB2312" w:eastAsia="仿宋_GB2312"/>
          <w:sz w:val="32"/>
          <w:szCs w:val="32"/>
          <w:lang w:val="en-US" w:eastAsia="zh-CN"/>
        </w:rPr>
        <w:t>208</w:t>
      </w:r>
      <w:r>
        <w:rPr>
          <w:rFonts w:hint="eastAsia" w:ascii="仿宋_GB2312" w:eastAsia="仿宋_GB2312"/>
          <w:sz w:val="32"/>
          <w:szCs w:val="32"/>
        </w:rPr>
        <w:t>（款）</w:t>
      </w:r>
      <w:r>
        <w:rPr>
          <w:rFonts w:hint="eastAsia" w:ascii="仿宋_GB2312" w:eastAsia="仿宋_GB2312"/>
          <w:sz w:val="32"/>
          <w:szCs w:val="32"/>
          <w:lang w:val="en-US" w:eastAsia="zh-CN"/>
        </w:rPr>
        <w:t>05</w:t>
      </w:r>
      <w:r>
        <w:rPr>
          <w:rFonts w:hint="eastAsia" w:ascii="仿宋_GB2312" w:eastAsia="仿宋_GB2312"/>
          <w:sz w:val="32"/>
          <w:szCs w:val="32"/>
        </w:rPr>
        <w:t>（项）：指</w:t>
      </w:r>
      <w:r>
        <w:rPr>
          <w:rFonts w:hint="eastAsia" w:ascii="仿宋_GB2312" w:eastAsia="仿宋_GB2312"/>
          <w:sz w:val="32"/>
          <w:szCs w:val="32"/>
          <w:lang w:val="en-US" w:eastAsia="zh-CN"/>
        </w:rPr>
        <w:t>用于行政事业单位养老方面的支出</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lang w:val="en-US" w:eastAsia="zh-CN"/>
        </w:rPr>
        <w:t>11</w:t>
      </w:r>
      <w:r>
        <w:rPr>
          <w:rFonts w:ascii="仿宋_GB2312" w:eastAsia="仿宋_GB2312"/>
          <w:sz w:val="32"/>
          <w:szCs w:val="32"/>
        </w:rPr>
        <w:t>.</w:t>
      </w:r>
      <w:r>
        <w:rPr>
          <w:rFonts w:hint="eastAsia" w:ascii="仿宋_GB2312" w:eastAsia="仿宋_GB2312"/>
          <w:sz w:val="32"/>
          <w:szCs w:val="32"/>
        </w:rPr>
        <w:t>住房保障（类）</w:t>
      </w:r>
      <w:r>
        <w:rPr>
          <w:rFonts w:hint="eastAsia" w:ascii="仿宋_GB2312" w:eastAsia="仿宋_GB2312"/>
          <w:sz w:val="32"/>
          <w:szCs w:val="32"/>
          <w:lang w:val="en-US" w:eastAsia="zh-CN"/>
        </w:rPr>
        <w:t>221</w:t>
      </w:r>
      <w:r>
        <w:rPr>
          <w:rFonts w:hint="eastAsia" w:ascii="仿宋_GB2312" w:eastAsia="仿宋_GB2312"/>
          <w:sz w:val="32"/>
          <w:szCs w:val="32"/>
        </w:rPr>
        <w:t>（款）</w:t>
      </w:r>
      <w:r>
        <w:rPr>
          <w:rFonts w:hint="eastAsia" w:ascii="仿宋_GB2312" w:eastAsia="仿宋_GB2312"/>
          <w:sz w:val="32"/>
          <w:szCs w:val="32"/>
          <w:lang w:val="en-US" w:eastAsia="zh-CN"/>
        </w:rPr>
        <w:t>02</w:t>
      </w:r>
      <w:r>
        <w:rPr>
          <w:rFonts w:hint="eastAsia" w:ascii="仿宋_GB2312" w:eastAsia="仿宋_GB2312"/>
          <w:sz w:val="32"/>
          <w:szCs w:val="32"/>
        </w:rPr>
        <w:t>（项）：指</w:t>
      </w:r>
      <w:r>
        <w:rPr>
          <w:rFonts w:hint="eastAsia" w:ascii="仿宋_GB2312" w:eastAsia="仿宋_GB2312"/>
          <w:sz w:val="32"/>
          <w:szCs w:val="32"/>
          <w:lang w:eastAsia="zh-CN"/>
        </w:rPr>
        <w:t>用于行政事业单位按人力资源和社会保障部、财政部规定的基本工资和津贴补贴以及规定比例为职工缴纳的住房公积金</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lang w:val="en-US" w:eastAsia="zh-CN"/>
        </w:rPr>
        <w:t>12</w:t>
      </w:r>
      <w:r>
        <w:rPr>
          <w:rFonts w:ascii="仿宋_GB2312" w:eastAsia="仿宋_GB2312"/>
          <w:sz w:val="32"/>
          <w:szCs w:val="32"/>
        </w:rPr>
        <w:t>.</w:t>
      </w:r>
      <w:r>
        <w:rPr>
          <w:rFonts w:hint="eastAsia" w:ascii="仿宋_GB2312" w:eastAsia="仿宋_GB2312"/>
          <w:sz w:val="32"/>
          <w:szCs w:val="32"/>
        </w:rPr>
        <w:t>基本支出：指为保障机构正常运转、完成日常工作任务而发生的人员支出和公用支出。</w:t>
      </w:r>
    </w:p>
    <w:p>
      <w:pPr>
        <w:ind w:firstLine="640" w:firstLineChars="200"/>
        <w:rPr>
          <w:rFonts w:ascii="仿宋_GB2312" w:eastAsia="仿宋_GB2312"/>
          <w:sz w:val="32"/>
          <w:szCs w:val="32"/>
        </w:rPr>
      </w:pPr>
      <w:r>
        <w:rPr>
          <w:rFonts w:hint="eastAsia" w:ascii="仿宋_GB2312" w:eastAsia="仿宋_GB2312"/>
          <w:sz w:val="32"/>
          <w:szCs w:val="32"/>
          <w:lang w:val="en-US" w:eastAsia="zh-CN"/>
        </w:rPr>
        <w:t>13</w:t>
      </w:r>
      <w:r>
        <w:rPr>
          <w:rFonts w:ascii="仿宋_GB2312" w:eastAsia="仿宋_GB2312"/>
          <w:sz w:val="32"/>
          <w:szCs w:val="32"/>
        </w:rPr>
        <w:t>.</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pPr>
        <w:ind w:firstLine="640" w:firstLineChars="200"/>
        <w:rPr>
          <w:rFonts w:ascii="仿宋_GB2312" w:eastAsia="仿宋_GB2312"/>
          <w:sz w:val="32"/>
          <w:szCs w:val="32"/>
        </w:rPr>
      </w:pPr>
      <w:r>
        <w:rPr>
          <w:rFonts w:hint="eastAsia" w:ascii="仿宋_GB2312" w:eastAsia="仿宋_GB2312"/>
          <w:sz w:val="32"/>
          <w:szCs w:val="32"/>
          <w:lang w:val="en-US" w:eastAsia="zh-CN"/>
        </w:rPr>
        <w:t>14</w:t>
      </w:r>
      <w:r>
        <w:rPr>
          <w:rFonts w:ascii="仿宋_GB2312" w:eastAsia="仿宋_GB2312"/>
          <w:sz w:val="32"/>
          <w:szCs w:val="32"/>
        </w:rPr>
        <w:t>.</w:t>
      </w:r>
      <w:r>
        <w:rPr>
          <w:rFonts w:hint="eastAsia" w:ascii="仿宋_GB2312" w:eastAsia="仿宋_GB2312"/>
          <w:sz w:val="32"/>
          <w:szCs w:val="32"/>
        </w:rPr>
        <w:t>经营支出：指事业单位在专业业务活动及其辅助活动之外开展非独立核算经营活动发生的支出。</w:t>
      </w:r>
    </w:p>
    <w:p>
      <w:pPr>
        <w:pStyle w:val="2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15</w:t>
      </w:r>
      <w:r>
        <w:rPr>
          <w:rFonts w:ascii="仿宋_GB2312" w:eastAsia="仿宋_GB2312"/>
          <w:color w:val="auto"/>
          <w:sz w:val="32"/>
          <w:szCs w:val="32"/>
        </w:rPr>
        <w:t>.</w:t>
      </w:r>
      <w:r>
        <w:rPr>
          <w:rFonts w:hint="eastAsia" w:ascii="仿宋_GB2312" w:eastAsia="仿宋_GB2312"/>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16</w:t>
      </w:r>
      <w:r>
        <w:rPr>
          <w:rFonts w:ascii="仿宋_GB2312" w:eastAsia="仿宋_GB2312"/>
          <w:color w:val="auto"/>
          <w:sz w:val="32"/>
          <w:szCs w:val="32"/>
        </w:rPr>
        <w:t>.</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29"/>
          <w:rFonts w:ascii="黑体" w:hAnsi="黑体" w:eastAsia="黑体"/>
          <w:b w:val="0"/>
        </w:rPr>
      </w:pPr>
      <w:bookmarkStart w:id="58" w:name="_Toc15377226"/>
      <w:r>
        <w:rPr>
          <w:rFonts w:ascii="宋体"/>
          <w:b/>
          <w:sz w:val="44"/>
          <w:szCs w:val="44"/>
        </w:rPr>
        <w:br w:type="page"/>
      </w:r>
      <w:bookmarkStart w:id="59" w:name="_Toc15396614"/>
      <w:r>
        <w:rPr>
          <w:rFonts w:hint="eastAsia" w:ascii="黑体" w:hAnsi="黑体" w:eastAsia="黑体"/>
          <w:sz w:val="44"/>
          <w:szCs w:val="44"/>
        </w:rPr>
        <w:t>第</w:t>
      </w:r>
      <w:r>
        <w:rPr>
          <w:rStyle w:val="29"/>
          <w:rFonts w:hint="eastAsia" w:ascii="黑体" w:hAnsi="黑体" w:eastAsia="黑体"/>
          <w:b w:val="0"/>
        </w:rPr>
        <w:t>四部分 附件</w:t>
      </w:r>
      <w:bookmarkEnd w:id="59"/>
    </w:p>
    <w:p>
      <w:pPr>
        <w:spacing w:line="580" w:lineRule="exact"/>
        <w:jc w:val="both"/>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w:t>
      </w:r>
    </w:p>
    <w:p>
      <w:pPr>
        <w:spacing w:line="580" w:lineRule="exact"/>
        <w:ind w:firstLine="1320" w:firstLineChars="300"/>
        <w:jc w:val="both"/>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2021年乐至县部门整体支出绩效</w:t>
      </w:r>
    </w:p>
    <w:p>
      <w:pPr>
        <w:spacing w:line="58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自评报告</w:t>
      </w:r>
    </w:p>
    <w:p>
      <w:pPr>
        <w:spacing w:line="580" w:lineRule="exact"/>
        <w:ind w:firstLine="600" w:firstLineChars="200"/>
        <w:rPr>
          <w:rFonts w:hint="default" w:ascii="Times New Roman" w:hAnsi="Times New Roman" w:eastAsia="方正黑体简体" w:cs="Times New Roman"/>
          <w:sz w:val="30"/>
          <w:szCs w:val="30"/>
        </w:rPr>
      </w:pPr>
      <w:r>
        <w:rPr>
          <w:rFonts w:hint="default" w:ascii="Times New Roman" w:hAnsi="Times New Roman" w:eastAsia="方正黑体简体" w:cs="Times New Roman"/>
          <w:sz w:val="30"/>
          <w:szCs w:val="30"/>
        </w:rPr>
        <w:t>一、部门（单位）概况</w:t>
      </w:r>
    </w:p>
    <w:p>
      <w:pPr>
        <w:spacing w:line="580" w:lineRule="exact"/>
        <w:ind w:firstLine="602" w:firstLineChars="200"/>
        <w:rPr>
          <w:rFonts w:hint="default" w:ascii="Times New Roman" w:hAnsi="Times New Roman" w:eastAsia="方正楷体简体" w:cs="Times New Roman"/>
          <w:b/>
          <w:sz w:val="30"/>
          <w:szCs w:val="30"/>
        </w:rPr>
      </w:pPr>
      <w:r>
        <w:rPr>
          <w:rFonts w:hint="default" w:ascii="Times New Roman" w:hAnsi="Times New Roman" w:eastAsia="方正楷体简体" w:cs="Times New Roman"/>
          <w:b/>
          <w:sz w:val="30"/>
          <w:szCs w:val="30"/>
        </w:rPr>
        <w:t>（一）机构组成</w:t>
      </w:r>
    </w:p>
    <w:p>
      <w:pPr>
        <w:spacing w:line="620" w:lineRule="exact"/>
        <w:ind w:firstLine="600" w:firstLineChars="200"/>
        <w:rPr>
          <w:rFonts w:hint="default" w:ascii="Times New Roman" w:hAnsi="Times New Roman" w:eastAsia="方正楷体简体" w:cs="Times New Roman"/>
          <w:b/>
          <w:sz w:val="30"/>
          <w:szCs w:val="30"/>
        </w:rPr>
      </w:pPr>
      <w:r>
        <w:rPr>
          <w:rFonts w:hint="default" w:ascii="Times New Roman" w:hAnsi="Times New Roman" w:eastAsia="方正仿宋简体" w:cs="Times New Roman"/>
          <w:sz w:val="30"/>
          <w:szCs w:val="30"/>
        </w:rPr>
        <w:t>老干部局属一级预算单位，其中：行政单位1个，下属事业参公单位1个。</w:t>
      </w:r>
    </w:p>
    <w:p>
      <w:pPr>
        <w:spacing w:line="580" w:lineRule="exact"/>
        <w:ind w:firstLine="602" w:firstLineChars="200"/>
        <w:rPr>
          <w:rFonts w:hint="default" w:ascii="Times New Roman" w:hAnsi="Times New Roman" w:eastAsia="方正楷体简体" w:cs="Times New Roman"/>
          <w:b/>
          <w:sz w:val="30"/>
          <w:szCs w:val="30"/>
        </w:rPr>
      </w:pPr>
      <w:r>
        <w:rPr>
          <w:rFonts w:hint="default" w:ascii="Times New Roman" w:hAnsi="Times New Roman" w:eastAsia="方正楷体简体" w:cs="Times New Roman"/>
          <w:b/>
          <w:sz w:val="30"/>
          <w:szCs w:val="30"/>
        </w:rPr>
        <w:t>（二）机构职能</w:t>
      </w:r>
    </w:p>
    <w:p>
      <w:pPr>
        <w:spacing w:line="580" w:lineRule="exact"/>
        <w:ind w:firstLine="600" w:firstLineChars="200"/>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lang w:val="en-US" w:eastAsia="zh-CN"/>
        </w:rPr>
        <w:t>1.</w:t>
      </w:r>
      <w:r>
        <w:rPr>
          <w:rFonts w:hint="default" w:ascii="Times New Roman" w:hAnsi="Times New Roman" w:eastAsia="方正仿宋简体" w:cs="Times New Roman"/>
          <w:sz w:val="30"/>
          <w:szCs w:val="30"/>
        </w:rPr>
        <w:t>贯彻落实党中央关于离退休干部工作的方针政策和省委、市委、县委的决策部署; 向县委报告全县离退休干部工作情况，提出工作建议。</w:t>
      </w:r>
    </w:p>
    <w:p>
      <w:pPr>
        <w:spacing w:line="580" w:lineRule="exact"/>
        <w:ind w:firstLine="600" w:firstLineChars="200"/>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lang w:val="en-US" w:eastAsia="zh-CN"/>
        </w:rPr>
        <w:t>2.</w:t>
      </w:r>
      <w:r>
        <w:rPr>
          <w:rFonts w:hint="default" w:ascii="Times New Roman" w:hAnsi="Times New Roman" w:eastAsia="方正仿宋简体" w:cs="Times New Roman"/>
          <w:sz w:val="30"/>
          <w:szCs w:val="30"/>
        </w:rPr>
        <w:t>指导乡镇、县级各部门开展离退休干部工作,督促、检查具体执行情况；加强老干部工作部门自身建设和队伍建设。推进信息化精准化规范化建设。</w:t>
      </w:r>
    </w:p>
    <w:p>
      <w:pPr>
        <w:spacing w:line="580" w:lineRule="exact"/>
        <w:ind w:firstLine="600" w:firstLineChars="200"/>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lang w:val="en-US" w:eastAsia="zh-CN"/>
        </w:rPr>
        <w:t>3.</w:t>
      </w:r>
      <w:r>
        <w:rPr>
          <w:rFonts w:hint="default" w:ascii="Times New Roman" w:hAnsi="Times New Roman" w:eastAsia="方正仿宋简体" w:cs="Times New Roman"/>
          <w:sz w:val="30"/>
          <w:szCs w:val="30"/>
        </w:rPr>
        <w:t>督促落实离退休干部政治待遇和生活待遇，调查研究有关问题，协调有关部门提出解决办法，推进落实。</w:t>
      </w:r>
    </w:p>
    <w:p>
      <w:pPr>
        <w:spacing w:line="580" w:lineRule="exact"/>
        <w:ind w:firstLine="600" w:firstLineChars="200"/>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lang w:val="en-US" w:eastAsia="zh-CN"/>
        </w:rPr>
        <w:t>4.</w:t>
      </w:r>
      <w:r>
        <w:rPr>
          <w:rFonts w:hint="default" w:ascii="Times New Roman" w:hAnsi="Times New Roman" w:eastAsia="方正仿宋简体" w:cs="Times New Roman"/>
          <w:sz w:val="30"/>
          <w:szCs w:val="30"/>
        </w:rPr>
        <w:t>指导并督促、检查全县离退休干部党的建设，加强离退休干部政治建设、思想建设和党组织建设。</w:t>
      </w:r>
    </w:p>
    <w:p>
      <w:pPr>
        <w:spacing w:line="580" w:lineRule="exact"/>
        <w:ind w:firstLine="600" w:firstLineChars="200"/>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lang w:val="en-US" w:eastAsia="zh-CN"/>
        </w:rPr>
        <w:t>5.</w:t>
      </w:r>
      <w:r>
        <w:rPr>
          <w:rFonts w:hint="default" w:ascii="Times New Roman" w:hAnsi="Times New Roman" w:eastAsia="方正仿宋简体" w:cs="Times New Roman"/>
          <w:sz w:val="30"/>
          <w:szCs w:val="30"/>
        </w:rPr>
        <w:t>注重发挥离退休干部的独特优势，组织引导离退休干部积极开展正能量活动。</w:t>
      </w:r>
    </w:p>
    <w:p>
      <w:pPr>
        <w:spacing w:line="580" w:lineRule="exact"/>
        <w:ind w:firstLine="600" w:firstLineChars="200"/>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lang w:val="en-US" w:eastAsia="zh-CN"/>
        </w:rPr>
        <w:t>6.</w:t>
      </w:r>
      <w:r>
        <w:rPr>
          <w:rFonts w:hint="default" w:ascii="Times New Roman" w:hAnsi="Times New Roman" w:eastAsia="方正仿宋简体" w:cs="Times New Roman"/>
          <w:sz w:val="30"/>
          <w:szCs w:val="30"/>
        </w:rPr>
        <w:t>负责老干部的来信来访工作</w:t>
      </w:r>
    </w:p>
    <w:p>
      <w:pPr>
        <w:spacing w:line="580" w:lineRule="exact"/>
        <w:ind w:firstLine="600" w:firstLineChars="200"/>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lang w:val="en-US" w:eastAsia="zh-CN"/>
        </w:rPr>
        <w:t>7.</w:t>
      </w:r>
      <w:r>
        <w:rPr>
          <w:rFonts w:hint="default" w:ascii="Times New Roman" w:hAnsi="Times New Roman" w:eastAsia="方正仿宋简体" w:cs="Times New Roman"/>
          <w:sz w:val="30"/>
          <w:szCs w:val="30"/>
        </w:rPr>
        <w:t>协同有关部门做好离退休干部丧事处理工作，了解反映遗属的有关情况。</w:t>
      </w:r>
    </w:p>
    <w:p>
      <w:pPr>
        <w:spacing w:line="580" w:lineRule="exact"/>
        <w:ind w:firstLine="600" w:firstLineChars="200"/>
        <w:rPr>
          <w:rFonts w:hint="default" w:ascii="Times New Roman" w:hAnsi="Times New Roman" w:eastAsia="方正仿宋简体" w:cs="Times New Roman"/>
          <w:b/>
          <w:sz w:val="30"/>
          <w:szCs w:val="30"/>
        </w:rPr>
      </w:pPr>
      <w:r>
        <w:rPr>
          <w:rFonts w:hint="default" w:ascii="Times New Roman" w:hAnsi="Times New Roman" w:eastAsia="方正仿宋简体" w:cs="Times New Roman"/>
          <w:sz w:val="30"/>
          <w:szCs w:val="30"/>
          <w:lang w:val="en-US" w:eastAsia="zh-CN"/>
        </w:rPr>
        <w:t>8.</w:t>
      </w:r>
      <w:r>
        <w:rPr>
          <w:rFonts w:hint="default" w:ascii="Times New Roman" w:hAnsi="Times New Roman" w:eastAsia="方正仿宋简体" w:cs="Times New Roman"/>
          <w:sz w:val="30"/>
          <w:szCs w:val="30"/>
        </w:rPr>
        <w:t>完成县委交办的其他任务。</w:t>
      </w:r>
    </w:p>
    <w:p>
      <w:pPr>
        <w:spacing w:line="580" w:lineRule="exact"/>
        <w:ind w:firstLine="602" w:firstLineChars="200"/>
        <w:rPr>
          <w:rFonts w:hint="default" w:ascii="Times New Roman" w:hAnsi="Times New Roman" w:eastAsia="方正楷体简体" w:cs="Times New Roman"/>
          <w:b/>
          <w:sz w:val="30"/>
          <w:szCs w:val="30"/>
        </w:rPr>
      </w:pPr>
      <w:r>
        <w:rPr>
          <w:rFonts w:hint="default" w:ascii="Times New Roman" w:hAnsi="Times New Roman" w:eastAsia="方正楷体简体" w:cs="Times New Roman"/>
          <w:b/>
          <w:sz w:val="30"/>
          <w:szCs w:val="30"/>
        </w:rPr>
        <w:t>（三）人员概况</w:t>
      </w:r>
    </w:p>
    <w:p>
      <w:pPr>
        <w:spacing w:line="580" w:lineRule="exact"/>
        <w:ind w:firstLine="600" w:firstLineChars="200"/>
        <w:rPr>
          <w:rFonts w:hint="default" w:ascii="Times New Roman" w:hAnsi="Times New Roman" w:eastAsia="方正仿宋简体" w:cs="Times New Roman"/>
          <w:b/>
          <w:sz w:val="30"/>
          <w:szCs w:val="30"/>
        </w:rPr>
      </w:pPr>
      <w:r>
        <w:rPr>
          <w:rFonts w:hint="default" w:ascii="Times New Roman" w:hAnsi="Times New Roman" w:eastAsia="方正仿宋简体" w:cs="Times New Roman"/>
          <w:sz w:val="30"/>
          <w:szCs w:val="30"/>
        </w:rPr>
        <w:t>老干部局总编制9名，其中：行政编制4名，下属事业参公编制4名，工勤编制1名。实有在职人员总数</w:t>
      </w:r>
      <w:r>
        <w:rPr>
          <w:rFonts w:hint="default" w:ascii="Times New Roman" w:hAnsi="Times New Roman" w:eastAsia="方正仿宋简体" w:cs="Times New Roman"/>
          <w:sz w:val="30"/>
          <w:szCs w:val="30"/>
          <w:lang w:val="en-US" w:eastAsia="zh-CN"/>
        </w:rPr>
        <w:t>7</w:t>
      </w:r>
      <w:r>
        <w:rPr>
          <w:rFonts w:hint="default" w:ascii="Times New Roman" w:hAnsi="Times New Roman" w:eastAsia="方正仿宋简体" w:cs="Times New Roman"/>
          <w:sz w:val="30"/>
          <w:szCs w:val="30"/>
        </w:rPr>
        <w:t>人，其中：行政人员4人，事业参公人员</w:t>
      </w:r>
      <w:r>
        <w:rPr>
          <w:rFonts w:hint="default" w:ascii="Times New Roman" w:hAnsi="Times New Roman" w:eastAsia="方正仿宋简体" w:cs="Times New Roman"/>
          <w:sz w:val="30"/>
          <w:szCs w:val="30"/>
          <w:lang w:val="en-US" w:eastAsia="zh-CN"/>
        </w:rPr>
        <w:t>2</w:t>
      </w:r>
      <w:r>
        <w:rPr>
          <w:rFonts w:hint="default" w:ascii="Times New Roman" w:hAnsi="Times New Roman" w:eastAsia="方正仿宋简体" w:cs="Times New Roman"/>
          <w:sz w:val="30"/>
          <w:szCs w:val="30"/>
        </w:rPr>
        <w:t>名</w:t>
      </w:r>
      <w:r>
        <w:rPr>
          <w:rFonts w:hint="default" w:ascii="Times New Roman" w:hAnsi="Times New Roman" w:eastAsia="方正仿宋简体" w:cs="Times New Roman"/>
          <w:sz w:val="30"/>
          <w:szCs w:val="30"/>
          <w:lang w:eastAsia="zh-CN"/>
        </w:rPr>
        <w:t>，工勤</w:t>
      </w:r>
      <w:r>
        <w:rPr>
          <w:rFonts w:hint="default" w:ascii="Times New Roman" w:hAnsi="Times New Roman" w:eastAsia="方正仿宋简体" w:cs="Times New Roman"/>
          <w:sz w:val="30"/>
          <w:szCs w:val="30"/>
          <w:lang w:val="en-US" w:eastAsia="zh-CN"/>
        </w:rPr>
        <w:t>1名。</w:t>
      </w:r>
    </w:p>
    <w:p>
      <w:pPr>
        <w:spacing w:line="580" w:lineRule="exact"/>
        <w:ind w:firstLine="600" w:firstLineChars="200"/>
        <w:rPr>
          <w:rFonts w:hint="default" w:ascii="Times New Roman" w:hAnsi="Times New Roman" w:eastAsia="方正黑体简体" w:cs="Times New Roman"/>
          <w:sz w:val="30"/>
          <w:szCs w:val="30"/>
        </w:rPr>
      </w:pPr>
      <w:r>
        <w:rPr>
          <w:rFonts w:hint="default" w:ascii="Times New Roman" w:hAnsi="Times New Roman" w:eastAsia="方正黑体简体" w:cs="Times New Roman"/>
          <w:sz w:val="30"/>
          <w:szCs w:val="30"/>
        </w:rPr>
        <w:t>二、部门财政资金收支情况</w:t>
      </w:r>
    </w:p>
    <w:p>
      <w:pPr>
        <w:spacing w:line="580" w:lineRule="exact"/>
        <w:ind w:firstLine="602" w:firstLineChars="200"/>
        <w:rPr>
          <w:rFonts w:hint="default" w:ascii="Times New Roman" w:hAnsi="Times New Roman" w:eastAsia="方正楷体简体" w:cs="Times New Roman"/>
          <w:b/>
          <w:sz w:val="30"/>
          <w:szCs w:val="30"/>
        </w:rPr>
      </w:pPr>
      <w:r>
        <w:rPr>
          <w:rFonts w:hint="default" w:ascii="Times New Roman" w:hAnsi="Times New Roman" w:eastAsia="方正楷体简体" w:cs="Times New Roman"/>
          <w:b/>
          <w:sz w:val="30"/>
          <w:szCs w:val="30"/>
        </w:rPr>
        <w:t>（一）部门财政资金收入情况</w:t>
      </w:r>
    </w:p>
    <w:p>
      <w:pPr>
        <w:spacing w:line="580" w:lineRule="exact"/>
        <w:ind w:firstLine="600" w:firstLineChars="200"/>
        <w:rPr>
          <w:rFonts w:hint="default" w:ascii="Times New Roman" w:hAnsi="Times New Roman" w:eastAsia="方正仿宋简体" w:cs="Times New Roman"/>
          <w:b/>
          <w:sz w:val="30"/>
          <w:szCs w:val="30"/>
        </w:rPr>
      </w:pPr>
      <w:r>
        <w:rPr>
          <w:rFonts w:hint="default" w:ascii="Times New Roman" w:hAnsi="Times New Roman" w:eastAsia="方正仿宋简体" w:cs="Times New Roman"/>
          <w:sz w:val="30"/>
          <w:szCs w:val="30"/>
        </w:rPr>
        <w:t>年初预算</w:t>
      </w:r>
      <w:r>
        <w:rPr>
          <w:rFonts w:hint="default" w:ascii="Times New Roman" w:hAnsi="Times New Roman" w:eastAsia="方正仿宋简体" w:cs="Times New Roman"/>
          <w:sz w:val="30"/>
          <w:szCs w:val="30"/>
          <w:lang w:val="en-US" w:eastAsia="zh-CN"/>
        </w:rPr>
        <w:t>169.25万元；追加预算3.76万元。</w:t>
      </w:r>
    </w:p>
    <w:p>
      <w:pPr>
        <w:spacing w:line="580" w:lineRule="exact"/>
        <w:ind w:firstLine="602" w:firstLineChars="200"/>
        <w:rPr>
          <w:rFonts w:hint="default" w:ascii="Times New Roman" w:hAnsi="Times New Roman" w:eastAsia="方正楷体简体" w:cs="Times New Roman"/>
          <w:b/>
          <w:sz w:val="30"/>
          <w:szCs w:val="30"/>
        </w:rPr>
      </w:pPr>
      <w:r>
        <w:rPr>
          <w:rFonts w:hint="default" w:ascii="Times New Roman" w:hAnsi="Times New Roman" w:eastAsia="方正楷体简体" w:cs="Times New Roman"/>
          <w:b/>
          <w:sz w:val="30"/>
          <w:szCs w:val="30"/>
        </w:rPr>
        <w:t>（二）部门财政资金支出情况</w:t>
      </w:r>
    </w:p>
    <w:p>
      <w:pPr>
        <w:spacing w:line="580" w:lineRule="exact"/>
        <w:ind w:firstLine="600" w:firstLineChars="200"/>
        <w:rPr>
          <w:rFonts w:hint="default" w:ascii="Times New Roman" w:hAnsi="Times New Roman" w:eastAsia="方正仿宋简体" w:cs="Times New Roman"/>
          <w:b/>
          <w:sz w:val="30"/>
          <w:szCs w:val="30"/>
        </w:rPr>
      </w:pPr>
      <w:r>
        <w:rPr>
          <w:rFonts w:hint="default" w:ascii="Times New Roman" w:hAnsi="Times New Roman" w:eastAsia="方正仿宋简体" w:cs="Times New Roman"/>
          <w:sz w:val="30"/>
          <w:szCs w:val="30"/>
          <w:lang w:val="en-US" w:eastAsia="zh-CN"/>
        </w:rPr>
        <w:t>2021年</w:t>
      </w:r>
      <w:r>
        <w:rPr>
          <w:rFonts w:hint="default" w:ascii="Times New Roman" w:hAnsi="Times New Roman" w:eastAsia="方正仿宋简体" w:cs="Times New Roman"/>
          <w:sz w:val="30"/>
          <w:szCs w:val="30"/>
        </w:rPr>
        <w:t>部门总体支出</w:t>
      </w:r>
      <w:r>
        <w:rPr>
          <w:rFonts w:hint="default" w:ascii="Times New Roman" w:hAnsi="Times New Roman" w:eastAsia="方正仿宋简体" w:cs="Times New Roman"/>
          <w:sz w:val="30"/>
          <w:szCs w:val="30"/>
          <w:lang w:val="en-US" w:eastAsia="zh-CN"/>
        </w:rPr>
        <w:t>172.35</w:t>
      </w:r>
      <w:r>
        <w:rPr>
          <w:rFonts w:hint="default" w:ascii="Times New Roman" w:hAnsi="Times New Roman" w:eastAsia="方正仿宋简体" w:cs="Times New Roman"/>
          <w:sz w:val="30"/>
          <w:szCs w:val="30"/>
        </w:rPr>
        <w:t>万元，完成全年预算</w:t>
      </w:r>
      <w:r>
        <w:rPr>
          <w:rFonts w:hint="default" w:ascii="Times New Roman" w:hAnsi="Times New Roman" w:eastAsia="方正仿宋简体" w:cs="Times New Roman"/>
          <w:sz w:val="30"/>
          <w:szCs w:val="30"/>
          <w:lang w:val="en-US" w:eastAsia="zh-CN"/>
        </w:rPr>
        <w:t>100</w:t>
      </w:r>
      <w:r>
        <w:rPr>
          <w:rFonts w:hint="default" w:ascii="Times New Roman" w:hAnsi="Times New Roman" w:eastAsia="方正仿宋简体" w:cs="Times New Roman"/>
          <w:sz w:val="30"/>
          <w:szCs w:val="30"/>
        </w:rPr>
        <w:t>%，其中：</w:t>
      </w:r>
      <w:r>
        <w:rPr>
          <w:rFonts w:hint="default" w:ascii="Times New Roman" w:hAnsi="Times New Roman" w:eastAsia="方正仿宋简体" w:cs="Times New Roman"/>
          <w:sz w:val="30"/>
          <w:szCs w:val="30"/>
          <w:lang w:eastAsia="zh-CN"/>
        </w:rPr>
        <w:t>基本支出</w:t>
      </w:r>
      <w:r>
        <w:rPr>
          <w:rFonts w:hint="default" w:ascii="Times New Roman" w:hAnsi="Times New Roman" w:eastAsia="方正仿宋简体" w:cs="Times New Roman"/>
          <w:sz w:val="30"/>
          <w:szCs w:val="30"/>
          <w:lang w:val="en-US" w:eastAsia="zh-CN"/>
        </w:rPr>
        <w:t>132.98万元，</w:t>
      </w:r>
      <w:r>
        <w:rPr>
          <w:rFonts w:hint="default" w:ascii="Times New Roman" w:hAnsi="Times New Roman" w:eastAsia="仿宋_GB2312" w:cs="Times New Roman"/>
          <w:sz w:val="30"/>
          <w:szCs w:val="30"/>
          <w:lang w:val="en-US" w:eastAsia="zh-CN"/>
        </w:rPr>
        <w:t>占总支出的77.15%，包括工资福利支出81.53万元，商品和服务支出</w:t>
      </w:r>
      <w:r>
        <w:rPr>
          <w:rFonts w:hint="eastAsia" w:ascii="Times New Roman" w:hAnsi="Times New Roman" w:eastAsia="仿宋_GB2312" w:cs="Times New Roman"/>
          <w:sz w:val="30"/>
          <w:szCs w:val="30"/>
          <w:lang w:val="en-US" w:eastAsia="zh-CN"/>
        </w:rPr>
        <w:t>28.26</w:t>
      </w:r>
      <w:r>
        <w:rPr>
          <w:rFonts w:hint="default" w:ascii="Times New Roman" w:hAnsi="Times New Roman" w:eastAsia="仿宋_GB2312" w:cs="Times New Roman"/>
          <w:sz w:val="30"/>
          <w:szCs w:val="30"/>
          <w:lang w:val="en-US" w:eastAsia="zh-CN"/>
        </w:rPr>
        <w:t>万元，对家庭和个人的补助</w:t>
      </w:r>
      <w:r>
        <w:rPr>
          <w:rFonts w:hint="eastAsia" w:ascii="Times New Roman" w:hAnsi="Times New Roman" w:eastAsia="仿宋_GB2312" w:cs="Times New Roman"/>
          <w:sz w:val="30"/>
          <w:szCs w:val="30"/>
          <w:lang w:val="en-US" w:eastAsia="zh-CN"/>
        </w:rPr>
        <w:t>23.19</w:t>
      </w:r>
      <w:r>
        <w:rPr>
          <w:rFonts w:hint="default" w:ascii="Times New Roman" w:hAnsi="Times New Roman" w:eastAsia="仿宋_GB2312" w:cs="Times New Roman"/>
          <w:sz w:val="30"/>
          <w:szCs w:val="30"/>
          <w:lang w:val="en-US" w:eastAsia="zh-CN"/>
        </w:rPr>
        <w:t>万元；</w:t>
      </w:r>
      <w:r>
        <w:rPr>
          <w:rFonts w:hint="default" w:ascii="Times New Roman" w:hAnsi="Times New Roman" w:eastAsia="方正仿宋简体" w:cs="Times New Roman"/>
          <w:sz w:val="30"/>
          <w:szCs w:val="30"/>
        </w:rPr>
        <w:t>项目经费支出</w:t>
      </w:r>
      <w:r>
        <w:rPr>
          <w:rFonts w:hint="default" w:ascii="Times New Roman" w:hAnsi="Times New Roman" w:eastAsia="方正仿宋简体" w:cs="Times New Roman"/>
          <w:i w:val="0"/>
          <w:caps w:val="0"/>
          <w:color w:val="000000"/>
          <w:spacing w:val="0"/>
          <w:sz w:val="30"/>
          <w:szCs w:val="30"/>
          <w:lang w:val="en-US" w:eastAsia="zh-CN"/>
        </w:rPr>
        <w:t>39.37</w:t>
      </w:r>
      <w:r>
        <w:rPr>
          <w:rFonts w:hint="default" w:ascii="Times New Roman" w:hAnsi="Times New Roman" w:eastAsia="方正仿宋简体" w:cs="Times New Roman"/>
          <w:sz w:val="30"/>
          <w:szCs w:val="30"/>
        </w:rPr>
        <w:t>万元</w:t>
      </w:r>
      <w:r>
        <w:rPr>
          <w:rFonts w:hint="eastAsia" w:ascii="Times New Roman" w:hAnsi="Times New Roman" w:eastAsia="方正仿宋简体" w:cs="Times New Roman"/>
          <w:sz w:val="30"/>
          <w:szCs w:val="30"/>
          <w:lang w:eastAsia="zh-CN"/>
        </w:rPr>
        <w:t>，</w:t>
      </w:r>
      <w:r>
        <w:rPr>
          <w:rFonts w:hint="default" w:ascii="Times New Roman" w:hAnsi="Times New Roman" w:eastAsia="仿宋_GB2312" w:cs="Times New Roman"/>
          <w:sz w:val="30"/>
          <w:szCs w:val="30"/>
          <w:lang w:val="en-US" w:eastAsia="zh-CN"/>
        </w:rPr>
        <w:t>占总支出的</w:t>
      </w:r>
      <w:r>
        <w:rPr>
          <w:rFonts w:hint="eastAsia" w:ascii="Times New Roman" w:hAnsi="Times New Roman" w:eastAsia="仿宋_GB2312" w:cs="Times New Roman"/>
          <w:sz w:val="30"/>
          <w:szCs w:val="30"/>
          <w:lang w:val="en-US" w:eastAsia="zh-CN"/>
        </w:rPr>
        <w:t>，22.85</w:t>
      </w:r>
      <w:r>
        <w:rPr>
          <w:rFonts w:hint="default" w:ascii="Times New Roman" w:hAnsi="Times New Roman" w:eastAsia="仿宋_GB2312" w:cs="Times New Roman"/>
          <w:sz w:val="30"/>
          <w:szCs w:val="30"/>
          <w:lang w:val="en-US" w:eastAsia="zh-CN"/>
        </w:rPr>
        <w:t>%</w:t>
      </w:r>
      <w:r>
        <w:rPr>
          <w:rFonts w:hint="eastAsia" w:ascii="Times New Roman" w:hAnsi="Times New Roman" w:eastAsia="仿宋_GB2312" w:cs="Times New Roman"/>
          <w:sz w:val="30"/>
          <w:szCs w:val="30"/>
          <w:lang w:val="en-US" w:eastAsia="zh-CN"/>
        </w:rPr>
        <w:t>，</w:t>
      </w:r>
      <w:r>
        <w:rPr>
          <w:rFonts w:hint="default" w:ascii="Times New Roman" w:hAnsi="Times New Roman" w:eastAsia="仿宋_GB2312" w:cs="Times New Roman"/>
          <w:sz w:val="30"/>
          <w:szCs w:val="30"/>
          <w:lang w:val="en-US" w:eastAsia="zh-CN"/>
        </w:rPr>
        <w:t>包括商品和服务支出</w:t>
      </w:r>
      <w:r>
        <w:rPr>
          <w:rFonts w:hint="eastAsia" w:ascii="Times New Roman" w:hAnsi="Times New Roman" w:eastAsia="仿宋_GB2312" w:cs="Times New Roman"/>
          <w:sz w:val="30"/>
          <w:szCs w:val="30"/>
          <w:lang w:val="en-US" w:eastAsia="zh-CN"/>
        </w:rPr>
        <w:t>14.7万元，</w:t>
      </w:r>
      <w:r>
        <w:rPr>
          <w:rFonts w:hint="default" w:ascii="Times New Roman" w:hAnsi="Times New Roman" w:eastAsia="仿宋_GB2312" w:cs="Times New Roman"/>
          <w:sz w:val="30"/>
          <w:szCs w:val="30"/>
          <w:lang w:val="en-US" w:eastAsia="zh-CN"/>
        </w:rPr>
        <w:t>家庭和个人的补助</w:t>
      </w:r>
      <w:r>
        <w:rPr>
          <w:rFonts w:hint="eastAsia" w:ascii="Times New Roman" w:hAnsi="Times New Roman" w:eastAsia="仿宋_GB2312" w:cs="Times New Roman"/>
          <w:sz w:val="30"/>
          <w:szCs w:val="30"/>
          <w:lang w:val="en-US" w:eastAsia="zh-CN"/>
        </w:rPr>
        <w:t>24.67</w:t>
      </w:r>
      <w:r>
        <w:rPr>
          <w:rFonts w:hint="default" w:ascii="Times New Roman" w:hAnsi="Times New Roman" w:eastAsia="仿宋_GB2312" w:cs="Times New Roman"/>
          <w:sz w:val="30"/>
          <w:szCs w:val="30"/>
          <w:lang w:val="en-US" w:eastAsia="zh-CN"/>
        </w:rPr>
        <w:t>万元</w:t>
      </w:r>
      <w:r>
        <w:rPr>
          <w:rFonts w:hint="default" w:ascii="Times New Roman" w:hAnsi="Times New Roman" w:eastAsia="方正仿宋简体" w:cs="Times New Roman"/>
          <w:sz w:val="30"/>
          <w:szCs w:val="30"/>
        </w:rPr>
        <w:t>。</w:t>
      </w:r>
    </w:p>
    <w:p>
      <w:pPr>
        <w:spacing w:line="580" w:lineRule="exact"/>
        <w:ind w:firstLine="600" w:firstLineChars="200"/>
        <w:rPr>
          <w:rFonts w:hint="default" w:ascii="Times New Roman" w:hAnsi="Times New Roman" w:eastAsia="方正黑体简体" w:cs="Times New Roman"/>
          <w:sz w:val="30"/>
          <w:szCs w:val="30"/>
        </w:rPr>
      </w:pPr>
      <w:r>
        <w:rPr>
          <w:rFonts w:hint="default" w:ascii="Times New Roman" w:hAnsi="Times New Roman" w:eastAsia="方正黑体简体" w:cs="Times New Roman"/>
          <w:sz w:val="30"/>
          <w:szCs w:val="30"/>
        </w:rPr>
        <w:t>三、评价工作开展情况</w:t>
      </w:r>
    </w:p>
    <w:p>
      <w:pPr>
        <w:spacing w:line="580" w:lineRule="exact"/>
        <w:ind w:firstLine="602" w:firstLineChars="200"/>
        <w:rPr>
          <w:rFonts w:hint="default" w:ascii="Times New Roman" w:hAnsi="Times New Roman" w:eastAsia="方正楷体简体" w:cs="Times New Roman"/>
          <w:b/>
          <w:sz w:val="30"/>
          <w:szCs w:val="30"/>
        </w:rPr>
      </w:pPr>
      <w:r>
        <w:rPr>
          <w:rFonts w:hint="default" w:ascii="Times New Roman" w:hAnsi="Times New Roman" w:eastAsia="方正楷体简体" w:cs="Times New Roman"/>
          <w:b/>
          <w:sz w:val="30"/>
          <w:szCs w:val="30"/>
        </w:rPr>
        <w:t>（一）自评工作组织领导</w:t>
      </w:r>
    </w:p>
    <w:p>
      <w:pPr>
        <w:spacing w:line="580" w:lineRule="exact"/>
        <w:ind w:firstLine="600" w:firstLineChars="200"/>
        <w:rPr>
          <w:rFonts w:hint="default" w:ascii="Times New Roman" w:hAnsi="Times New Roman" w:eastAsia="方正楷体简体" w:cs="Times New Roman"/>
          <w:b/>
          <w:sz w:val="30"/>
          <w:szCs w:val="30"/>
        </w:rPr>
      </w:pPr>
      <w:r>
        <w:rPr>
          <w:rFonts w:hint="default" w:ascii="Times New Roman" w:hAnsi="Times New Roman" w:eastAsia="方正仿宋简体" w:cs="Times New Roman"/>
          <w:sz w:val="30"/>
          <w:szCs w:val="30"/>
          <w:lang w:eastAsia="zh-CN"/>
        </w:rPr>
        <w:t>我单位</w:t>
      </w:r>
      <w:r>
        <w:rPr>
          <w:rFonts w:hint="default" w:ascii="Times New Roman" w:hAnsi="Times New Roman" w:eastAsia="方正仿宋简体" w:cs="Times New Roman"/>
          <w:sz w:val="30"/>
          <w:szCs w:val="30"/>
        </w:rPr>
        <w:t>高度重视支出绩效自评工作，切实履行绩效评价主体责任，本着客观、真实、准确的原则开展部门项目支出绩效自评</w:t>
      </w:r>
      <w:r>
        <w:rPr>
          <w:rFonts w:hint="default" w:ascii="Times New Roman" w:hAnsi="Times New Roman" w:eastAsia="方正仿宋简体" w:cs="Times New Roman"/>
          <w:sz w:val="30"/>
          <w:szCs w:val="30"/>
          <w:lang w:eastAsia="zh-CN"/>
        </w:rPr>
        <w:t>。成立了以唐春局长为组长</w:t>
      </w:r>
      <w:r>
        <w:rPr>
          <w:rFonts w:hint="default" w:ascii="Times New Roman" w:hAnsi="Times New Roman" w:eastAsia="仿宋_GB2312" w:cs="Times New Roman"/>
          <w:sz w:val="30"/>
          <w:szCs w:val="30"/>
        </w:rPr>
        <w:t>，</w:t>
      </w:r>
      <w:r>
        <w:rPr>
          <w:rFonts w:hint="default" w:ascii="Times New Roman" w:hAnsi="Times New Roman" w:eastAsia="仿宋_GB2312" w:cs="Times New Roman"/>
          <w:sz w:val="30"/>
          <w:szCs w:val="30"/>
          <w:lang w:eastAsia="zh-CN"/>
        </w:rPr>
        <w:t>吴击浪</w:t>
      </w:r>
      <w:r>
        <w:rPr>
          <w:rFonts w:hint="default" w:ascii="Times New Roman" w:hAnsi="Times New Roman" w:eastAsia="仿宋_GB2312" w:cs="Times New Roman"/>
          <w:sz w:val="30"/>
          <w:szCs w:val="30"/>
        </w:rPr>
        <w:t>副局长为副组长，相关科室</w:t>
      </w:r>
      <w:r>
        <w:rPr>
          <w:rFonts w:hint="default" w:ascii="Times New Roman" w:hAnsi="Times New Roman" w:eastAsia="仿宋_GB2312" w:cs="Times New Roman"/>
          <w:sz w:val="30"/>
          <w:szCs w:val="30"/>
          <w:lang w:eastAsia="zh-CN"/>
        </w:rPr>
        <w:t>人员</w:t>
      </w:r>
      <w:r>
        <w:rPr>
          <w:rFonts w:hint="default" w:ascii="Times New Roman" w:hAnsi="Times New Roman" w:eastAsia="仿宋_GB2312" w:cs="Times New Roman"/>
          <w:sz w:val="30"/>
          <w:szCs w:val="30"/>
        </w:rPr>
        <w:t>为成员</w:t>
      </w:r>
      <w:r>
        <w:rPr>
          <w:rFonts w:hint="default" w:ascii="Times New Roman" w:hAnsi="Times New Roman" w:eastAsia="仿宋_GB2312" w:cs="Times New Roman"/>
          <w:sz w:val="30"/>
          <w:szCs w:val="30"/>
          <w:lang w:eastAsia="zh-CN"/>
        </w:rPr>
        <w:t>的财政支出绩效自评小组。</w:t>
      </w:r>
    </w:p>
    <w:p>
      <w:pPr>
        <w:spacing w:line="580" w:lineRule="exact"/>
        <w:ind w:firstLine="602" w:firstLineChars="200"/>
        <w:rPr>
          <w:rFonts w:hint="default" w:ascii="Times New Roman" w:hAnsi="Times New Roman" w:eastAsia="方正楷体简体" w:cs="Times New Roman"/>
          <w:b/>
          <w:sz w:val="30"/>
          <w:szCs w:val="30"/>
        </w:rPr>
      </w:pPr>
      <w:r>
        <w:rPr>
          <w:rFonts w:hint="default" w:ascii="Times New Roman" w:hAnsi="Times New Roman" w:eastAsia="方正楷体简体" w:cs="Times New Roman"/>
          <w:b/>
          <w:sz w:val="30"/>
          <w:szCs w:val="30"/>
        </w:rPr>
        <w:t>（二）自评方式、方法、重点等</w:t>
      </w:r>
    </w:p>
    <w:p>
      <w:pPr>
        <w:spacing w:line="580" w:lineRule="exact"/>
        <w:ind w:firstLine="600" w:firstLineChars="200"/>
        <w:rPr>
          <w:rFonts w:hint="default" w:ascii="Times New Roman" w:hAnsi="Times New Roman" w:eastAsia="方正楷体简体" w:cs="Times New Roman"/>
          <w:b/>
          <w:sz w:val="30"/>
          <w:szCs w:val="30"/>
        </w:rPr>
      </w:pPr>
      <w:r>
        <w:rPr>
          <w:rFonts w:hint="default" w:ascii="Times New Roman" w:hAnsi="Times New Roman" w:eastAsia="方正仿宋简体" w:cs="Times New Roman"/>
          <w:b w:val="0"/>
          <w:bCs/>
          <w:sz w:val="30"/>
          <w:szCs w:val="30"/>
          <w:lang w:eastAsia="zh-CN"/>
        </w:rPr>
        <w:t>我局整体支出自评，采用比较法，通过成立自评小组，收集相关资金支出资料等，经局务会对本年相关公用经费、人员经费以及项目经费等经费使用项目进行研究，最终形成项目自评材料，开展自评工作。</w:t>
      </w:r>
    </w:p>
    <w:p>
      <w:pPr>
        <w:spacing w:line="580" w:lineRule="exact"/>
        <w:ind w:firstLine="600" w:firstLineChars="200"/>
        <w:rPr>
          <w:rFonts w:hint="default" w:ascii="Times New Roman" w:hAnsi="Times New Roman" w:eastAsia="方正黑体简体" w:cs="Times New Roman"/>
          <w:sz w:val="30"/>
          <w:szCs w:val="30"/>
        </w:rPr>
      </w:pPr>
      <w:r>
        <w:rPr>
          <w:rFonts w:hint="default" w:ascii="Times New Roman" w:hAnsi="Times New Roman" w:eastAsia="方正黑体简体" w:cs="Times New Roman"/>
          <w:sz w:val="30"/>
          <w:szCs w:val="30"/>
        </w:rPr>
        <w:t>四、评价结论</w:t>
      </w:r>
    </w:p>
    <w:p>
      <w:pPr>
        <w:spacing w:line="580" w:lineRule="exact"/>
        <w:ind w:firstLine="600" w:firstLineChars="200"/>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lang w:eastAsia="zh-CN"/>
        </w:rPr>
        <w:t>我局</w:t>
      </w:r>
      <w:r>
        <w:rPr>
          <w:rFonts w:hint="default" w:ascii="Times New Roman" w:hAnsi="Times New Roman" w:eastAsia="方正仿宋简体" w:cs="Times New Roman"/>
          <w:sz w:val="30"/>
          <w:szCs w:val="30"/>
          <w:lang w:val="en-US" w:eastAsia="zh-CN"/>
        </w:rPr>
        <w:t>2021年经费支出</w:t>
      </w:r>
      <w:r>
        <w:rPr>
          <w:rFonts w:hint="default" w:ascii="Times New Roman" w:hAnsi="Times New Roman" w:eastAsia="方正仿宋简体" w:cs="Times New Roman"/>
          <w:sz w:val="30"/>
          <w:szCs w:val="30"/>
          <w:lang w:eastAsia="zh-CN"/>
        </w:rPr>
        <w:t>符合国家政策，与实际需求高度相关。在项目实施过程中，我局</w:t>
      </w:r>
      <w:r>
        <w:rPr>
          <w:rFonts w:hint="default" w:ascii="Times New Roman" w:hAnsi="Times New Roman" w:eastAsia="仿宋_GB2312" w:cs="Times New Roman"/>
          <w:sz w:val="30"/>
          <w:szCs w:val="30"/>
          <w:lang w:eastAsia="zh-CN"/>
        </w:rPr>
        <w:t>严格执行项目预算管理及收支管理，依据行政事业单位财务管理制度，及时进行</w:t>
      </w:r>
      <w:r>
        <w:rPr>
          <w:rFonts w:hint="default" w:ascii="Times New Roman" w:hAnsi="Times New Roman" w:eastAsia="仿宋_GB2312" w:cs="Times New Roman"/>
          <w:sz w:val="30"/>
          <w:szCs w:val="30"/>
        </w:rPr>
        <w:t>会计核算及账务处理</w:t>
      </w:r>
      <w:r>
        <w:rPr>
          <w:rFonts w:hint="default" w:ascii="Times New Roman" w:hAnsi="Times New Roman" w:eastAsia="仿宋_GB2312" w:cs="Times New Roman"/>
          <w:sz w:val="30"/>
          <w:szCs w:val="30"/>
          <w:lang w:eastAsia="zh-CN"/>
        </w:rPr>
        <w:t>，</w:t>
      </w:r>
      <w:r>
        <w:rPr>
          <w:rFonts w:hint="default" w:ascii="Times New Roman" w:hAnsi="Times New Roman" w:eastAsia="仿宋_GB2312" w:cs="Times New Roman"/>
          <w:sz w:val="30"/>
          <w:szCs w:val="30"/>
        </w:rPr>
        <w:t>不存在截留、挤占</w:t>
      </w:r>
      <w:r>
        <w:rPr>
          <w:rFonts w:hint="default" w:ascii="Times New Roman" w:hAnsi="Times New Roman" w:eastAsia="仿宋_GB2312" w:cs="Times New Roman"/>
          <w:sz w:val="30"/>
          <w:szCs w:val="30"/>
          <w:lang w:eastAsia="zh-CN"/>
        </w:rPr>
        <w:t>或者</w:t>
      </w:r>
      <w:r>
        <w:rPr>
          <w:rFonts w:hint="default" w:ascii="Times New Roman" w:hAnsi="Times New Roman" w:eastAsia="仿宋_GB2312" w:cs="Times New Roman"/>
          <w:sz w:val="30"/>
          <w:szCs w:val="30"/>
        </w:rPr>
        <w:t>挪用</w:t>
      </w:r>
      <w:r>
        <w:rPr>
          <w:rFonts w:hint="default" w:ascii="Times New Roman" w:hAnsi="Times New Roman" w:eastAsia="仿宋_GB2312" w:cs="Times New Roman"/>
          <w:sz w:val="30"/>
          <w:szCs w:val="30"/>
          <w:lang w:eastAsia="zh-CN"/>
        </w:rPr>
        <w:t>专项资金</w:t>
      </w:r>
      <w:r>
        <w:rPr>
          <w:rFonts w:hint="default" w:ascii="Times New Roman" w:hAnsi="Times New Roman" w:eastAsia="仿宋_GB2312" w:cs="Times New Roman"/>
          <w:sz w:val="30"/>
          <w:szCs w:val="30"/>
        </w:rPr>
        <w:t>，超预算或者无预算安排支出，虚列支出、转嫁支出</w:t>
      </w:r>
      <w:r>
        <w:rPr>
          <w:rFonts w:hint="default" w:ascii="Times New Roman" w:hAnsi="Times New Roman" w:eastAsia="仿宋_GB2312" w:cs="Times New Roman"/>
          <w:sz w:val="30"/>
          <w:szCs w:val="30"/>
          <w:lang w:eastAsia="zh-CN"/>
        </w:rPr>
        <w:t>等现状</w:t>
      </w:r>
      <w:r>
        <w:rPr>
          <w:rFonts w:hint="default" w:ascii="Times New Roman" w:hAnsi="Times New Roman" w:eastAsia="仿宋_GB2312" w:cs="Times New Roman"/>
          <w:sz w:val="30"/>
          <w:szCs w:val="30"/>
        </w:rPr>
        <w:t>，对照项目资金管理办法，严格执行财务管理制度</w:t>
      </w:r>
      <w:r>
        <w:rPr>
          <w:rFonts w:hint="default" w:ascii="Times New Roman" w:hAnsi="Times New Roman" w:eastAsia="仿宋_GB2312" w:cs="Times New Roman"/>
          <w:sz w:val="30"/>
          <w:szCs w:val="30"/>
          <w:lang w:eastAsia="zh-CN"/>
        </w:rPr>
        <w:t>，</w:t>
      </w:r>
      <w:r>
        <w:rPr>
          <w:rFonts w:hint="default" w:ascii="Times New Roman" w:hAnsi="Times New Roman" w:eastAsia="仿宋_GB2312" w:cs="Times New Roman"/>
          <w:sz w:val="30"/>
          <w:szCs w:val="30"/>
        </w:rPr>
        <w:t>会计核算</w:t>
      </w:r>
      <w:r>
        <w:rPr>
          <w:rFonts w:hint="default" w:ascii="Times New Roman" w:hAnsi="Times New Roman" w:eastAsia="仿宋_GB2312" w:cs="Times New Roman"/>
          <w:sz w:val="30"/>
          <w:szCs w:val="30"/>
          <w:lang w:eastAsia="zh-CN"/>
        </w:rPr>
        <w:t>合乎</w:t>
      </w:r>
      <w:r>
        <w:rPr>
          <w:rFonts w:hint="default" w:ascii="Times New Roman" w:hAnsi="Times New Roman" w:eastAsia="仿宋_GB2312" w:cs="Times New Roman"/>
          <w:sz w:val="30"/>
          <w:szCs w:val="30"/>
        </w:rPr>
        <w:t>规范。</w:t>
      </w:r>
      <w:r>
        <w:rPr>
          <w:rFonts w:hint="default" w:ascii="Times New Roman" w:hAnsi="Times New Roman" w:eastAsia="方正仿宋简体" w:cs="Times New Roman"/>
          <w:sz w:val="30"/>
          <w:szCs w:val="30"/>
        </w:rPr>
        <w:t>依据《乐至县财政支出绩效评价管理办法》规定</w:t>
      </w:r>
      <w:r>
        <w:rPr>
          <w:rFonts w:hint="default" w:ascii="Times New Roman" w:hAnsi="Times New Roman" w:eastAsia="方正仿宋简体" w:cs="Times New Roman"/>
          <w:sz w:val="30"/>
          <w:szCs w:val="30"/>
          <w:lang w:eastAsia="zh-CN"/>
        </w:rPr>
        <w:t>自评</w:t>
      </w:r>
      <w:r>
        <w:rPr>
          <w:rFonts w:hint="default" w:ascii="Times New Roman" w:hAnsi="Times New Roman" w:eastAsia="方正仿宋简体" w:cs="Times New Roman"/>
          <w:sz w:val="30"/>
          <w:szCs w:val="30"/>
        </w:rPr>
        <w:t>绩效等级</w:t>
      </w:r>
      <w:r>
        <w:rPr>
          <w:rFonts w:hint="default" w:ascii="Times New Roman" w:hAnsi="Times New Roman" w:eastAsia="方正仿宋简体" w:cs="Times New Roman"/>
          <w:sz w:val="30"/>
          <w:szCs w:val="30"/>
          <w:lang w:eastAsia="zh-CN"/>
        </w:rPr>
        <w:t>为优</w:t>
      </w:r>
      <w:r>
        <w:rPr>
          <w:rFonts w:hint="default" w:ascii="Times New Roman" w:hAnsi="Times New Roman" w:eastAsia="方正仿宋简体" w:cs="Times New Roman"/>
          <w:sz w:val="30"/>
          <w:szCs w:val="30"/>
        </w:rPr>
        <w:t>。</w:t>
      </w:r>
    </w:p>
    <w:p>
      <w:pPr>
        <w:spacing w:line="580" w:lineRule="exact"/>
        <w:ind w:firstLine="600" w:firstLineChars="200"/>
        <w:rPr>
          <w:rFonts w:hint="default" w:ascii="Times New Roman" w:hAnsi="Times New Roman" w:eastAsia="方正黑体简体" w:cs="Times New Roman"/>
          <w:sz w:val="30"/>
          <w:szCs w:val="30"/>
        </w:rPr>
      </w:pPr>
      <w:r>
        <w:rPr>
          <w:rFonts w:hint="default" w:ascii="Times New Roman" w:hAnsi="Times New Roman" w:eastAsia="方正黑体简体" w:cs="Times New Roman"/>
          <w:sz w:val="30"/>
          <w:szCs w:val="30"/>
        </w:rPr>
        <w:t>五、绩效分析</w:t>
      </w:r>
    </w:p>
    <w:p>
      <w:pPr>
        <w:spacing w:line="580" w:lineRule="exact"/>
        <w:ind w:firstLine="602" w:firstLineChars="200"/>
        <w:rPr>
          <w:rFonts w:hint="default" w:ascii="Times New Roman" w:hAnsi="Times New Roman" w:eastAsia="方正楷体简体" w:cs="Times New Roman"/>
          <w:b/>
          <w:sz w:val="30"/>
          <w:szCs w:val="30"/>
        </w:rPr>
      </w:pPr>
      <w:r>
        <w:rPr>
          <w:rFonts w:hint="default" w:ascii="Times New Roman" w:hAnsi="Times New Roman" w:eastAsia="方正楷体简体" w:cs="Times New Roman"/>
          <w:b/>
          <w:sz w:val="30"/>
          <w:szCs w:val="30"/>
        </w:rPr>
        <w:t>（一）指标分析</w:t>
      </w:r>
    </w:p>
    <w:p>
      <w:pPr>
        <w:spacing w:line="580" w:lineRule="exact"/>
        <w:ind w:firstLine="920" w:firstLineChars="0"/>
        <w:rPr>
          <w:rFonts w:hint="eastAsia" w:ascii="Times New Roman" w:hAnsi="Times New Roman" w:eastAsia="方正仿宋简体" w:cs="Times New Roman"/>
          <w:sz w:val="30"/>
          <w:szCs w:val="30"/>
          <w:lang w:val="en-US" w:eastAsia="zh-CN"/>
        </w:rPr>
      </w:pPr>
      <w:r>
        <w:rPr>
          <w:rFonts w:hint="eastAsia" w:ascii="Times New Roman" w:hAnsi="Times New Roman" w:eastAsia="方正仿宋简体" w:cs="Times New Roman"/>
          <w:sz w:val="30"/>
          <w:szCs w:val="30"/>
          <w:lang w:val="en-US" w:eastAsia="zh-CN"/>
        </w:rPr>
        <w:t>1.绩效目标设定合理性。我局年初绩效目标设定符合国家法律法规、国民经济和社会发展总体规划，符合部门“三定”方案确定的职责，符合部门制定的中长期实施规划；绩效目标设定清晰、可衡量。</w:t>
      </w:r>
    </w:p>
    <w:p>
      <w:pPr>
        <w:spacing w:line="580" w:lineRule="exact"/>
        <w:ind w:firstLine="920" w:firstLineChars="0"/>
        <w:rPr>
          <w:rFonts w:hint="eastAsia" w:ascii="Times New Roman" w:hAnsi="Times New Roman" w:eastAsia="方正仿宋简体" w:cs="Times New Roman"/>
          <w:sz w:val="30"/>
          <w:szCs w:val="30"/>
          <w:lang w:val="en-US" w:eastAsia="zh-CN"/>
        </w:rPr>
      </w:pPr>
      <w:r>
        <w:rPr>
          <w:rFonts w:hint="eastAsia" w:ascii="Times New Roman" w:hAnsi="Times New Roman" w:eastAsia="方正仿宋简体" w:cs="Times New Roman"/>
          <w:sz w:val="30"/>
          <w:szCs w:val="30"/>
          <w:lang w:val="en-US" w:eastAsia="zh-CN"/>
        </w:rPr>
        <w:t>2.预算配置合理性。我局年初预算根据现有人员编制及人数情况、三公经费控制要求及重点项目需求，对年初预算进行合理配置。</w:t>
      </w:r>
    </w:p>
    <w:p>
      <w:pPr>
        <w:widowControl/>
        <w:adjustRightInd w:val="0"/>
        <w:snapToGrid w:val="0"/>
        <w:spacing w:line="590" w:lineRule="exact"/>
        <w:ind w:firstLine="600" w:firstLineChars="200"/>
        <w:jc w:val="left"/>
        <w:rPr>
          <w:rFonts w:hint="eastAsia" w:eastAsia="仿宋_GB2312" w:cs="宋体"/>
          <w:color w:val="000000"/>
          <w:kern w:val="0"/>
          <w:sz w:val="30"/>
          <w:szCs w:val="30"/>
          <w:lang w:val="zh-CN"/>
        </w:rPr>
      </w:pPr>
      <w:r>
        <w:rPr>
          <w:rFonts w:hint="eastAsia" w:ascii="Times New Roman" w:hAnsi="Times New Roman" w:eastAsia="方正仿宋简体" w:cs="Times New Roman"/>
          <w:sz w:val="30"/>
          <w:szCs w:val="30"/>
          <w:lang w:val="en-US" w:eastAsia="zh-CN"/>
        </w:rPr>
        <w:t>3.预算执行情况。</w:t>
      </w:r>
      <w:r>
        <w:rPr>
          <w:rFonts w:hint="eastAsia" w:eastAsia="仿宋_GB2312" w:cs="宋体"/>
          <w:color w:val="000000"/>
          <w:kern w:val="0"/>
          <w:sz w:val="30"/>
          <w:szCs w:val="30"/>
          <w:lang w:val="zh-CN"/>
        </w:rPr>
        <w:t>20</w:t>
      </w:r>
      <w:r>
        <w:rPr>
          <w:rFonts w:hint="eastAsia" w:eastAsia="仿宋_GB2312" w:cs="宋体"/>
          <w:color w:val="000000"/>
          <w:kern w:val="0"/>
          <w:sz w:val="30"/>
          <w:szCs w:val="30"/>
          <w:lang w:val="en-US" w:eastAsia="zh-CN"/>
        </w:rPr>
        <w:t>21</w:t>
      </w:r>
      <w:r>
        <w:rPr>
          <w:rFonts w:hint="eastAsia" w:eastAsia="仿宋_GB2312" w:cs="宋体"/>
          <w:color w:val="000000"/>
          <w:kern w:val="0"/>
          <w:sz w:val="30"/>
          <w:szCs w:val="30"/>
          <w:lang w:val="zh-CN"/>
        </w:rPr>
        <w:t>年</w:t>
      </w:r>
      <w:r>
        <w:rPr>
          <w:rFonts w:hint="eastAsia" w:eastAsia="仿宋_GB2312" w:cs="宋体"/>
          <w:color w:val="000000"/>
          <w:kern w:val="0"/>
          <w:sz w:val="30"/>
          <w:szCs w:val="30"/>
          <w:lang w:val="en-US" w:eastAsia="zh-CN"/>
        </w:rPr>
        <w:t>我单位</w:t>
      </w:r>
      <w:r>
        <w:rPr>
          <w:rFonts w:hint="eastAsia" w:eastAsia="仿宋_GB2312" w:cs="宋体"/>
          <w:color w:val="000000"/>
          <w:kern w:val="0"/>
          <w:sz w:val="30"/>
          <w:szCs w:val="30"/>
          <w:lang w:val="zh-CN"/>
        </w:rPr>
        <w:t>收入为</w:t>
      </w:r>
      <w:r>
        <w:rPr>
          <w:rFonts w:hint="eastAsia" w:eastAsia="仿宋_GB2312" w:cs="宋体"/>
          <w:color w:val="000000"/>
          <w:kern w:val="0"/>
          <w:sz w:val="30"/>
          <w:szCs w:val="30"/>
          <w:lang w:val="en-US" w:eastAsia="zh-CN"/>
        </w:rPr>
        <w:t>172.35</w:t>
      </w:r>
      <w:r>
        <w:rPr>
          <w:rFonts w:hint="eastAsia" w:eastAsia="仿宋_GB2312" w:cs="宋体"/>
          <w:color w:val="000000"/>
          <w:kern w:val="0"/>
          <w:sz w:val="30"/>
          <w:szCs w:val="30"/>
          <w:lang w:val="zh-CN"/>
        </w:rPr>
        <w:t>万元，</w:t>
      </w:r>
      <w:r>
        <w:rPr>
          <w:rFonts w:hint="eastAsia" w:eastAsia="仿宋_GB2312" w:cs="宋体"/>
          <w:color w:val="000000"/>
          <w:kern w:val="0"/>
          <w:sz w:val="30"/>
          <w:szCs w:val="30"/>
          <w:lang w:val="en-US" w:eastAsia="zh-CN"/>
        </w:rPr>
        <w:t>其中财政拨款收入172.35万元</w:t>
      </w:r>
      <w:r>
        <w:rPr>
          <w:rFonts w:hint="eastAsia" w:eastAsia="仿宋_GB2312" w:cs="宋体"/>
          <w:color w:val="000000"/>
          <w:kern w:val="0"/>
          <w:sz w:val="30"/>
          <w:szCs w:val="30"/>
          <w:lang w:val="zh-CN"/>
        </w:rPr>
        <w:t>。20</w:t>
      </w:r>
      <w:r>
        <w:rPr>
          <w:rFonts w:hint="eastAsia" w:eastAsia="仿宋_GB2312" w:cs="宋体"/>
          <w:color w:val="000000"/>
          <w:kern w:val="0"/>
          <w:sz w:val="30"/>
          <w:szCs w:val="30"/>
          <w:lang w:val="en-US" w:eastAsia="zh-CN"/>
        </w:rPr>
        <w:t>21</w:t>
      </w:r>
      <w:r>
        <w:rPr>
          <w:rFonts w:hint="eastAsia" w:eastAsia="仿宋_GB2312" w:cs="宋体"/>
          <w:color w:val="000000"/>
          <w:kern w:val="0"/>
          <w:sz w:val="30"/>
          <w:szCs w:val="30"/>
          <w:lang w:val="zh-CN"/>
        </w:rPr>
        <w:t>年</w:t>
      </w:r>
      <w:r>
        <w:rPr>
          <w:rFonts w:hint="eastAsia" w:eastAsia="仿宋_GB2312" w:cs="宋体"/>
          <w:color w:val="000000"/>
          <w:kern w:val="0"/>
          <w:sz w:val="30"/>
          <w:szCs w:val="30"/>
          <w:lang w:val="en-US" w:eastAsia="zh-CN"/>
        </w:rPr>
        <w:t>我单位</w:t>
      </w:r>
      <w:r>
        <w:rPr>
          <w:rFonts w:hint="eastAsia" w:eastAsia="仿宋_GB2312" w:cs="宋体"/>
          <w:color w:val="000000"/>
          <w:kern w:val="0"/>
          <w:sz w:val="30"/>
          <w:szCs w:val="30"/>
          <w:lang w:val="zh-CN"/>
        </w:rPr>
        <w:t>支出为</w:t>
      </w:r>
      <w:r>
        <w:rPr>
          <w:rFonts w:hint="eastAsia" w:eastAsia="仿宋_GB2312" w:cs="宋体"/>
          <w:color w:val="000000"/>
          <w:kern w:val="0"/>
          <w:sz w:val="30"/>
          <w:szCs w:val="30"/>
          <w:lang w:val="en-US" w:eastAsia="zh-CN"/>
        </w:rPr>
        <w:t>172.35</w:t>
      </w:r>
      <w:r>
        <w:rPr>
          <w:rFonts w:hint="eastAsia" w:eastAsia="仿宋_GB2312" w:cs="宋体"/>
          <w:color w:val="000000"/>
          <w:kern w:val="0"/>
          <w:sz w:val="30"/>
          <w:szCs w:val="30"/>
          <w:lang w:val="zh-CN"/>
        </w:rPr>
        <w:t>万元，</w:t>
      </w:r>
      <w:r>
        <w:rPr>
          <w:rFonts w:hint="eastAsia" w:eastAsia="仿宋_GB2312" w:cs="宋体"/>
          <w:color w:val="000000"/>
          <w:kern w:val="0"/>
          <w:sz w:val="30"/>
          <w:szCs w:val="30"/>
          <w:lang w:val="zh-CN" w:eastAsia="zh-CN"/>
        </w:rPr>
        <w:t>其中基本支出</w:t>
      </w:r>
      <w:r>
        <w:rPr>
          <w:rFonts w:hint="eastAsia" w:eastAsia="仿宋_GB2312" w:cs="宋体"/>
          <w:color w:val="000000"/>
          <w:kern w:val="0"/>
          <w:sz w:val="30"/>
          <w:szCs w:val="30"/>
          <w:lang w:val="en-US" w:eastAsia="zh-CN"/>
        </w:rPr>
        <w:t>132.98</w:t>
      </w:r>
      <w:r>
        <w:rPr>
          <w:rFonts w:hint="eastAsia" w:eastAsia="仿宋_GB2312" w:cs="宋体"/>
          <w:color w:val="000000"/>
          <w:kern w:val="0"/>
          <w:sz w:val="30"/>
          <w:szCs w:val="30"/>
          <w:lang w:val="zh-CN" w:eastAsia="zh-CN"/>
        </w:rPr>
        <w:t>万元，占总支出的</w:t>
      </w:r>
      <w:r>
        <w:rPr>
          <w:rFonts w:hint="eastAsia" w:eastAsia="仿宋_GB2312" w:cs="宋体"/>
          <w:color w:val="000000"/>
          <w:kern w:val="0"/>
          <w:sz w:val="30"/>
          <w:szCs w:val="30"/>
          <w:lang w:val="en-US" w:eastAsia="zh-CN"/>
        </w:rPr>
        <w:t>77.15</w:t>
      </w:r>
      <w:r>
        <w:rPr>
          <w:rFonts w:hint="eastAsia" w:eastAsia="仿宋_GB2312" w:cs="宋体"/>
          <w:color w:val="000000"/>
          <w:kern w:val="0"/>
          <w:sz w:val="30"/>
          <w:szCs w:val="30"/>
          <w:lang w:val="zh-CN" w:eastAsia="zh-CN"/>
        </w:rPr>
        <w:t>%，包括工资福利支出</w:t>
      </w:r>
      <w:r>
        <w:rPr>
          <w:rFonts w:hint="eastAsia" w:eastAsia="仿宋_GB2312" w:cs="宋体"/>
          <w:color w:val="000000"/>
          <w:kern w:val="0"/>
          <w:sz w:val="30"/>
          <w:szCs w:val="30"/>
          <w:lang w:val="en-US" w:eastAsia="zh-CN"/>
        </w:rPr>
        <w:t>81.53</w:t>
      </w:r>
      <w:r>
        <w:rPr>
          <w:rFonts w:hint="eastAsia" w:eastAsia="仿宋_GB2312" w:cs="宋体"/>
          <w:color w:val="000000"/>
          <w:kern w:val="0"/>
          <w:sz w:val="30"/>
          <w:szCs w:val="30"/>
          <w:lang w:val="zh-CN" w:eastAsia="zh-CN"/>
        </w:rPr>
        <w:t>万元，商品和服务支出</w:t>
      </w:r>
      <w:r>
        <w:rPr>
          <w:rFonts w:hint="eastAsia" w:eastAsia="仿宋_GB2312" w:cs="宋体"/>
          <w:color w:val="000000"/>
          <w:kern w:val="0"/>
          <w:sz w:val="30"/>
          <w:szCs w:val="30"/>
          <w:lang w:val="en-US" w:eastAsia="zh-CN"/>
        </w:rPr>
        <w:t>28.26</w:t>
      </w:r>
      <w:r>
        <w:rPr>
          <w:rFonts w:hint="eastAsia" w:eastAsia="仿宋_GB2312" w:cs="宋体"/>
          <w:color w:val="000000"/>
          <w:kern w:val="0"/>
          <w:sz w:val="30"/>
          <w:szCs w:val="30"/>
          <w:lang w:val="zh-CN" w:eastAsia="zh-CN"/>
        </w:rPr>
        <w:t>万元，对家庭和个人的补助</w:t>
      </w:r>
      <w:r>
        <w:rPr>
          <w:rFonts w:hint="eastAsia" w:eastAsia="仿宋_GB2312" w:cs="宋体"/>
          <w:color w:val="000000"/>
          <w:kern w:val="0"/>
          <w:sz w:val="30"/>
          <w:szCs w:val="30"/>
          <w:lang w:val="en-US" w:eastAsia="zh-CN"/>
        </w:rPr>
        <w:t>23.19</w:t>
      </w:r>
      <w:r>
        <w:rPr>
          <w:rFonts w:hint="eastAsia" w:eastAsia="仿宋_GB2312" w:cs="宋体"/>
          <w:color w:val="000000"/>
          <w:kern w:val="0"/>
          <w:sz w:val="30"/>
          <w:szCs w:val="30"/>
          <w:lang w:val="zh-CN" w:eastAsia="zh-CN"/>
        </w:rPr>
        <w:t>万元；项目支出</w:t>
      </w:r>
      <w:r>
        <w:rPr>
          <w:rFonts w:hint="eastAsia" w:eastAsia="仿宋_GB2312" w:cs="宋体"/>
          <w:color w:val="000000"/>
          <w:kern w:val="0"/>
          <w:sz w:val="30"/>
          <w:szCs w:val="30"/>
          <w:lang w:val="en-US" w:eastAsia="zh-CN"/>
        </w:rPr>
        <w:t>39.37</w:t>
      </w:r>
      <w:r>
        <w:rPr>
          <w:rFonts w:hint="eastAsia" w:eastAsia="仿宋_GB2312" w:cs="宋体"/>
          <w:color w:val="000000"/>
          <w:kern w:val="0"/>
          <w:sz w:val="30"/>
          <w:szCs w:val="30"/>
          <w:lang w:val="zh-CN" w:eastAsia="zh-CN"/>
        </w:rPr>
        <w:t>万元，占总支出的</w:t>
      </w:r>
      <w:r>
        <w:rPr>
          <w:rFonts w:hint="eastAsia" w:eastAsia="仿宋_GB2312" w:cs="宋体"/>
          <w:color w:val="000000"/>
          <w:kern w:val="0"/>
          <w:sz w:val="30"/>
          <w:szCs w:val="30"/>
          <w:lang w:val="en-US" w:eastAsia="zh-CN"/>
        </w:rPr>
        <w:t>22.85</w:t>
      </w:r>
      <w:r>
        <w:rPr>
          <w:rFonts w:hint="eastAsia" w:eastAsia="仿宋_GB2312" w:cs="宋体"/>
          <w:color w:val="000000"/>
          <w:kern w:val="0"/>
          <w:sz w:val="30"/>
          <w:szCs w:val="30"/>
          <w:lang w:val="zh-CN" w:eastAsia="zh-CN"/>
        </w:rPr>
        <w:t>%，包括商品和服务支出</w:t>
      </w:r>
      <w:r>
        <w:rPr>
          <w:rFonts w:hint="eastAsia" w:eastAsia="仿宋_GB2312" w:cs="宋体"/>
          <w:color w:val="000000"/>
          <w:kern w:val="0"/>
          <w:sz w:val="30"/>
          <w:szCs w:val="30"/>
          <w:lang w:val="en-US" w:eastAsia="zh-CN"/>
        </w:rPr>
        <w:t>14.7</w:t>
      </w:r>
      <w:r>
        <w:rPr>
          <w:rFonts w:hint="eastAsia" w:eastAsia="仿宋_GB2312" w:cs="宋体"/>
          <w:color w:val="000000"/>
          <w:kern w:val="0"/>
          <w:sz w:val="30"/>
          <w:szCs w:val="30"/>
          <w:lang w:val="zh-CN" w:eastAsia="zh-CN"/>
        </w:rPr>
        <w:t>万元，对家庭和个人的补助</w:t>
      </w:r>
      <w:r>
        <w:rPr>
          <w:rFonts w:hint="eastAsia" w:eastAsia="仿宋_GB2312" w:cs="宋体"/>
          <w:color w:val="000000"/>
          <w:kern w:val="0"/>
          <w:sz w:val="30"/>
          <w:szCs w:val="30"/>
          <w:lang w:val="en-US" w:eastAsia="zh-CN"/>
        </w:rPr>
        <w:t>24.67</w:t>
      </w:r>
      <w:r>
        <w:rPr>
          <w:rFonts w:hint="eastAsia" w:eastAsia="仿宋_GB2312" w:cs="宋体"/>
          <w:color w:val="000000"/>
          <w:kern w:val="0"/>
          <w:sz w:val="30"/>
          <w:szCs w:val="30"/>
          <w:lang w:val="zh-CN" w:eastAsia="zh-CN"/>
        </w:rPr>
        <w:t>万元</w:t>
      </w:r>
      <w:r>
        <w:rPr>
          <w:rFonts w:hint="eastAsia" w:eastAsia="仿宋_GB2312" w:cs="宋体"/>
          <w:color w:val="000000"/>
          <w:kern w:val="0"/>
          <w:sz w:val="30"/>
          <w:szCs w:val="30"/>
          <w:lang w:val="zh-CN"/>
        </w:rPr>
        <w:t>。</w:t>
      </w:r>
    </w:p>
    <w:p>
      <w:pPr>
        <w:widowControl/>
        <w:numPr>
          <w:ilvl w:val="0"/>
          <w:numId w:val="0"/>
        </w:numPr>
        <w:adjustRightInd w:val="0"/>
        <w:snapToGrid w:val="0"/>
        <w:spacing w:line="590" w:lineRule="exact"/>
        <w:ind w:firstLine="600" w:firstLineChars="200"/>
        <w:jc w:val="left"/>
        <w:rPr>
          <w:rFonts w:hint="default" w:ascii="Times New Roman" w:hAnsi="Times New Roman" w:eastAsia="方正仿宋简体" w:cs="Times New Roman"/>
          <w:b/>
          <w:sz w:val="30"/>
          <w:szCs w:val="30"/>
        </w:rPr>
      </w:pPr>
      <w:r>
        <w:rPr>
          <w:rFonts w:hint="default" w:eastAsia="仿宋_GB2312" w:cs="宋体"/>
          <w:color w:val="000000"/>
          <w:kern w:val="0"/>
          <w:sz w:val="30"/>
          <w:szCs w:val="30"/>
          <w:lang w:val="en-US" w:eastAsia="zh-CN"/>
        </w:rPr>
        <w:t>“三公经费”控制情况：贯彻落实上级有关精神，严格控制“三公经费”支出，取得了良好效果。20</w:t>
      </w:r>
      <w:r>
        <w:rPr>
          <w:rFonts w:hint="eastAsia" w:eastAsia="仿宋_GB2312" w:cs="宋体"/>
          <w:color w:val="000000"/>
          <w:kern w:val="0"/>
          <w:sz w:val="30"/>
          <w:szCs w:val="30"/>
          <w:lang w:val="en-US" w:eastAsia="zh-CN"/>
        </w:rPr>
        <w:t>21</w:t>
      </w:r>
      <w:r>
        <w:rPr>
          <w:rFonts w:hint="default" w:eastAsia="仿宋_GB2312" w:cs="宋体"/>
          <w:color w:val="000000"/>
          <w:kern w:val="0"/>
          <w:sz w:val="30"/>
          <w:szCs w:val="30"/>
          <w:lang w:val="en-US" w:eastAsia="zh-CN"/>
        </w:rPr>
        <w:t>年三公经费预算数为</w:t>
      </w:r>
      <w:r>
        <w:rPr>
          <w:rFonts w:hint="eastAsia" w:eastAsia="仿宋_GB2312" w:cs="宋体"/>
          <w:color w:val="000000"/>
          <w:kern w:val="0"/>
          <w:sz w:val="30"/>
          <w:szCs w:val="30"/>
          <w:lang w:val="en-US" w:eastAsia="zh-CN"/>
        </w:rPr>
        <w:t>6.5万</w:t>
      </w:r>
      <w:r>
        <w:rPr>
          <w:rFonts w:hint="default" w:eastAsia="仿宋_GB2312" w:cs="宋体"/>
          <w:color w:val="000000"/>
          <w:kern w:val="0"/>
          <w:sz w:val="30"/>
          <w:szCs w:val="30"/>
          <w:lang w:val="en-US" w:eastAsia="zh-CN"/>
        </w:rPr>
        <w:t>元，决算数为</w:t>
      </w:r>
      <w:r>
        <w:rPr>
          <w:rFonts w:hint="eastAsia" w:eastAsia="仿宋_GB2312" w:cs="宋体"/>
          <w:color w:val="000000"/>
          <w:kern w:val="0"/>
          <w:sz w:val="30"/>
          <w:szCs w:val="30"/>
          <w:lang w:val="en-US" w:eastAsia="zh-CN"/>
        </w:rPr>
        <w:t>3.84万</w:t>
      </w:r>
      <w:r>
        <w:rPr>
          <w:rFonts w:hint="default" w:eastAsia="仿宋_GB2312" w:cs="宋体"/>
          <w:color w:val="000000"/>
          <w:kern w:val="0"/>
          <w:sz w:val="30"/>
          <w:szCs w:val="30"/>
          <w:lang w:val="en-US" w:eastAsia="zh-CN"/>
        </w:rPr>
        <w:t>元，上年决算数为</w:t>
      </w:r>
      <w:r>
        <w:rPr>
          <w:rFonts w:hint="eastAsia" w:eastAsia="仿宋_GB2312" w:cs="宋体"/>
          <w:color w:val="000000"/>
          <w:kern w:val="0"/>
          <w:sz w:val="30"/>
          <w:szCs w:val="30"/>
          <w:lang w:val="en-US" w:eastAsia="zh-CN"/>
        </w:rPr>
        <w:t>6.46</w:t>
      </w:r>
      <w:r>
        <w:rPr>
          <w:rFonts w:hint="default" w:eastAsia="仿宋_GB2312" w:cs="宋体"/>
          <w:color w:val="000000"/>
          <w:kern w:val="0"/>
          <w:sz w:val="30"/>
          <w:szCs w:val="30"/>
          <w:lang w:val="en-US" w:eastAsia="zh-CN"/>
        </w:rPr>
        <w:t>万元，</w:t>
      </w:r>
      <w:r>
        <w:rPr>
          <w:rFonts w:hint="eastAsia" w:eastAsia="仿宋_GB2312" w:cs="宋体"/>
          <w:color w:val="000000"/>
          <w:kern w:val="0"/>
          <w:sz w:val="30"/>
          <w:szCs w:val="30"/>
          <w:lang w:val="en-US" w:eastAsia="zh-CN"/>
        </w:rPr>
        <w:t>相对上年明显减少，主要原因是公务用车报废一辆，申请新购公务用车未到位；本单位</w:t>
      </w:r>
      <w:r>
        <w:rPr>
          <w:rFonts w:hint="default" w:eastAsia="仿宋_GB2312" w:cs="宋体"/>
          <w:color w:val="000000"/>
          <w:kern w:val="0"/>
          <w:sz w:val="30"/>
          <w:szCs w:val="30"/>
          <w:lang w:val="en-US" w:eastAsia="zh-CN"/>
        </w:rPr>
        <w:t>无因公出国（境）费。同时，按照上级的要求，在网站上对“三公”经费情况进行了公示。</w:t>
      </w:r>
    </w:p>
    <w:p>
      <w:pPr>
        <w:spacing w:line="580" w:lineRule="exact"/>
        <w:ind w:firstLine="920" w:firstLineChars="0"/>
        <w:rPr>
          <w:rFonts w:hint="eastAsia" w:ascii="Times New Roman" w:hAnsi="Times New Roman" w:eastAsia="方正仿宋简体" w:cs="Times New Roman"/>
          <w:sz w:val="30"/>
          <w:szCs w:val="30"/>
          <w:lang w:val="en-US" w:eastAsia="zh-CN"/>
        </w:rPr>
      </w:pPr>
      <w:r>
        <w:rPr>
          <w:rFonts w:hint="eastAsia" w:ascii="Times New Roman" w:hAnsi="Times New Roman" w:eastAsia="方正仿宋简体" w:cs="Times New Roman"/>
          <w:sz w:val="30"/>
          <w:szCs w:val="30"/>
          <w:lang w:val="en-US" w:eastAsia="zh-CN"/>
        </w:rPr>
        <w:t>我局2021年年初预算完成率100%，预算调整率2.23%，公用经费及“三公”经费控制率符合财政要求，未超出规定范围，2021年支付进度完成率100%。</w:t>
      </w:r>
    </w:p>
    <w:p>
      <w:pPr>
        <w:spacing w:line="580" w:lineRule="exact"/>
        <w:ind w:firstLine="920" w:firstLineChars="0"/>
        <w:rPr>
          <w:rFonts w:hint="eastAsia" w:ascii="Times New Roman" w:hAnsi="Times New Roman" w:eastAsia="方正仿宋简体" w:cs="Times New Roman"/>
          <w:sz w:val="30"/>
          <w:szCs w:val="30"/>
          <w:lang w:val="en-US" w:eastAsia="zh-CN"/>
        </w:rPr>
      </w:pPr>
      <w:r>
        <w:rPr>
          <w:rFonts w:hint="eastAsia" w:ascii="Times New Roman" w:hAnsi="Times New Roman" w:eastAsia="方正仿宋简体" w:cs="Times New Roman"/>
          <w:sz w:val="30"/>
          <w:szCs w:val="30"/>
          <w:lang w:val="en-US" w:eastAsia="zh-CN"/>
        </w:rPr>
        <w:t>4.预算管理情况。我局已制定或具有预算资金管理办法、内部财务管理制度、会计核算制度等管理制度相关管理制度，合法、合规、完整；相关管理制度得到有效执行；资金使用符合国家财经法规和财务管理制度规定以及有关专项资金管理办法的规定，资金的拨付有完整的审批程序和手续，不存在截留、挤占、挪用、虚列支出等情况；预决算信息按要求及时公开。</w:t>
      </w:r>
    </w:p>
    <w:p>
      <w:pPr>
        <w:spacing w:line="580" w:lineRule="exact"/>
        <w:ind w:firstLine="920" w:firstLineChars="0"/>
        <w:rPr>
          <w:rFonts w:hint="eastAsia" w:eastAsia="仿宋_GB2312" w:cs="宋体"/>
          <w:color w:val="000000"/>
          <w:kern w:val="0"/>
          <w:sz w:val="30"/>
          <w:szCs w:val="30"/>
          <w:lang w:val="zh-CN" w:eastAsia="zh-CN"/>
        </w:rPr>
      </w:pPr>
      <w:r>
        <w:rPr>
          <w:rFonts w:hint="eastAsia" w:ascii="Times New Roman" w:hAnsi="Times New Roman" w:eastAsia="方正仿宋简体" w:cs="Times New Roman"/>
          <w:sz w:val="30"/>
          <w:szCs w:val="30"/>
          <w:lang w:val="en-US" w:eastAsia="zh-CN"/>
        </w:rPr>
        <w:t>5.资产管理情况。已制定或具有资产管理制度，相关资金管理制度合法、合规、完整，并得到有效执行；</w:t>
      </w:r>
      <w:r>
        <w:rPr>
          <w:rFonts w:hint="eastAsia" w:eastAsia="仿宋_GB2312" w:cs="宋体"/>
          <w:color w:val="000000"/>
          <w:kern w:val="0"/>
          <w:sz w:val="30"/>
          <w:szCs w:val="30"/>
          <w:lang w:val="zh-CN" w:eastAsia="zh-CN"/>
        </w:rPr>
        <w:t>对资产增减情况及时进行梳理，资产增加及时登记入账，减少按照资产处置规定办理报批手续后核减。对资产进行定期或者不定期清查盘点，对资产盘盈、盘亏依法按照规定程序及时处理。</w:t>
      </w:r>
    </w:p>
    <w:p>
      <w:pPr>
        <w:spacing w:line="580" w:lineRule="exact"/>
        <w:ind w:firstLine="920" w:firstLineChars="0"/>
        <w:rPr>
          <w:rFonts w:hint="default" w:ascii="Times New Roman" w:hAnsi="Times New Roman" w:eastAsia="方正楷体简体" w:cs="Times New Roman"/>
          <w:b/>
          <w:sz w:val="30"/>
          <w:szCs w:val="30"/>
        </w:rPr>
      </w:pPr>
      <w:r>
        <w:rPr>
          <w:rFonts w:hint="default" w:ascii="Times New Roman" w:hAnsi="Times New Roman" w:eastAsia="方正楷体简体" w:cs="Times New Roman"/>
          <w:b/>
          <w:sz w:val="30"/>
          <w:szCs w:val="30"/>
        </w:rPr>
        <w:t>（二）综合绩效分析</w:t>
      </w:r>
    </w:p>
    <w:p>
      <w:pPr>
        <w:spacing w:line="580" w:lineRule="exact"/>
        <w:ind w:firstLine="602" w:firstLineChars="200"/>
        <w:rPr>
          <w:rFonts w:hint="default" w:ascii="Times New Roman" w:hAnsi="Times New Roman" w:eastAsia="方正仿宋简体" w:cs="Times New Roman"/>
          <w:b/>
          <w:sz w:val="30"/>
          <w:szCs w:val="30"/>
        </w:rPr>
      </w:pPr>
      <w:r>
        <w:rPr>
          <w:rFonts w:hint="default" w:ascii="Times New Roman" w:hAnsi="Times New Roman" w:eastAsia="方正仿宋简体" w:cs="Times New Roman"/>
          <w:b/>
          <w:sz w:val="30"/>
          <w:szCs w:val="30"/>
        </w:rPr>
        <w:t>1.部门职能履行情况。</w:t>
      </w:r>
    </w:p>
    <w:p>
      <w:pPr>
        <w:spacing w:line="580" w:lineRule="exact"/>
        <w:ind w:firstLine="600" w:firstLineChars="200"/>
        <w:rPr>
          <w:rFonts w:hint="default" w:ascii="Times New Roman" w:hAnsi="Times New Roman" w:eastAsia="方正仿宋简体" w:cs="Times New Roman"/>
          <w:sz w:val="30"/>
          <w:szCs w:val="30"/>
          <w:lang w:val="en-US" w:eastAsia="zh-CN"/>
        </w:rPr>
      </w:pPr>
      <w:r>
        <w:rPr>
          <w:rFonts w:hint="eastAsia" w:ascii="Times New Roman" w:hAnsi="Times New Roman" w:eastAsia="方正仿宋简体" w:cs="Times New Roman"/>
          <w:sz w:val="30"/>
          <w:szCs w:val="30"/>
          <w:lang w:val="en-US" w:eastAsia="zh-CN"/>
        </w:rPr>
        <w:t>2021年我局年度工作计划完成率100%。主要是保障部门机构正常运转，主要包括基本工资、津贴补贴等人员经费104.72万元以及办公费、印刷费、水电费、办公设备购置等日常公用经费28.26万元，保证了日常工作任务的完成；保障老干部相关待遇，老干部相关待遇经费37.39万元，包括</w:t>
      </w:r>
      <w:r>
        <w:rPr>
          <w:rFonts w:hint="default" w:ascii="仿宋_GB2312" w:hAnsi="宋体" w:eastAsia="仿宋_GB2312" w:cs="仿宋_GB2312"/>
          <w:i w:val="0"/>
          <w:caps w:val="0"/>
          <w:color w:val="000000"/>
          <w:spacing w:val="0"/>
          <w:sz w:val="30"/>
          <w:szCs w:val="30"/>
        </w:rPr>
        <w:t>老干部春节慰问及日常慰问</w:t>
      </w:r>
      <w:r>
        <w:rPr>
          <w:rFonts w:hint="eastAsia" w:ascii="仿宋_GB2312" w:hAnsi="宋体" w:eastAsia="仿宋_GB2312" w:cs="仿宋_GB2312"/>
          <w:i w:val="0"/>
          <w:caps w:val="0"/>
          <w:color w:val="000000"/>
          <w:spacing w:val="0"/>
          <w:sz w:val="30"/>
          <w:szCs w:val="30"/>
          <w:lang w:val="en-US" w:eastAsia="zh-CN"/>
        </w:rPr>
        <w:t>4.75</w:t>
      </w:r>
      <w:r>
        <w:rPr>
          <w:rFonts w:hint="default" w:ascii="仿宋_GB2312" w:hAnsi="宋体" w:eastAsia="仿宋_GB2312" w:cs="仿宋_GB2312"/>
          <w:i w:val="0"/>
          <w:caps w:val="0"/>
          <w:color w:val="000000"/>
          <w:spacing w:val="0"/>
          <w:sz w:val="30"/>
          <w:szCs w:val="30"/>
        </w:rPr>
        <w:t>万元，老干部健康体检费</w:t>
      </w:r>
      <w:r>
        <w:rPr>
          <w:rFonts w:hint="eastAsia" w:ascii="仿宋_GB2312" w:hAnsi="宋体" w:eastAsia="仿宋_GB2312" w:cs="仿宋_GB2312"/>
          <w:i w:val="0"/>
          <w:caps w:val="0"/>
          <w:color w:val="000000"/>
          <w:spacing w:val="0"/>
          <w:sz w:val="30"/>
          <w:szCs w:val="30"/>
          <w:lang w:val="en-US" w:eastAsia="zh-CN"/>
        </w:rPr>
        <w:t>2.95</w:t>
      </w:r>
      <w:r>
        <w:rPr>
          <w:rFonts w:hint="default" w:ascii="仿宋_GB2312" w:hAnsi="宋体" w:eastAsia="仿宋_GB2312" w:cs="仿宋_GB2312"/>
          <w:i w:val="0"/>
          <w:caps w:val="0"/>
          <w:color w:val="000000"/>
          <w:spacing w:val="0"/>
          <w:sz w:val="30"/>
          <w:szCs w:val="30"/>
        </w:rPr>
        <w:t>万元，离退休老干部及遗孀特困帮扶及离休干部住院补助</w:t>
      </w:r>
      <w:r>
        <w:rPr>
          <w:rFonts w:hint="eastAsia" w:ascii="仿宋_GB2312" w:hAnsi="宋体" w:eastAsia="仿宋_GB2312" w:cs="仿宋_GB2312"/>
          <w:i w:val="0"/>
          <w:caps w:val="0"/>
          <w:color w:val="000000"/>
          <w:spacing w:val="0"/>
          <w:sz w:val="30"/>
          <w:szCs w:val="30"/>
          <w:lang w:val="en-US" w:eastAsia="zh-CN"/>
        </w:rPr>
        <w:t>11.4</w:t>
      </w:r>
      <w:r>
        <w:rPr>
          <w:rFonts w:hint="default" w:ascii="仿宋_GB2312" w:hAnsi="宋体" w:eastAsia="仿宋_GB2312" w:cs="仿宋_GB2312"/>
          <w:i w:val="0"/>
          <w:caps w:val="0"/>
          <w:color w:val="000000"/>
          <w:spacing w:val="0"/>
          <w:sz w:val="30"/>
          <w:szCs w:val="30"/>
        </w:rPr>
        <w:t>万元，老干部调研组开展调研经费1</w:t>
      </w:r>
      <w:r>
        <w:rPr>
          <w:rFonts w:hint="eastAsia" w:ascii="仿宋_GB2312" w:hAnsi="宋体" w:eastAsia="仿宋_GB2312" w:cs="仿宋_GB2312"/>
          <w:i w:val="0"/>
          <w:caps w:val="0"/>
          <w:color w:val="000000"/>
          <w:spacing w:val="0"/>
          <w:sz w:val="30"/>
          <w:szCs w:val="30"/>
          <w:lang w:val="en-US" w:eastAsia="zh-CN"/>
        </w:rPr>
        <w:t>.5</w:t>
      </w:r>
      <w:r>
        <w:rPr>
          <w:rFonts w:hint="default" w:ascii="仿宋_GB2312" w:hAnsi="宋体" w:eastAsia="仿宋_GB2312" w:cs="仿宋_GB2312"/>
          <w:i w:val="0"/>
          <w:caps w:val="0"/>
          <w:color w:val="000000"/>
          <w:spacing w:val="0"/>
          <w:sz w:val="30"/>
          <w:szCs w:val="30"/>
        </w:rPr>
        <w:t>万元，离退休党工委工作经费</w:t>
      </w:r>
      <w:r>
        <w:rPr>
          <w:rFonts w:hint="eastAsia" w:ascii="仿宋_GB2312" w:hAnsi="宋体" w:eastAsia="仿宋_GB2312" w:cs="仿宋_GB2312"/>
          <w:i w:val="0"/>
          <w:caps w:val="0"/>
          <w:color w:val="000000"/>
          <w:spacing w:val="0"/>
          <w:sz w:val="30"/>
          <w:szCs w:val="30"/>
          <w:lang w:val="en-US" w:eastAsia="zh-CN"/>
        </w:rPr>
        <w:t>4.09</w:t>
      </w:r>
      <w:r>
        <w:rPr>
          <w:rFonts w:hint="default" w:ascii="仿宋_GB2312" w:hAnsi="宋体" w:eastAsia="仿宋_GB2312" w:cs="仿宋_GB2312"/>
          <w:i w:val="0"/>
          <w:caps w:val="0"/>
          <w:color w:val="000000"/>
          <w:spacing w:val="0"/>
          <w:sz w:val="30"/>
          <w:szCs w:val="30"/>
        </w:rPr>
        <w:t>万元，非税征收管理收入返还经费</w:t>
      </w:r>
      <w:r>
        <w:rPr>
          <w:rFonts w:hint="eastAsia" w:ascii="仿宋_GB2312" w:hAnsi="宋体" w:eastAsia="仿宋_GB2312" w:cs="仿宋_GB2312"/>
          <w:i w:val="0"/>
          <w:caps w:val="0"/>
          <w:color w:val="000000"/>
          <w:spacing w:val="0"/>
          <w:sz w:val="30"/>
          <w:szCs w:val="30"/>
          <w:lang w:val="en-US" w:eastAsia="zh-CN"/>
        </w:rPr>
        <w:t>3.54</w:t>
      </w:r>
      <w:r>
        <w:rPr>
          <w:rFonts w:hint="default" w:ascii="仿宋_GB2312" w:hAnsi="宋体" w:eastAsia="仿宋_GB2312" w:cs="仿宋_GB2312"/>
          <w:i w:val="0"/>
          <w:caps w:val="0"/>
          <w:color w:val="000000"/>
          <w:spacing w:val="0"/>
          <w:sz w:val="30"/>
          <w:szCs w:val="30"/>
        </w:rPr>
        <w:t>万元，端午、中秋、重阳节老干部参观及过节费</w:t>
      </w:r>
      <w:r>
        <w:rPr>
          <w:rFonts w:hint="eastAsia" w:ascii="仿宋_GB2312" w:hAnsi="宋体" w:eastAsia="仿宋_GB2312" w:cs="仿宋_GB2312"/>
          <w:i w:val="0"/>
          <w:caps w:val="0"/>
          <w:color w:val="000000"/>
          <w:spacing w:val="0"/>
          <w:sz w:val="30"/>
          <w:szCs w:val="30"/>
          <w:lang w:val="en-US" w:eastAsia="zh-CN"/>
        </w:rPr>
        <w:t>1.9</w:t>
      </w:r>
      <w:r>
        <w:rPr>
          <w:rFonts w:hint="default" w:ascii="仿宋_GB2312" w:hAnsi="宋体" w:eastAsia="仿宋_GB2312" w:cs="仿宋_GB2312"/>
          <w:i w:val="0"/>
          <w:caps w:val="0"/>
          <w:color w:val="000000"/>
          <w:spacing w:val="0"/>
          <w:sz w:val="30"/>
          <w:szCs w:val="30"/>
        </w:rPr>
        <w:t>万元，老干部市、县庆七一建党节文艺演出</w:t>
      </w:r>
      <w:r>
        <w:rPr>
          <w:rFonts w:hint="eastAsia" w:ascii="仿宋_GB2312" w:hAnsi="宋体" w:eastAsia="仿宋_GB2312" w:cs="仿宋_GB2312"/>
          <w:i w:val="0"/>
          <w:caps w:val="0"/>
          <w:color w:val="000000"/>
          <w:spacing w:val="0"/>
          <w:sz w:val="30"/>
          <w:szCs w:val="30"/>
          <w:lang w:val="en-US" w:eastAsia="zh-CN"/>
        </w:rPr>
        <w:t>0.15</w:t>
      </w:r>
      <w:r>
        <w:rPr>
          <w:rFonts w:hint="default" w:ascii="仿宋_GB2312" w:hAnsi="宋体" w:eastAsia="仿宋_GB2312" w:cs="仿宋_GB2312"/>
          <w:i w:val="0"/>
          <w:caps w:val="0"/>
          <w:color w:val="000000"/>
          <w:spacing w:val="0"/>
          <w:sz w:val="30"/>
          <w:szCs w:val="30"/>
        </w:rPr>
        <w:t>万元，异地看望离休老干部</w:t>
      </w:r>
      <w:r>
        <w:rPr>
          <w:rFonts w:hint="eastAsia" w:ascii="仿宋_GB2312" w:hAnsi="宋体" w:eastAsia="仿宋_GB2312" w:cs="仿宋_GB2312"/>
          <w:i w:val="0"/>
          <w:caps w:val="0"/>
          <w:color w:val="000000"/>
          <w:spacing w:val="0"/>
          <w:sz w:val="30"/>
          <w:szCs w:val="30"/>
          <w:lang w:val="en-US" w:eastAsia="zh-CN"/>
        </w:rPr>
        <w:t>1.31</w:t>
      </w:r>
      <w:r>
        <w:rPr>
          <w:rFonts w:hint="default" w:ascii="仿宋_GB2312" w:hAnsi="宋体" w:eastAsia="仿宋_GB2312" w:cs="仿宋_GB2312"/>
          <w:i w:val="0"/>
          <w:caps w:val="0"/>
          <w:color w:val="000000"/>
          <w:spacing w:val="0"/>
          <w:sz w:val="30"/>
          <w:szCs w:val="30"/>
        </w:rPr>
        <w:t>万元，代发老干部交通费电话费</w:t>
      </w:r>
      <w:r>
        <w:rPr>
          <w:rFonts w:hint="eastAsia" w:ascii="仿宋_GB2312" w:hAnsi="宋体" w:eastAsia="仿宋_GB2312" w:cs="仿宋_GB2312"/>
          <w:i w:val="0"/>
          <w:caps w:val="0"/>
          <w:color w:val="000000"/>
          <w:spacing w:val="0"/>
          <w:sz w:val="30"/>
          <w:szCs w:val="30"/>
          <w:lang w:val="en-US" w:eastAsia="zh-CN"/>
        </w:rPr>
        <w:t>2.03</w:t>
      </w:r>
      <w:r>
        <w:rPr>
          <w:rFonts w:hint="default" w:ascii="仿宋_GB2312" w:hAnsi="宋体" w:eastAsia="仿宋_GB2312" w:cs="仿宋_GB2312"/>
          <w:i w:val="0"/>
          <w:caps w:val="0"/>
          <w:color w:val="000000"/>
          <w:spacing w:val="0"/>
          <w:sz w:val="30"/>
          <w:szCs w:val="30"/>
        </w:rPr>
        <w:t>万元，订老干部晚霞杂志及晚霞怀历</w:t>
      </w:r>
      <w:r>
        <w:rPr>
          <w:rFonts w:hint="eastAsia" w:ascii="仿宋_GB2312" w:hAnsi="宋体" w:eastAsia="仿宋_GB2312" w:cs="仿宋_GB2312"/>
          <w:i w:val="0"/>
          <w:caps w:val="0"/>
          <w:color w:val="000000"/>
          <w:spacing w:val="0"/>
          <w:sz w:val="30"/>
          <w:szCs w:val="30"/>
          <w:lang w:val="en-US" w:eastAsia="zh-CN"/>
        </w:rPr>
        <w:t>3.04</w:t>
      </w:r>
      <w:r>
        <w:rPr>
          <w:rFonts w:hint="default" w:ascii="仿宋_GB2312" w:hAnsi="宋体" w:eastAsia="仿宋_GB2312" w:cs="仿宋_GB2312"/>
          <w:i w:val="0"/>
          <w:caps w:val="0"/>
          <w:color w:val="000000"/>
          <w:spacing w:val="0"/>
          <w:sz w:val="30"/>
          <w:szCs w:val="30"/>
        </w:rPr>
        <w:t>万元</w:t>
      </w:r>
      <w:r>
        <w:rPr>
          <w:rFonts w:hint="eastAsia" w:ascii="仿宋_GB2312" w:hAnsi="宋体" w:eastAsia="仿宋_GB2312" w:cs="仿宋_GB2312"/>
          <w:i w:val="0"/>
          <w:caps w:val="0"/>
          <w:color w:val="000000"/>
          <w:spacing w:val="0"/>
          <w:sz w:val="30"/>
          <w:szCs w:val="30"/>
          <w:lang w:eastAsia="zh-CN"/>
        </w:rPr>
        <w:t>，办公楼运行经费</w:t>
      </w:r>
      <w:r>
        <w:rPr>
          <w:rFonts w:hint="eastAsia" w:ascii="仿宋_GB2312" w:hAnsi="宋体" w:eastAsia="仿宋_GB2312" w:cs="仿宋_GB2312"/>
          <w:i w:val="0"/>
          <w:caps w:val="0"/>
          <w:color w:val="000000"/>
          <w:spacing w:val="0"/>
          <w:sz w:val="30"/>
          <w:szCs w:val="30"/>
          <w:lang w:val="en-US" w:eastAsia="zh-CN"/>
        </w:rPr>
        <w:t>2.53万元，老干部运动会0.18万元</w:t>
      </w:r>
      <w:r>
        <w:rPr>
          <w:rFonts w:hint="default" w:ascii="仿宋_GB2312" w:hAnsi="宋体" w:eastAsia="仿宋_GB2312" w:cs="仿宋_GB2312"/>
          <w:i w:val="0"/>
          <w:caps w:val="0"/>
          <w:color w:val="000000"/>
          <w:spacing w:val="0"/>
          <w:sz w:val="30"/>
          <w:szCs w:val="30"/>
        </w:rPr>
        <w:t>。</w:t>
      </w:r>
      <w:r>
        <w:rPr>
          <w:rFonts w:hint="eastAsia" w:ascii="Times New Roman" w:hAnsi="Times New Roman" w:eastAsia="方正仿宋简体" w:cs="Times New Roman"/>
          <w:sz w:val="30"/>
          <w:szCs w:val="30"/>
          <w:lang w:val="en-US" w:eastAsia="zh-CN"/>
        </w:rPr>
        <w:t>。</w:t>
      </w:r>
    </w:p>
    <w:p>
      <w:pPr>
        <w:spacing w:line="580" w:lineRule="exact"/>
        <w:ind w:firstLine="602" w:firstLineChars="200"/>
        <w:rPr>
          <w:rFonts w:hint="default" w:ascii="Times New Roman" w:hAnsi="Times New Roman" w:eastAsia="方正仿宋简体" w:cs="Times New Roman"/>
          <w:b/>
          <w:sz w:val="30"/>
          <w:szCs w:val="30"/>
        </w:rPr>
      </w:pPr>
      <w:r>
        <w:rPr>
          <w:rFonts w:hint="default" w:ascii="Times New Roman" w:hAnsi="Times New Roman" w:eastAsia="方正仿宋简体" w:cs="Times New Roman"/>
          <w:b/>
          <w:sz w:val="30"/>
          <w:szCs w:val="30"/>
        </w:rPr>
        <w:t>2.部门履职有效性。</w:t>
      </w:r>
    </w:p>
    <w:p>
      <w:pPr>
        <w:spacing w:line="580" w:lineRule="exact"/>
        <w:ind w:firstLine="600" w:firstLineChars="200"/>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rPr>
        <w:t>我</w:t>
      </w:r>
      <w:r>
        <w:rPr>
          <w:rFonts w:hint="eastAsia" w:ascii="Times New Roman" w:hAnsi="Times New Roman" w:eastAsia="方正仿宋简体" w:cs="Times New Roman"/>
          <w:sz w:val="30"/>
          <w:szCs w:val="30"/>
          <w:lang w:eastAsia="zh-CN"/>
        </w:rPr>
        <w:t>局</w:t>
      </w:r>
      <w:r>
        <w:rPr>
          <w:rFonts w:hint="default" w:ascii="Times New Roman" w:hAnsi="Times New Roman" w:eastAsia="方正仿宋简体" w:cs="Times New Roman"/>
          <w:sz w:val="30"/>
          <w:szCs w:val="30"/>
        </w:rPr>
        <w:t>严格遵守各项财经纪律，基本支出和项目支出预算执行良好。我</w:t>
      </w:r>
      <w:r>
        <w:rPr>
          <w:rFonts w:hint="eastAsia" w:ascii="Times New Roman" w:hAnsi="Times New Roman" w:eastAsia="方正仿宋简体" w:cs="Times New Roman"/>
          <w:sz w:val="30"/>
          <w:szCs w:val="30"/>
          <w:lang w:eastAsia="zh-CN"/>
        </w:rPr>
        <w:t>局</w:t>
      </w:r>
      <w:r>
        <w:rPr>
          <w:rFonts w:hint="default" w:ascii="Times New Roman" w:hAnsi="Times New Roman" w:eastAsia="方正仿宋简体" w:cs="Times New Roman"/>
          <w:sz w:val="30"/>
          <w:szCs w:val="30"/>
        </w:rPr>
        <w:t>切实转变工作作风、创新工作方式，结合工作实际，制定了相关工作制度，强化内部管理，完善财务制度，工作职责细化量化，年终严格考核兑现。做到有章可循，违章必究，有效地加强了对单位内部的人、才、物的管理。</w:t>
      </w:r>
    </w:p>
    <w:p>
      <w:pPr>
        <w:spacing w:line="580" w:lineRule="exact"/>
        <w:ind w:firstLine="602" w:firstLineChars="200"/>
        <w:rPr>
          <w:rFonts w:hint="default" w:ascii="Times New Roman" w:hAnsi="Times New Roman" w:eastAsia="方正仿宋简体" w:cs="Times New Roman"/>
          <w:b/>
          <w:sz w:val="30"/>
          <w:szCs w:val="30"/>
        </w:rPr>
      </w:pPr>
      <w:r>
        <w:rPr>
          <w:rFonts w:hint="default" w:ascii="Times New Roman" w:hAnsi="Times New Roman" w:eastAsia="方正仿宋简体" w:cs="Times New Roman"/>
          <w:b/>
          <w:sz w:val="30"/>
          <w:szCs w:val="30"/>
        </w:rPr>
        <w:t>3.部门职能实现程度。</w:t>
      </w:r>
    </w:p>
    <w:p>
      <w:pPr>
        <w:widowControl/>
        <w:numPr>
          <w:ilvl w:val="0"/>
          <w:numId w:val="0"/>
        </w:numPr>
        <w:adjustRightInd w:val="0"/>
        <w:snapToGrid w:val="0"/>
        <w:spacing w:line="590" w:lineRule="exact"/>
        <w:ind w:firstLine="600" w:firstLineChars="200"/>
        <w:jc w:val="left"/>
        <w:rPr>
          <w:rFonts w:hint="default" w:ascii="Times New Roman" w:hAnsi="Times New Roman" w:eastAsia="方正仿宋简体" w:cs="Times New Roman"/>
          <w:sz w:val="30"/>
          <w:szCs w:val="30"/>
        </w:rPr>
      </w:pPr>
      <w:r>
        <w:rPr>
          <w:rFonts w:hint="eastAsia" w:ascii="仿宋_GB2312" w:eastAsia="仿宋_GB2312"/>
          <w:sz w:val="30"/>
          <w:szCs w:val="30"/>
          <w:lang w:eastAsia="zh-CN"/>
        </w:rPr>
        <w:t>我局</w:t>
      </w:r>
      <w:r>
        <w:rPr>
          <w:rFonts w:hint="eastAsia" w:ascii="仿宋_GB2312" w:eastAsia="仿宋_GB2312"/>
          <w:sz w:val="30"/>
          <w:szCs w:val="30"/>
        </w:rPr>
        <w:t>严格执行预算收支管理、资产管理、财务会计管理、政府采购管理、财政票据管理。严格按照中央专款分配合规率、节能降耗及“三公”经费预算执行。不存在隐瞒、截留、挤占、挪用、坐支或私分非税收入，超预算或者无预算安排支出，虚列支出、转嫁支出、转移或者套取预算资金，超标准、超范围列支“三公”经费、会议费和培训费，违规进行资产购置、处置，会计资料不真实不完整，会计核算不合规，未严格执行政府采购程序，财政票据管理、使用不规范等</w:t>
      </w:r>
      <w:r>
        <w:rPr>
          <w:rFonts w:hint="eastAsia" w:ascii="仿宋_GB2312" w:eastAsia="仿宋_GB2312"/>
          <w:sz w:val="30"/>
          <w:szCs w:val="30"/>
          <w:lang w:eastAsia="zh-CN"/>
        </w:rPr>
        <w:t>现象</w:t>
      </w:r>
      <w:r>
        <w:rPr>
          <w:rFonts w:hint="eastAsia" w:ascii="仿宋_GB2312" w:eastAsia="仿宋_GB2312"/>
          <w:sz w:val="30"/>
          <w:szCs w:val="30"/>
        </w:rPr>
        <w:t>。严格</w:t>
      </w:r>
      <w:r>
        <w:rPr>
          <w:rFonts w:hint="eastAsia" w:ascii="仿宋_GB2312" w:eastAsia="仿宋_GB2312"/>
          <w:sz w:val="30"/>
          <w:szCs w:val="30"/>
          <w:lang w:eastAsia="zh-CN"/>
        </w:rPr>
        <w:t>履行职责</w:t>
      </w:r>
      <w:r>
        <w:rPr>
          <w:rFonts w:hint="eastAsia" w:ascii="仿宋_GB2312" w:eastAsia="仿宋_GB2312"/>
          <w:sz w:val="30"/>
          <w:szCs w:val="30"/>
        </w:rPr>
        <w:t>，各项经费支出达到服务对象满意度100%。</w:t>
      </w:r>
    </w:p>
    <w:p>
      <w:pPr>
        <w:spacing w:line="580" w:lineRule="exact"/>
        <w:ind w:firstLine="600" w:firstLineChars="200"/>
        <w:rPr>
          <w:rFonts w:hint="default" w:ascii="Times New Roman" w:hAnsi="Times New Roman" w:eastAsia="方正黑体简体" w:cs="Times New Roman"/>
          <w:sz w:val="30"/>
          <w:szCs w:val="30"/>
        </w:rPr>
      </w:pPr>
      <w:r>
        <w:rPr>
          <w:rFonts w:hint="default" w:ascii="Times New Roman" w:hAnsi="Times New Roman" w:eastAsia="方正黑体简体" w:cs="Times New Roman"/>
          <w:sz w:val="30"/>
          <w:szCs w:val="30"/>
        </w:rPr>
        <w:t>六、问题分析</w:t>
      </w:r>
    </w:p>
    <w:p>
      <w:pPr>
        <w:widowControl/>
        <w:adjustRightInd w:val="0"/>
        <w:snapToGrid w:val="0"/>
        <w:spacing w:line="590" w:lineRule="exact"/>
        <w:ind w:firstLine="600" w:firstLineChars="200"/>
        <w:jc w:val="left"/>
        <w:rPr>
          <w:rFonts w:hint="default" w:eastAsia="仿宋_GB2312" w:cs="宋体"/>
          <w:color w:val="000000"/>
          <w:kern w:val="0"/>
          <w:sz w:val="30"/>
          <w:szCs w:val="30"/>
          <w:lang w:val="en-US" w:eastAsia="zh-CN"/>
        </w:rPr>
      </w:pPr>
      <w:r>
        <w:rPr>
          <w:rFonts w:hint="eastAsia" w:eastAsia="仿宋_GB2312" w:cs="宋体"/>
          <w:color w:val="000000"/>
          <w:kern w:val="0"/>
          <w:sz w:val="30"/>
          <w:szCs w:val="30"/>
          <w:lang w:val="en-US" w:eastAsia="zh-CN"/>
        </w:rPr>
        <w:t>因编制限制，机关财务人员不足，现有人员业务不熟悉、业务能力不足。</w:t>
      </w:r>
    </w:p>
    <w:p>
      <w:pPr>
        <w:spacing w:line="580" w:lineRule="exact"/>
        <w:ind w:firstLine="600" w:firstLineChars="200"/>
        <w:rPr>
          <w:rFonts w:hint="default" w:ascii="Times New Roman" w:hAnsi="Times New Roman" w:eastAsia="方正黑体简体" w:cs="Times New Roman"/>
          <w:sz w:val="30"/>
          <w:szCs w:val="30"/>
        </w:rPr>
      </w:pPr>
      <w:r>
        <w:rPr>
          <w:rFonts w:hint="default" w:ascii="Times New Roman" w:hAnsi="Times New Roman" w:eastAsia="方正黑体简体" w:cs="Times New Roman"/>
          <w:sz w:val="30"/>
          <w:szCs w:val="30"/>
        </w:rPr>
        <w:t>七、建议</w:t>
      </w:r>
    </w:p>
    <w:p>
      <w:pPr>
        <w:spacing w:line="580" w:lineRule="exact"/>
        <w:ind w:firstLine="600" w:firstLineChars="200"/>
        <w:rPr>
          <w:rFonts w:hint="eastAsia" w:ascii="仿宋_GB2312" w:eastAsia="仿宋_GB2312"/>
          <w:sz w:val="30"/>
          <w:szCs w:val="30"/>
          <w:lang w:val="en-US" w:eastAsia="zh-CN"/>
        </w:rPr>
      </w:pPr>
      <w:r>
        <w:rPr>
          <w:rFonts w:hint="eastAsia" w:eastAsia="仿宋_GB2312" w:cs="宋体"/>
          <w:color w:val="000000"/>
          <w:kern w:val="0"/>
          <w:sz w:val="30"/>
          <w:szCs w:val="30"/>
          <w:lang w:val="en-US" w:eastAsia="zh-CN"/>
        </w:rPr>
        <w:t>增加单位财务人员数量，同时强化对现有财务人员的培训教育。</w:t>
      </w:r>
      <w:r>
        <w:rPr>
          <w:rFonts w:hint="eastAsia" w:ascii="仿宋_GB2312" w:eastAsia="仿宋_GB2312"/>
          <w:sz w:val="30"/>
          <w:szCs w:val="30"/>
          <w:lang w:val="en-US" w:eastAsia="zh-CN"/>
        </w:rPr>
        <w:t xml:space="preserve"> </w:t>
      </w:r>
    </w:p>
    <w:p>
      <w:pPr>
        <w:spacing w:line="580" w:lineRule="exact"/>
        <w:ind w:firstLine="5700" w:firstLineChars="1900"/>
        <w:rPr>
          <w:rFonts w:hint="eastAsia" w:ascii="仿宋_GB2312" w:eastAsia="仿宋_GB2312"/>
          <w:sz w:val="30"/>
          <w:szCs w:val="30"/>
          <w:lang w:val="en-US" w:eastAsia="zh-CN"/>
        </w:rPr>
      </w:pPr>
      <w:r>
        <w:rPr>
          <w:rFonts w:hint="eastAsia" w:ascii="仿宋_GB2312" w:eastAsia="仿宋_GB2312"/>
          <w:sz w:val="30"/>
          <w:szCs w:val="30"/>
          <w:lang w:val="en-US" w:eastAsia="zh-CN"/>
        </w:rPr>
        <w:t>中共乐至县委老干部局</w:t>
      </w:r>
    </w:p>
    <w:p>
      <w:pPr>
        <w:spacing w:line="580" w:lineRule="exact"/>
        <w:ind w:firstLine="6300" w:firstLineChars="2100"/>
        <w:rPr>
          <w:rFonts w:hint="eastAsia" w:ascii="仿宋_GB2312" w:eastAsia="仿宋_GB2312"/>
          <w:sz w:val="30"/>
          <w:szCs w:val="30"/>
          <w:lang w:val="en-US" w:eastAsia="zh-CN"/>
        </w:rPr>
      </w:pPr>
      <w:r>
        <w:rPr>
          <w:rFonts w:hint="eastAsia" w:ascii="仿宋_GB2312" w:eastAsia="仿宋_GB2312"/>
          <w:sz w:val="30"/>
          <w:szCs w:val="30"/>
          <w:lang w:val="en-US" w:eastAsia="zh-CN"/>
        </w:rPr>
        <w:t>2022年9月5日</w:t>
      </w:r>
    </w:p>
    <w:p>
      <w:pPr>
        <w:spacing w:beforeLines="0" w:afterLines="0" w:line="620" w:lineRule="exact"/>
        <w:jc w:val="center"/>
        <w:rPr>
          <w:rFonts w:hint="default" w:eastAsia="方正小标宋简体"/>
          <w:w w:val="90"/>
          <w:kern w:val="0"/>
          <w:sz w:val="44"/>
          <w:szCs w:val="24"/>
        </w:rPr>
      </w:pPr>
      <w:r>
        <w:rPr>
          <w:rFonts w:hint="default" w:eastAsia="方正小标宋简体"/>
          <w:w w:val="90"/>
          <w:kern w:val="0"/>
          <w:sz w:val="44"/>
          <w:szCs w:val="24"/>
        </w:rPr>
        <w:t>2021</w:t>
      </w:r>
      <w:r>
        <w:rPr>
          <w:rFonts w:hint="eastAsia" w:eastAsia="方正小标宋简体"/>
          <w:w w:val="90"/>
          <w:kern w:val="0"/>
          <w:sz w:val="44"/>
          <w:szCs w:val="24"/>
        </w:rPr>
        <w:t>年度乐至县部门整体支出绩效自评计分表</w:t>
      </w:r>
    </w:p>
    <w:p>
      <w:pPr>
        <w:spacing w:beforeLines="0" w:afterLines="0" w:line="620" w:lineRule="exact"/>
        <w:rPr>
          <w:rFonts w:hint="default"/>
          <w:color w:val="000000"/>
          <w:kern w:val="0"/>
          <w:sz w:val="24"/>
          <w:szCs w:val="24"/>
        </w:rPr>
      </w:pPr>
      <w:r>
        <w:rPr>
          <w:rFonts w:hint="eastAsia"/>
          <w:color w:val="000000"/>
          <w:kern w:val="0"/>
          <w:sz w:val="24"/>
          <w:szCs w:val="24"/>
        </w:rPr>
        <w:t>单位名称：</w:t>
      </w:r>
      <w:r>
        <w:rPr>
          <w:rFonts w:hint="default"/>
          <w:color w:val="000000"/>
          <w:kern w:val="0"/>
          <w:sz w:val="24"/>
          <w:szCs w:val="24"/>
        </w:rPr>
        <w:t xml:space="preserve">                    </w:t>
      </w:r>
      <w:r>
        <w:rPr>
          <w:rFonts w:hint="eastAsia"/>
          <w:color w:val="000000"/>
          <w:kern w:val="0"/>
          <w:sz w:val="24"/>
          <w:szCs w:val="24"/>
        </w:rPr>
        <w:t>预算单位编码：</w:t>
      </w:r>
      <w:r>
        <w:rPr>
          <w:rFonts w:hint="default"/>
          <w:color w:val="000000"/>
          <w:kern w:val="0"/>
          <w:sz w:val="24"/>
          <w:szCs w:val="24"/>
        </w:rPr>
        <w:t xml:space="preserve">             </w:t>
      </w:r>
      <w:r>
        <w:rPr>
          <w:rFonts w:hint="eastAsia"/>
          <w:color w:val="000000"/>
          <w:kern w:val="0"/>
          <w:sz w:val="24"/>
          <w:szCs w:val="24"/>
        </w:rPr>
        <w:t>自评等级：</w:t>
      </w:r>
    </w:p>
    <w:tbl>
      <w:tblPr>
        <w:tblStyle w:val="15"/>
        <w:tblW w:w="512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28" w:type="dxa"/>
          <w:bottom w:w="0" w:type="dxa"/>
          <w:right w:w="28" w:type="dxa"/>
        </w:tblCellMar>
      </w:tblPr>
      <w:tblGrid>
        <w:gridCol w:w="482"/>
        <w:gridCol w:w="476"/>
        <w:gridCol w:w="832"/>
        <w:gridCol w:w="2083"/>
        <w:gridCol w:w="2775"/>
        <w:gridCol w:w="693"/>
        <w:gridCol w:w="17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518" w:hRule="atLeast"/>
          <w:tblHeader/>
          <w:jc w:val="center"/>
        </w:trPr>
        <w:tc>
          <w:tcPr>
            <w:tcW w:w="354" w:type="pct"/>
            <w:tcBorders>
              <w:top w:val="single" w:color="auto" w:sz="12" w:space="0"/>
              <w:left w:val="single" w:color="auto" w:sz="12" w:space="0"/>
              <w:bottom w:val="single" w:color="auto" w:sz="4" w:space="0"/>
              <w:right w:val="single" w:color="auto" w:sz="4" w:space="0"/>
              <w:tl2br w:val="nil"/>
              <w:tr2bl w:val="nil"/>
            </w:tcBorders>
            <w:noWrap w:val="0"/>
            <w:vAlign w:val="center"/>
          </w:tcPr>
          <w:p>
            <w:pPr>
              <w:spacing w:beforeLines="0" w:afterLines="0" w:line="240" w:lineRule="exact"/>
              <w:jc w:val="center"/>
              <w:rPr>
                <w:rFonts w:hint="default" w:eastAsia="方正黑体简体"/>
                <w:sz w:val="21"/>
                <w:szCs w:val="24"/>
              </w:rPr>
            </w:pPr>
            <w:r>
              <w:rPr>
                <w:rFonts w:hint="eastAsia" w:eastAsia="方正黑体简体"/>
                <w:sz w:val="21"/>
                <w:szCs w:val="24"/>
              </w:rPr>
              <w:t>一级指标</w:t>
            </w:r>
          </w:p>
        </w:tc>
        <w:tc>
          <w:tcPr>
            <w:tcW w:w="323" w:type="pct"/>
            <w:tcBorders>
              <w:top w:val="single" w:color="auto" w:sz="12" w:space="0"/>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eastAsia="方正黑体简体"/>
                <w:sz w:val="21"/>
                <w:szCs w:val="24"/>
              </w:rPr>
            </w:pPr>
            <w:r>
              <w:rPr>
                <w:rFonts w:hint="eastAsia" w:eastAsia="方正黑体简体"/>
                <w:sz w:val="21"/>
                <w:szCs w:val="24"/>
              </w:rPr>
              <w:t>二级指标</w:t>
            </w:r>
          </w:p>
        </w:tc>
        <w:tc>
          <w:tcPr>
            <w:tcW w:w="573" w:type="pct"/>
            <w:tcBorders>
              <w:top w:val="single" w:color="auto" w:sz="12" w:space="0"/>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eastAsia="方正黑体简体"/>
                <w:sz w:val="21"/>
                <w:szCs w:val="24"/>
              </w:rPr>
            </w:pPr>
            <w:r>
              <w:rPr>
                <w:rFonts w:hint="eastAsia" w:eastAsia="方正黑体简体"/>
                <w:sz w:val="21"/>
                <w:szCs w:val="24"/>
              </w:rPr>
              <w:t>三级指标</w:t>
            </w:r>
          </w:p>
        </w:tc>
        <w:tc>
          <w:tcPr>
            <w:tcW w:w="1230" w:type="pct"/>
            <w:tcBorders>
              <w:top w:val="single" w:color="auto" w:sz="12" w:space="0"/>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eastAsia="方正黑体简体"/>
                <w:sz w:val="21"/>
                <w:szCs w:val="24"/>
              </w:rPr>
            </w:pPr>
            <w:r>
              <w:rPr>
                <w:rFonts w:hint="eastAsia" w:eastAsia="方正黑体简体"/>
                <w:sz w:val="21"/>
                <w:szCs w:val="24"/>
              </w:rPr>
              <w:t>指标解释</w:t>
            </w:r>
          </w:p>
        </w:tc>
        <w:tc>
          <w:tcPr>
            <w:tcW w:w="1609" w:type="pct"/>
            <w:tcBorders>
              <w:top w:val="single" w:color="auto" w:sz="12" w:space="0"/>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eastAsia="方正黑体简体"/>
                <w:sz w:val="21"/>
                <w:szCs w:val="24"/>
              </w:rPr>
            </w:pPr>
            <w:r>
              <w:rPr>
                <w:rFonts w:hint="eastAsia" w:eastAsia="方正黑体简体"/>
                <w:sz w:val="21"/>
                <w:szCs w:val="24"/>
              </w:rPr>
              <w:t>指标说明</w:t>
            </w:r>
            <w:r>
              <w:rPr>
                <w:rFonts w:hint="default" w:eastAsia="方正黑体简体"/>
                <w:sz w:val="21"/>
                <w:szCs w:val="24"/>
              </w:rPr>
              <w:t>(</w:t>
            </w:r>
            <w:r>
              <w:rPr>
                <w:rFonts w:hint="eastAsia" w:eastAsia="方正黑体简体"/>
                <w:sz w:val="21"/>
                <w:szCs w:val="24"/>
              </w:rPr>
              <w:t>评价计分标准）</w:t>
            </w:r>
          </w:p>
        </w:tc>
        <w:tc>
          <w:tcPr>
            <w:tcW w:w="469" w:type="pct"/>
            <w:tcBorders>
              <w:top w:val="single" w:color="auto" w:sz="12" w:space="0"/>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eastAsia="方正黑体简体"/>
                <w:sz w:val="21"/>
                <w:szCs w:val="24"/>
              </w:rPr>
            </w:pPr>
            <w:r>
              <w:rPr>
                <w:rFonts w:hint="eastAsia" w:eastAsia="方正黑体简体"/>
                <w:sz w:val="21"/>
                <w:szCs w:val="24"/>
              </w:rPr>
              <w:t>自评</w:t>
            </w:r>
          </w:p>
          <w:p>
            <w:pPr>
              <w:spacing w:beforeLines="0" w:afterLines="0" w:line="240" w:lineRule="exact"/>
              <w:jc w:val="center"/>
              <w:rPr>
                <w:rFonts w:hint="default" w:eastAsia="方正黑体简体"/>
                <w:sz w:val="21"/>
                <w:szCs w:val="24"/>
              </w:rPr>
            </w:pPr>
            <w:r>
              <w:rPr>
                <w:rFonts w:hint="eastAsia" w:eastAsia="方正黑体简体"/>
                <w:sz w:val="21"/>
                <w:szCs w:val="24"/>
              </w:rPr>
              <w:t>分数</w:t>
            </w:r>
          </w:p>
        </w:tc>
        <w:tc>
          <w:tcPr>
            <w:tcW w:w="442" w:type="pct"/>
            <w:tcBorders>
              <w:top w:val="single" w:color="auto" w:sz="12" w:space="0"/>
              <w:left w:val="nil"/>
              <w:bottom w:val="single" w:color="auto" w:sz="4" w:space="0"/>
              <w:right w:val="single" w:color="auto" w:sz="12" w:space="0"/>
              <w:tl2br w:val="nil"/>
              <w:tr2bl w:val="nil"/>
            </w:tcBorders>
            <w:noWrap w:val="0"/>
            <w:vAlign w:val="center"/>
          </w:tcPr>
          <w:p>
            <w:pPr>
              <w:spacing w:beforeLines="0" w:afterLines="0" w:line="240" w:lineRule="exact"/>
              <w:jc w:val="center"/>
              <w:rPr>
                <w:rFonts w:hint="default" w:eastAsia="方正黑体简体"/>
                <w:sz w:val="21"/>
                <w:szCs w:val="24"/>
              </w:rPr>
            </w:pPr>
            <w:r>
              <w:rPr>
                <w:rFonts w:hint="eastAsia" w:eastAsia="方正黑体简体"/>
                <w:sz w:val="21"/>
                <w:szCs w:val="24"/>
              </w:rPr>
              <w:t>自评</w:t>
            </w:r>
          </w:p>
          <w:p>
            <w:pPr>
              <w:spacing w:beforeLines="0" w:afterLines="0" w:line="240" w:lineRule="exact"/>
              <w:jc w:val="center"/>
              <w:rPr>
                <w:rFonts w:hint="default" w:eastAsia="方正黑体简体"/>
                <w:sz w:val="21"/>
                <w:szCs w:val="24"/>
              </w:rPr>
            </w:pPr>
            <w:r>
              <w:rPr>
                <w:rFonts w:hint="eastAsia" w:eastAsia="方正黑体简体"/>
                <w:sz w:val="21"/>
                <w:szCs w:val="24"/>
              </w:rPr>
              <w:t>依据及说明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1330" w:hRule="atLeast"/>
          <w:jc w:val="center"/>
        </w:trPr>
        <w:tc>
          <w:tcPr>
            <w:tcW w:w="354" w:type="pct"/>
            <w:vMerge w:val="restart"/>
            <w:tcBorders>
              <w:top w:val="nil"/>
              <w:left w:val="single" w:color="auto" w:sz="12" w:space="0"/>
              <w:bottom w:val="single" w:color="000000" w:sz="4" w:space="0"/>
              <w:right w:val="single" w:color="auto" w:sz="4" w:space="0"/>
              <w:tl2br w:val="nil"/>
              <w:tr2bl w:val="nil"/>
            </w:tcBorders>
            <w:noWrap/>
            <w:textDirection w:val="tbRlV"/>
            <w:vAlign w:val="center"/>
          </w:tcPr>
          <w:p>
            <w:pPr>
              <w:spacing w:beforeLines="0" w:afterLines="0" w:line="240" w:lineRule="exact"/>
              <w:jc w:val="center"/>
              <w:rPr>
                <w:rFonts w:hint="default"/>
                <w:sz w:val="21"/>
                <w:szCs w:val="24"/>
              </w:rPr>
            </w:pPr>
            <w:r>
              <w:rPr>
                <w:rFonts w:hint="eastAsia"/>
                <w:sz w:val="21"/>
                <w:szCs w:val="24"/>
              </w:rPr>
              <w:t>投入（</w:t>
            </w:r>
            <w:r>
              <w:rPr>
                <w:rFonts w:hint="default"/>
                <w:sz w:val="21"/>
                <w:szCs w:val="24"/>
              </w:rPr>
              <w:t>20</w:t>
            </w:r>
            <w:r>
              <w:rPr>
                <w:rFonts w:hint="eastAsia"/>
                <w:sz w:val="21"/>
                <w:szCs w:val="24"/>
              </w:rPr>
              <w:t>分）</w:t>
            </w:r>
          </w:p>
        </w:tc>
        <w:tc>
          <w:tcPr>
            <w:tcW w:w="323" w:type="pct"/>
            <w:vMerge w:val="restart"/>
            <w:tcBorders>
              <w:top w:val="nil"/>
              <w:left w:val="single" w:color="auto" w:sz="4" w:space="0"/>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目标设定（</w:t>
            </w:r>
            <w:r>
              <w:rPr>
                <w:rFonts w:hint="default"/>
                <w:sz w:val="21"/>
                <w:szCs w:val="24"/>
              </w:rPr>
              <w:t>5</w:t>
            </w:r>
            <w:r>
              <w:rPr>
                <w:rFonts w:hint="eastAsia"/>
                <w:sz w:val="21"/>
                <w:szCs w:val="24"/>
              </w:rPr>
              <w:t>分）</w:t>
            </w:r>
          </w:p>
        </w:tc>
        <w:tc>
          <w:tcPr>
            <w:tcW w:w="573"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绩效目标合理性（</w:t>
            </w:r>
            <w:r>
              <w:rPr>
                <w:rFonts w:hint="default"/>
                <w:sz w:val="21"/>
                <w:szCs w:val="24"/>
              </w:rPr>
              <w:t>2</w:t>
            </w:r>
            <w:r>
              <w:rPr>
                <w:rFonts w:hint="eastAsia"/>
                <w:sz w:val="21"/>
                <w:szCs w:val="24"/>
              </w:rPr>
              <w:t>分）</w:t>
            </w:r>
          </w:p>
        </w:tc>
        <w:tc>
          <w:tcPr>
            <w:tcW w:w="1230"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部门（单位）所设立的整体绩效目标依据是否充分，是否符合客观实际，用以反映和考核部门（单位）整体绩效目标与部门履职、年度工作任务的相符性情况。</w:t>
            </w:r>
          </w:p>
        </w:tc>
        <w:tc>
          <w:tcPr>
            <w:tcW w:w="1609"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①是否符合国家法律法规、国民经济和社会发展总体规划；</w:t>
            </w:r>
            <w:r>
              <w:rPr>
                <w:rFonts w:hint="default"/>
                <w:sz w:val="21"/>
                <w:szCs w:val="24"/>
              </w:rPr>
              <w:t>(1</w:t>
            </w:r>
            <w:r>
              <w:rPr>
                <w:rFonts w:hint="eastAsia"/>
                <w:sz w:val="21"/>
                <w:szCs w:val="24"/>
              </w:rPr>
              <w:t>分）</w:t>
            </w:r>
          </w:p>
          <w:p>
            <w:pPr>
              <w:spacing w:beforeLines="0" w:afterLines="0" w:line="240" w:lineRule="exact"/>
              <w:rPr>
                <w:rFonts w:hint="default"/>
                <w:sz w:val="21"/>
                <w:szCs w:val="24"/>
              </w:rPr>
            </w:pPr>
            <w:r>
              <w:rPr>
                <w:rFonts w:hint="eastAsia"/>
                <w:sz w:val="21"/>
                <w:szCs w:val="24"/>
              </w:rPr>
              <w:t>②是否符合部门“三定”方案确定的职责；（</w:t>
            </w:r>
            <w:r>
              <w:rPr>
                <w:rFonts w:hint="default"/>
                <w:sz w:val="21"/>
                <w:szCs w:val="24"/>
              </w:rPr>
              <w:t>0.5</w:t>
            </w:r>
            <w:r>
              <w:rPr>
                <w:rFonts w:hint="eastAsia"/>
                <w:sz w:val="21"/>
                <w:szCs w:val="24"/>
              </w:rPr>
              <w:t>分）</w:t>
            </w:r>
          </w:p>
          <w:p>
            <w:pPr>
              <w:spacing w:beforeLines="0" w:afterLines="0" w:line="240" w:lineRule="exact"/>
              <w:rPr>
                <w:rFonts w:hint="default"/>
                <w:sz w:val="21"/>
                <w:szCs w:val="24"/>
              </w:rPr>
            </w:pPr>
            <w:r>
              <w:rPr>
                <w:rFonts w:hint="eastAsia"/>
                <w:sz w:val="21"/>
                <w:szCs w:val="24"/>
              </w:rPr>
              <w:t>③是否符合部门制定的中长期实施规划。（</w:t>
            </w:r>
            <w:r>
              <w:rPr>
                <w:rFonts w:hint="default"/>
                <w:sz w:val="21"/>
                <w:szCs w:val="24"/>
              </w:rPr>
              <w:t>0.5</w:t>
            </w:r>
            <w:r>
              <w:rPr>
                <w:rFonts w:hint="eastAsia"/>
                <w:sz w:val="21"/>
                <w:szCs w:val="24"/>
              </w:rPr>
              <w:t>分）</w:t>
            </w:r>
          </w:p>
        </w:tc>
        <w:tc>
          <w:tcPr>
            <w:tcW w:w="469" w:type="pct"/>
            <w:tcBorders>
              <w:top w:val="nil"/>
              <w:left w:val="nil"/>
              <w:bottom w:val="single" w:color="auto" w:sz="4" w:space="0"/>
              <w:right w:val="single" w:color="auto" w:sz="4" w:space="0"/>
              <w:tl2br w:val="nil"/>
              <w:tr2bl w:val="nil"/>
            </w:tcBorders>
            <w:noWrap/>
            <w:vAlign w:val="center"/>
          </w:tcPr>
          <w:p>
            <w:pPr>
              <w:spacing w:beforeLines="0" w:afterLines="0" w:line="240" w:lineRule="exact"/>
              <w:jc w:val="center"/>
              <w:rPr>
                <w:rFonts w:hint="eastAsia"/>
                <w:sz w:val="21"/>
                <w:szCs w:val="24"/>
                <w:lang w:val="en-US" w:eastAsia="zh-CN"/>
              </w:rPr>
            </w:pPr>
            <w:r>
              <w:rPr>
                <w:rFonts w:hint="eastAsia"/>
                <w:sz w:val="21"/>
                <w:szCs w:val="24"/>
                <w:lang w:val="en-US" w:eastAsia="zh-CN"/>
              </w:rPr>
              <w:t>2</w:t>
            </w:r>
          </w:p>
        </w:tc>
        <w:tc>
          <w:tcPr>
            <w:tcW w:w="442" w:type="pct"/>
            <w:tcBorders>
              <w:top w:val="nil"/>
              <w:left w:val="nil"/>
              <w:bottom w:val="single" w:color="auto" w:sz="4" w:space="0"/>
              <w:right w:val="single" w:color="auto" w:sz="12" w:space="0"/>
              <w:tl2br w:val="nil"/>
              <w:tr2bl w:val="nil"/>
            </w:tcBorders>
            <w:noWrap/>
            <w:vAlign w:val="center"/>
          </w:tcPr>
          <w:p>
            <w:pPr>
              <w:spacing w:beforeLines="0" w:afterLines="0" w:line="240" w:lineRule="exact"/>
              <w:jc w:val="center"/>
              <w:rPr>
                <w:rFonts w:hint="eastAsia"/>
                <w:sz w:val="21"/>
                <w:szCs w:val="24"/>
                <w:lang w:eastAsia="zh-CN"/>
              </w:rPr>
            </w:pPr>
            <w:r>
              <w:rPr>
                <w:rFonts w:hint="eastAsia"/>
                <w:sz w:val="21"/>
                <w:szCs w:val="24"/>
                <w:lang w:eastAsia="zh-CN"/>
              </w:rPr>
              <w:t>符合国家法律法规</w:t>
            </w:r>
          </w:p>
          <w:p>
            <w:pPr>
              <w:spacing w:beforeLines="0" w:afterLines="0" w:line="240" w:lineRule="exact"/>
              <w:jc w:val="center"/>
              <w:rPr>
                <w:rFonts w:hint="eastAsia"/>
                <w:sz w:val="21"/>
                <w:szCs w:val="24"/>
                <w:lang w:eastAsia="zh-CN"/>
              </w:rPr>
            </w:pPr>
            <w:r>
              <w:rPr>
                <w:rFonts w:hint="eastAsia"/>
                <w:sz w:val="21"/>
                <w:szCs w:val="24"/>
                <w:lang w:eastAsia="zh-CN"/>
              </w:rPr>
              <w:t>及“三定方案”等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1447" w:hRule="atLeast"/>
          <w:jc w:val="center"/>
        </w:trPr>
        <w:tc>
          <w:tcPr>
            <w:tcW w:w="354" w:type="pct"/>
            <w:vMerge w:val="continue"/>
            <w:tcBorders>
              <w:top w:val="nil"/>
              <w:left w:val="single" w:color="auto" w:sz="12" w:space="0"/>
              <w:bottom w:val="single" w:color="000000"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323" w:type="pct"/>
            <w:vMerge w:val="continue"/>
            <w:tcBorders>
              <w:top w:val="nil"/>
              <w:left w:val="single" w:color="auto" w:sz="4" w:space="0"/>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573"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绩效指标明确性（</w:t>
            </w:r>
            <w:r>
              <w:rPr>
                <w:rFonts w:hint="default"/>
                <w:sz w:val="21"/>
                <w:szCs w:val="24"/>
              </w:rPr>
              <w:t>3</w:t>
            </w:r>
            <w:r>
              <w:rPr>
                <w:rFonts w:hint="eastAsia"/>
                <w:sz w:val="21"/>
                <w:szCs w:val="24"/>
              </w:rPr>
              <w:t>分）</w:t>
            </w:r>
          </w:p>
        </w:tc>
        <w:tc>
          <w:tcPr>
            <w:tcW w:w="1230"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部门（单位）依据整体绩效目标所设定的绩效指标是否清晰、细化、可衡量，用以反映和考核部门（单位）整体绩效目标的明细化情况。</w:t>
            </w:r>
          </w:p>
        </w:tc>
        <w:tc>
          <w:tcPr>
            <w:tcW w:w="1609"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①是否将部门整体的绩效目标细化分解为具体的工作任务；（</w:t>
            </w:r>
            <w:r>
              <w:rPr>
                <w:rFonts w:hint="default"/>
                <w:sz w:val="21"/>
                <w:szCs w:val="24"/>
              </w:rPr>
              <w:t>1</w:t>
            </w:r>
            <w:r>
              <w:rPr>
                <w:rFonts w:hint="eastAsia"/>
                <w:sz w:val="21"/>
                <w:szCs w:val="24"/>
              </w:rPr>
              <w:t>分）</w:t>
            </w:r>
          </w:p>
          <w:p>
            <w:pPr>
              <w:spacing w:beforeLines="0" w:afterLines="0" w:line="240" w:lineRule="exact"/>
              <w:rPr>
                <w:rFonts w:hint="default"/>
                <w:sz w:val="21"/>
                <w:szCs w:val="24"/>
              </w:rPr>
            </w:pPr>
            <w:r>
              <w:rPr>
                <w:rFonts w:hint="eastAsia"/>
                <w:sz w:val="21"/>
                <w:szCs w:val="24"/>
              </w:rPr>
              <w:t>②是否通过清晰、可衡量的指标值予以体现</w:t>
            </w:r>
            <w:r>
              <w:rPr>
                <w:rFonts w:hint="default"/>
                <w:sz w:val="21"/>
                <w:szCs w:val="24"/>
              </w:rPr>
              <w:t>;(0.5</w:t>
            </w:r>
            <w:r>
              <w:rPr>
                <w:rFonts w:hint="eastAsia"/>
                <w:sz w:val="21"/>
                <w:szCs w:val="24"/>
              </w:rPr>
              <w:t>分）</w:t>
            </w:r>
            <w:r>
              <w:rPr>
                <w:rFonts w:hint="default"/>
                <w:sz w:val="21"/>
                <w:szCs w:val="24"/>
              </w:rPr>
              <w:t xml:space="preserve">    </w:t>
            </w:r>
            <w:r>
              <w:rPr>
                <w:rFonts w:hint="eastAsia"/>
                <w:sz w:val="21"/>
                <w:szCs w:val="24"/>
              </w:rPr>
              <w:t>③是否与部门年度的任务数或计划数相对应；（</w:t>
            </w:r>
            <w:r>
              <w:rPr>
                <w:rFonts w:hint="default"/>
                <w:sz w:val="21"/>
                <w:szCs w:val="24"/>
              </w:rPr>
              <w:t>0.5</w:t>
            </w:r>
            <w:r>
              <w:rPr>
                <w:rFonts w:hint="eastAsia"/>
                <w:sz w:val="21"/>
                <w:szCs w:val="24"/>
              </w:rPr>
              <w:t>分）</w:t>
            </w:r>
          </w:p>
          <w:p>
            <w:pPr>
              <w:spacing w:beforeLines="0" w:afterLines="0" w:line="240" w:lineRule="exact"/>
              <w:rPr>
                <w:rFonts w:hint="default"/>
                <w:sz w:val="21"/>
                <w:szCs w:val="24"/>
              </w:rPr>
            </w:pPr>
            <w:r>
              <w:rPr>
                <w:rFonts w:hint="eastAsia"/>
                <w:sz w:val="21"/>
                <w:szCs w:val="24"/>
              </w:rPr>
              <w:t>④是否与本年度部门预算资金相匹配。（</w:t>
            </w:r>
            <w:r>
              <w:rPr>
                <w:rFonts w:hint="default"/>
                <w:sz w:val="21"/>
                <w:szCs w:val="24"/>
              </w:rPr>
              <w:t>1</w:t>
            </w:r>
            <w:r>
              <w:rPr>
                <w:rFonts w:hint="eastAsia"/>
                <w:sz w:val="21"/>
                <w:szCs w:val="24"/>
              </w:rPr>
              <w:t>分）</w:t>
            </w:r>
          </w:p>
        </w:tc>
        <w:tc>
          <w:tcPr>
            <w:tcW w:w="469" w:type="pct"/>
            <w:tcBorders>
              <w:top w:val="nil"/>
              <w:left w:val="nil"/>
              <w:bottom w:val="single" w:color="auto" w:sz="4" w:space="0"/>
              <w:right w:val="single" w:color="auto" w:sz="4" w:space="0"/>
              <w:tl2br w:val="nil"/>
              <w:tr2bl w:val="nil"/>
            </w:tcBorders>
            <w:noWrap/>
            <w:vAlign w:val="center"/>
          </w:tcPr>
          <w:p>
            <w:pPr>
              <w:spacing w:beforeLines="0" w:afterLines="0" w:line="240" w:lineRule="exact"/>
              <w:jc w:val="center"/>
              <w:rPr>
                <w:rFonts w:hint="eastAsia"/>
                <w:sz w:val="21"/>
                <w:szCs w:val="24"/>
                <w:lang w:val="en-US" w:eastAsia="zh-CN"/>
              </w:rPr>
            </w:pPr>
            <w:r>
              <w:rPr>
                <w:rFonts w:hint="eastAsia"/>
                <w:sz w:val="21"/>
                <w:szCs w:val="24"/>
                <w:lang w:val="en-US" w:eastAsia="zh-CN"/>
              </w:rPr>
              <w:t>3</w:t>
            </w:r>
          </w:p>
        </w:tc>
        <w:tc>
          <w:tcPr>
            <w:tcW w:w="442" w:type="pct"/>
            <w:tcBorders>
              <w:top w:val="nil"/>
              <w:left w:val="nil"/>
              <w:bottom w:val="single" w:color="auto" w:sz="4" w:space="0"/>
              <w:right w:val="single" w:color="auto" w:sz="12" w:space="0"/>
              <w:tl2br w:val="nil"/>
              <w:tr2bl w:val="nil"/>
            </w:tcBorders>
            <w:noWrap/>
            <w:vAlign w:val="center"/>
          </w:tcPr>
          <w:p>
            <w:pPr>
              <w:spacing w:beforeLines="0" w:afterLines="0" w:line="240" w:lineRule="exact"/>
              <w:rPr>
                <w:rFonts w:hint="eastAsia"/>
                <w:sz w:val="21"/>
                <w:szCs w:val="24"/>
                <w:lang w:eastAsia="zh-CN"/>
              </w:rPr>
            </w:pPr>
            <w:r>
              <w:rPr>
                <w:rFonts w:hint="eastAsia"/>
                <w:sz w:val="21"/>
                <w:szCs w:val="24"/>
                <w:lang w:eastAsia="zh-CN"/>
              </w:rPr>
              <w:t>绩效目标清晰、可</w:t>
            </w:r>
          </w:p>
          <w:p>
            <w:pPr>
              <w:spacing w:beforeLines="0" w:afterLines="0" w:line="240" w:lineRule="exact"/>
              <w:rPr>
                <w:rFonts w:hint="eastAsia"/>
                <w:sz w:val="21"/>
                <w:szCs w:val="24"/>
                <w:lang w:eastAsia="zh-CN"/>
              </w:rPr>
            </w:pPr>
            <w:r>
              <w:rPr>
                <w:rFonts w:hint="eastAsia"/>
                <w:sz w:val="21"/>
                <w:szCs w:val="24"/>
                <w:lang w:eastAsia="zh-CN"/>
              </w:rPr>
              <w:t>衡量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1200" w:hRule="atLeast"/>
          <w:jc w:val="center"/>
        </w:trPr>
        <w:tc>
          <w:tcPr>
            <w:tcW w:w="354" w:type="pct"/>
            <w:vMerge w:val="continue"/>
            <w:tcBorders>
              <w:top w:val="nil"/>
              <w:left w:val="single" w:color="auto" w:sz="12" w:space="0"/>
              <w:bottom w:val="single" w:color="000000"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323" w:type="pct"/>
            <w:vMerge w:val="restart"/>
            <w:tcBorders>
              <w:top w:val="nil"/>
              <w:left w:val="single" w:color="auto" w:sz="4" w:space="0"/>
              <w:bottom w:val="single" w:color="000000"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预算配置（</w:t>
            </w:r>
            <w:r>
              <w:rPr>
                <w:rFonts w:hint="default"/>
                <w:sz w:val="21"/>
                <w:szCs w:val="24"/>
              </w:rPr>
              <w:t>15</w:t>
            </w:r>
            <w:r>
              <w:rPr>
                <w:rFonts w:hint="eastAsia"/>
                <w:sz w:val="21"/>
                <w:szCs w:val="24"/>
              </w:rPr>
              <w:t>分）</w:t>
            </w:r>
          </w:p>
        </w:tc>
        <w:tc>
          <w:tcPr>
            <w:tcW w:w="573"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在职人员控制率（</w:t>
            </w:r>
            <w:r>
              <w:rPr>
                <w:rFonts w:hint="default"/>
                <w:sz w:val="21"/>
                <w:szCs w:val="24"/>
              </w:rPr>
              <w:t>5</w:t>
            </w:r>
            <w:r>
              <w:rPr>
                <w:rFonts w:hint="eastAsia"/>
                <w:sz w:val="21"/>
                <w:szCs w:val="24"/>
              </w:rPr>
              <w:t>分）</w:t>
            </w:r>
          </w:p>
        </w:tc>
        <w:tc>
          <w:tcPr>
            <w:tcW w:w="1230"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部门（单位）本年度实际在职人员数与编制数的比率，用以反映和考核部门（单位）对人员成本的控制程度。</w:t>
            </w:r>
          </w:p>
        </w:tc>
        <w:tc>
          <w:tcPr>
            <w:tcW w:w="1609"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在职人员控制率</w:t>
            </w:r>
            <w:r>
              <w:rPr>
                <w:rFonts w:hint="default"/>
                <w:sz w:val="21"/>
                <w:szCs w:val="24"/>
              </w:rPr>
              <w:t>=</w:t>
            </w:r>
            <w:r>
              <w:rPr>
                <w:rFonts w:hint="eastAsia"/>
                <w:sz w:val="21"/>
                <w:szCs w:val="24"/>
              </w:rPr>
              <w:t>（在职人员数</w:t>
            </w:r>
            <w:r>
              <w:rPr>
                <w:rFonts w:hint="default"/>
                <w:sz w:val="21"/>
                <w:szCs w:val="24"/>
              </w:rPr>
              <w:t>/</w:t>
            </w:r>
            <w:r>
              <w:rPr>
                <w:rFonts w:hint="eastAsia"/>
                <w:sz w:val="21"/>
                <w:szCs w:val="24"/>
              </w:rPr>
              <w:t>编制数）×</w:t>
            </w:r>
            <w:r>
              <w:rPr>
                <w:rFonts w:hint="default"/>
                <w:sz w:val="21"/>
                <w:szCs w:val="24"/>
              </w:rPr>
              <w:t>100%</w:t>
            </w:r>
            <w:r>
              <w:rPr>
                <w:rFonts w:hint="eastAsia"/>
                <w:sz w:val="21"/>
                <w:szCs w:val="24"/>
              </w:rPr>
              <w:t>。（小于或等于</w:t>
            </w:r>
            <w:r>
              <w:rPr>
                <w:rFonts w:hint="default"/>
                <w:sz w:val="21"/>
                <w:szCs w:val="24"/>
              </w:rPr>
              <w:t>1</w:t>
            </w:r>
            <w:r>
              <w:rPr>
                <w:rFonts w:hint="eastAsia"/>
                <w:sz w:val="21"/>
                <w:szCs w:val="24"/>
              </w:rPr>
              <w:t>计</w:t>
            </w:r>
            <w:r>
              <w:rPr>
                <w:rFonts w:hint="default"/>
                <w:sz w:val="21"/>
                <w:szCs w:val="24"/>
              </w:rPr>
              <w:t>5</w:t>
            </w:r>
            <w:r>
              <w:rPr>
                <w:rFonts w:hint="eastAsia"/>
                <w:sz w:val="21"/>
                <w:szCs w:val="24"/>
              </w:rPr>
              <w:t>分，否则按比例计分）</w:t>
            </w:r>
          </w:p>
          <w:p>
            <w:pPr>
              <w:spacing w:beforeLines="0" w:afterLines="0" w:line="240" w:lineRule="exact"/>
              <w:rPr>
                <w:rFonts w:hint="default"/>
                <w:sz w:val="21"/>
                <w:szCs w:val="24"/>
              </w:rPr>
            </w:pPr>
            <w:r>
              <w:rPr>
                <w:rFonts w:hint="eastAsia"/>
                <w:sz w:val="21"/>
                <w:szCs w:val="24"/>
              </w:rPr>
              <w:t>在职人员数：部门（单位）实际在职人数，以财政部确定的部门决算编制口径为准。</w:t>
            </w:r>
          </w:p>
          <w:p>
            <w:pPr>
              <w:spacing w:beforeLines="0" w:afterLines="0" w:line="240" w:lineRule="exact"/>
              <w:rPr>
                <w:rFonts w:hint="default"/>
                <w:sz w:val="21"/>
                <w:szCs w:val="24"/>
              </w:rPr>
            </w:pPr>
            <w:r>
              <w:rPr>
                <w:rFonts w:hint="eastAsia"/>
                <w:sz w:val="21"/>
                <w:szCs w:val="24"/>
              </w:rPr>
              <w:t>编制数：机构编制部门核定批复的部门（单位）的人员编制数。</w:t>
            </w:r>
          </w:p>
        </w:tc>
        <w:tc>
          <w:tcPr>
            <w:tcW w:w="469" w:type="pct"/>
            <w:tcBorders>
              <w:top w:val="nil"/>
              <w:left w:val="nil"/>
              <w:bottom w:val="single" w:color="auto" w:sz="4" w:space="0"/>
              <w:right w:val="single" w:color="auto" w:sz="4" w:space="0"/>
              <w:tl2br w:val="nil"/>
              <w:tr2bl w:val="nil"/>
            </w:tcBorders>
            <w:noWrap/>
            <w:vAlign w:val="center"/>
          </w:tcPr>
          <w:p>
            <w:pPr>
              <w:spacing w:beforeLines="0" w:afterLines="0" w:line="240" w:lineRule="exact"/>
              <w:jc w:val="center"/>
              <w:rPr>
                <w:rFonts w:hint="eastAsia"/>
                <w:sz w:val="21"/>
                <w:szCs w:val="24"/>
                <w:lang w:val="en-US" w:eastAsia="zh-CN"/>
              </w:rPr>
            </w:pPr>
            <w:r>
              <w:rPr>
                <w:rFonts w:hint="eastAsia"/>
                <w:sz w:val="21"/>
                <w:szCs w:val="24"/>
                <w:lang w:val="en-US" w:eastAsia="zh-CN"/>
              </w:rPr>
              <w:t>5</w:t>
            </w:r>
          </w:p>
        </w:tc>
        <w:tc>
          <w:tcPr>
            <w:tcW w:w="442" w:type="pct"/>
            <w:tcBorders>
              <w:top w:val="nil"/>
              <w:left w:val="nil"/>
              <w:bottom w:val="single" w:color="auto" w:sz="4" w:space="0"/>
              <w:right w:val="single" w:color="auto" w:sz="12" w:space="0"/>
              <w:tl2br w:val="nil"/>
              <w:tr2bl w:val="nil"/>
            </w:tcBorders>
            <w:noWrap/>
            <w:vAlign w:val="center"/>
          </w:tcPr>
          <w:p>
            <w:pPr>
              <w:spacing w:beforeLines="0" w:afterLines="0" w:line="240" w:lineRule="exact"/>
              <w:rPr>
                <w:rFonts w:hint="eastAsia"/>
                <w:sz w:val="21"/>
                <w:szCs w:val="24"/>
                <w:lang w:eastAsia="zh-CN"/>
              </w:rPr>
            </w:pPr>
            <w:r>
              <w:rPr>
                <w:rFonts w:hint="eastAsia"/>
                <w:sz w:val="21"/>
                <w:szCs w:val="24"/>
                <w:lang w:eastAsia="zh-CN"/>
              </w:rPr>
              <w:t>在职人员控制率小</w:t>
            </w:r>
          </w:p>
          <w:p>
            <w:pPr>
              <w:spacing w:beforeLines="0" w:afterLines="0" w:line="240" w:lineRule="exact"/>
              <w:rPr>
                <w:rFonts w:hint="default"/>
                <w:sz w:val="21"/>
                <w:szCs w:val="24"/>
                <w:lang w:val="en-US" w:eastAsia="zh-CN"/>
              </w:rPr>
            </w:pPr>
            <w:r>
              <w:rPr>
                <w:rFonts w:hint="eastAsia"/>
                <w:sz w:val="21"/>
                <w:szCs w:val="24"/>
                <w:lang w:eastAsia="zh-CN"/>
              </w:rPr>
              <w:t>于</w:t>
            </w:r>
            <w:r>
              <w:rPr>
                <w:rFonts w:hint="eastAsia"/>
                <w:sz w:val="21"/>
                <w:szCs w:val="24"/>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1259" w:hRule="atLeast"/>
          <w:jc w:val="center"/>
        </w:trPr>
        <w:tc>
          <w:tcPr>
            <w:tcW w:w="354" w:type="pct"/>
            <w:vMerge w:val="continue"/>
            <w:tcBorders>
              <w:top w:val="nil"/>
              <w:left w:val="single" w:color="auto" w:sz="12" w:space="0"/>
              <w:bottom w:val="single" w:color="000000"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323" w:type="pct"/>
            <w:vMerge w:val="continue"/>
            <w:tcBorders>
              <w:top w:val="nil"/>
              <w:left w:val="single" w:color="auto" w:sz="4" w:space="0"/>
              <w:bottom w:val="single" w:color="000000"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573"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“三公经费”变动率（</w:t>
            </w:r>
            <w:r>
              <w:rPr>
                <w:rFonts w:hint="default"/>
                <w:sz w:val="21"/>
                <w:szCs w:val="24"/>
              </w:rPr>
              <w:t>5</w:t>
            </w:r>
            <w:r>
              <w:rPr>
                <w:rFonts w:hint="eastAsia"/>
                <w:sz w:val="21"/>
                <w:szCs w:val="24"/>
              </w:rPr>
              <w:t>分）</w:t>
            </w:r>
          </w:p>
        </w:tc>
        <w:tc>
          <w:tcPr>
            <w:tcW w:w="1230"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部门（单位）本年度“三公经费”预算数与上年度“三公经费”预算数的变动比率，用以反映和考核部门（单位）对控制重点行政成本的努力程度。</w:t>
            </w:r>
          </w:p>
        </w:tc>
        <w:tc>
          <w:tcPr>
            <w:tcW w:w="1609"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“三公经费”变动率</w:t>
            </w:r>
            <w:r>
              <w:rPr>
                <w:rFonts w:hint="default"/>
                <w:sz w:val="21"/>
                <w:szCs w:val="24"/>
              </w:rPr>
              <w:t>=[</w:t>
            </w:r>
            <w:r>
              <w:rPr>
                <w:rFonts w:hint="eastAsia"/>
                <w:sz w:val="21"/>
                <w:szCs w:val="24"/>
              </w:rPr>
              <w:t>（本年度“三公经费”总额</w:t>
            </w:r>
            <w:r>
              <w:rPr>
                <w:rFonts w:hint="default"/>
                <w:sz w:val="21"/>
                <w:szCs w:val="24"/>
              </w:rPr>
              <w:t>-</w:t>
            </w:r>
            <w:r>
              <w:rPr>
                <w:rFonts w:hint="eastAsia"/>
                <w:sz w:val="21"/>
                <w:szCs w:val="24"/>
              </w:rPr>
              <w:t>上年度“三公经费”总额）</w:t>
            </w:r>
            <w:r>
              <w:rPr>
                <w:rFonts w:hint="default"/>
                <w:sz w:val="21"/>
                <w:szCs w:val="24"/>
              </w:rPr>
              <w:t>/</w:t>
            </w:r>
            <w:r>
              <w:rPr>
                <w:rFonts w:hint="eastAsia"/>
                <w:sz w:val="21"/>
                <w:szCs w:val="24"/>
              </w:rPr>
              <w:t>上年度“三公经费”总额</w:t>
            </w:r>
            <w:r>
              <w:rPr>
                <w:rFonts w:hint="default"/>
                <w:sz w:val="21"/>
                <w:szCs w:val="24"/>
              </w:rPr>
              <w:t>]</w:t>
            </w:r>
            <w:r>
              <w:rPr>
                <w:rFonts w:hint="eastAsia"/>
                <w:sz w:val="21"/>
                <w:szCs w:val="24"/>
              </w:rPr>
              <w:t>×</w:t>
            </w:r>
            <w:r>
              <w:rPr>
                <w:rFonts w:hint="default"/>
                <w:sz w:val="21"/>
                <w:szCs w:val="24"/>
              </w:rPr>
              <w:t>100%</w:t>
            </w:r>
            <w:r>
              <w:rPr>
                <w:rFonts w:hint="eastAsia"/>
                <w:sz w:val="21"/>
                <w:szCs w:val="24"/>
              </w:rPr>
              <w:t>。（下降的计</w:t>
            </w:r>
            <w:r>
              <w:rPr>
                <w:rFonts w:hint="default"/>
                <w:sz w:val="21"/>
                <w:szCs w:val="24"/>
              </w:rPr>
              <w:t>5</w:t>
            </w:r>
            <w:r>
              <w:rPr>
                <w:rFonts w:hint="eastAsia"/>
                <w:sz w:val="21"/>
                <w:szCs w:val="24"/>
              </w:rPr>
              <w:t>分，增加的按比例扣减）</w:t>
            </w:r>
          </w:p>
          <w:p>
            <w:pPr>
              <w:spacing w:beforeLines="0" w:afterLines="0" w:line="240" w:lineRule="exact"/>
              <w:rPr>
                <w:rFonts w:hint="default"/>
                <w:sz w:val="21"/>
                <w:szCs w:val="24"/>
              </w:rPr>
            </w:pPr>
            <w:r>
              <w:rPr>
                <w:rFonts w:hint="eastAsia"/>
                <w:sz w:val="21"/>
                <w:szCs w:val="24"/>
              </w:rPr>
              <w:t>“三公经费”：年度预算安排的因公出国（境）费、公务车辆购置及运行费和公务招待费。</w:t>
            </w:r>
          </w:p>
        </w:tc>
        <w:tc>
          <w:tcPr>
            <w:tcW w:w="469" w:type="pct"/>
            <w:tcBorders>
              <w:top w:val="nil"/>
              <w:left w:val="nil"/>
              <w:bottom w:val="single" w:color="auto" w:sz="4" w:space="0"/>
              <w:right w:val="single" w:color="auto" w:sz="4" w:space="0"/>
              <w:tl2br w:val="nil"/>
              <w:tr2bl w:val="nil"/>
            </w:tcBorders>
            <w:noWrap/>
            <w:vAlign w:val="center"/>
          </w:tcPr>
          <w:p>
            <w:pPr>
              <w:spacing w:beforeLines="0" w:afterLines="0" w:line="240" w:lineRule="exact"/>
              <w:jc w:val="center"/>
              <w:rPr>
                <w:rFonts w:hint="eastAsia"/>
                <w:sz w:val="21"/>
                <w:szCs w:val="24"/>
                <w:lang w:val="en-US" w:eastAsia="zh-CN"/>
              </w:rPr>
            </w:pPr>
            <w:r>
              <w:rPr>
                <w:rFonts w:hint="eastAsia"/>
                <w:sz w:val="21"/>
                <w:szCs w:val="24"/>
                <w:lang w:val="en-US" w:eastAsia="zh-CN"/>
              </w:rPr>
              <w:t>5</w:t>
            </w:r>
          </w:p>
        </w:tc>
        <w:tc>
          <w:tcPr>
            <w:tcW w:w="442" w:type="pct"/>
            <w:tcBorders>
              <w:top w:val="nil"/>
              <w:left w:val="nil"/>
              <w:bottom w:val="single" w:color="auto" w:sz="4" w:space="0"/>
              <w:right w:val="single" w:color="auto" w:sz="12" w:space="0"/>
              <w:tl2br w:val="nil"/>
              <w:tr2bl w:val="nil"/>
            </w:tcBorders>
            <w:noWrap/>
            <w:vAlign w:val="center"/>
          </w:tcPr>
          <w:p>
            <w:pPr>
              <w:spacing w:beforeLines="0" w:afterLines="0" w:line="240" w:lineRule="exact"/>
              <w:rPr>
                <w:rFonts w:hint="eastAsia"/>
                <w:sz w:val="21"/>
                <w:szCs w:val="24"/>
                <w:lang w:val="en-US" w:eastAsia="zh-CN"/>
              </w:rPr>
            </w:pPr>
            <w:r>
              <w:rPr>
                <w:rFonts w:hint="eastAsia"/>
                <w:sz w:val="21"/>
                <w:szCs w:val="24"/>
                <w:lang w:val="en-US" w:eastAsia="zh-CN"/>
              </w:rPr>
              <w:t>2021年预算数与</w:t>
            </w:r>
          </w:p>
          <w:p>
            <w:pPr>
              <w:spacing w:beforeLines="0" w:afterLines="0" w:line="240" w:lineRule="exact"/>
              <w:rPr>
                <w:rFonts w:hint="default"/>
                <w:sz w:val="21"/>
                <w:szCs w:val="24"/>
                <w:lang w:val="en-US" w:eastAsia="zh-CN"/>
              </w:rPr>
            </w:pPr>
            <w:r>
              <w:rPr>
                <w:rFonts w:hint="eastAsia"/>
                <w:sz w:val="21"/>
                <w:szCs w:val="24"/>
                <w:lang w:val="en-US" w:eastAsia="zh-CN"/>
              </w:rPr>
              <w:t>2020年预算数相同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1534" w:hRule="atLeast"/>
          <w:jc w:val="center"/>
        </w:trPr>
        <w:tc>
          <w:tcPr>
            <w:tcW w:w="354" w:type="pct"/>
            <w:vMerge w:val="continue"/>
            <w:tcBorders>
              <w:top w:val="nil"/>
              <w:left w:val="single" w:color="auto" w:sz="12" w:space="0"/>
              <w:bottom w:val="single" w:color="000000"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323" w:type="pct"/>
            <w:vMerge w:val="continue"/>
            <w:tcBorders>
              <w:top w:val="nil"/>
              <w:left w:val="single" w:color="auto" w:sz="4" w:space="0"/>
              <w:bottom w:val="single" w:color="000000"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573"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重点支出安排率（</w:t>
            </w:r>
            <w:r>
              <w:rPr>
                <w:rFonts w:hint="default"/>
                <w:sz w:val="21"/>
                <w:szCs w:val="24"/>
              </w:rPr>
              <w:t>5</w:t>
            </w:r>
            <w:r>
              <w:rPr>
                <w:rFonts w:hint="eastAsia"/>
                <w:sz w:val="21"/>
                <w:szCs w:val="24"/>
              </w:rPr>
              <w:t>分）</w:t>
            </w:r>
          </w:p>
        </w:tc>
        <w:tc>
          <w:tcPr>
            <w:tcW w:w="1230"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部门（单位）本年度预算安排的重点项目支出与部门项目总支出的比率，用以反映和考核部门（单位）对履行主要职责或完成重点任务的保障程度。</w:t>
            </w:r>
          </w:p>
        </w:tc>
        <w:tc>
          <w:tcPr>
            <w:tcW w:w="1609"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重点支出安排率</w:t>
            </w:r>
            <w:r>
              <w:rPr>
                <w:rFonts w:hint="default"/>
                <w:sz w:val="21"/>
                <w:szCs w:val="24"/>
              </w:rPr>
              <w:t>=</w:t>
            </w:r>
            <w:r>
              <w:rPr>
                <w:rFonts w:hint="eastAsia"/>
                <w:sz w:val="21"/>
                <w:szCs w:val="24"/>
              </w:rPr>
              <w:t>（重点项目支出</w:t>
            </w:r>
            <w:r>
              <w:rPr>
                <w:rFonts w:hint="default"/>
                <w:sz w:val="21"/>
                <w:szCs w:val="24"/>
              </w:rPr>
              <w:t>/</w:t>
            </w:r>
            <w:r>
              <w:rPr>
                <w:rFonts w:hint="eastAsia"/>
                <w:sz w:val="21"/>
                <w:szCs w:val="24"/>
              </w:rPr>
              <w:t>项目总支出）×</w:t>
            </w:r>
            <w:r>
              <w:rPr>
                <w:rFonts w:hint="default"/>
                <w:sz w:val="21"/>
                <w:szCs w:val="24"/>
              </w:rPr>
              <w:t>100%</w:t>
            </w:r>
            <w:r>
              <w:rPr>
                <w:rFonts w:hint="eastAsia"/>
                <w:sz w:val="21"/>
                <w:szCs w:val="24"/>
              </w:rPr>
              <w:t>。（实际得分</w:t>
            </w:r>
            <w:r>
              <w:rPr>
                <w:rFonts w:hint="default"/>
                <w:sz w:val="21"/>
                <w:szCs w:val="24"/>
              </w:rPr>
              <w:t>=</w:t>
            </w:r>
            <w:r>
              <w:rPr>
                <w:rFonts w:hint="eastAsia"/>
                <w:sz w:val="21"/>
                <w:szCs w:val="24"/>
              </w:rPr>
              <w:t>支出安排率</w:t>
            </w:r>
            <w:r>
              <w:rPr>
                <w:rFonts w:hint="default"/>
                <w:sz w:val="21"/>
                <w:szCs w:val="24"/>
              </w:rPr>
              <w:t>*5</w:t>
            </w:r>
            <w:r>
              <w:rPr>
                <w:rFonts w:hint="eastAsia"/>
                <w:sz w:val="21"/>
                <w:szCs w:val="24"/>
              </w:rPr>
              <w:t>分）</w:t>
            </w:r>
          </w:p>
          <w:p>
            <w:pPr>
              <w:spacing w:beforeLines="0" w:afterLines="0" w:line="240" w:lineRule="exact"/>
              <w:rPr>
                <w:rFonts w:hint="default"/>
                <w:sz w:val="21"/>
                <w:szCs w:val="24"/>
              </w:rPr>
            </w:pPr>
            <w:r>
              <w:rPr>
                <w:rFonts w:hint="eastAsia"/>
                <w:sz w:val="21"/>
                <w:szCs w:val="24"/>
              </w:rPr>
              <w:t>重点项目支出：部门（单位）年度预算安排的，与本部门履职和发展密切相关、具有明显社会和经济影响、党委政府关心或社会比较关注的项目支出总额。</w:t>
            </w:r>
          </w:p>
          <w:p>
            <w:pPr>
              <w:spacing w:beforeLines="0" w:afterLines="0" w:line="240" w:lineRule="exact"/>
              <w:rPr>
                <w:rFonts w:hint="default"/>
                <w:sz w:val="21"/>
                <w:szCs w:val="24"/>
              </w:rPr>
            </w:pPr>
            <w:r>
              <w:rPr>
                <w:rFonts w:hint="eastAsia"/>
                <w:sz w:val="21"/>
                <w:szCs w:val="24"/>
              </w:rPr>
              <w:t>项目总支出：部门（单位）年度预算安排的项目支出总额。</w:t>
            </w:r>
          </w:p>
        </w:tc>
        <w:tc>
          <w:tcPr>
            <w:tcW w:w="469" w:type="pct"/>
            <w:tcBorders>
              <w:top w:val="nil"/>
              <w:left w:val="nil"/>
              <w:bottom w:val="single" w:color="auto" w:sz="4" w:space="0"/>
              <w:right w:val="single" w:color="auto" w:sz="4" w:space="0"/>
              <w:tl2br w:val="nil"/>
              <w:tr2bl w:val="nil"/>
            </w:tcBorders>
            <w:noWrap/>
            <w:vAlign w:val="center"/>
          </w:tcPr>
          <w:p>
            <w:pPr>
              <w:spacing w:beforeLines="0" w:afterLines="0" w:line="240" w:lineRule="exact"/>
              <w:jc w:val="center"/>
              <w:rPr>
                <w:rFonts w:hint="eastAsia"/>
                <w:sz w:val="21"/>
                <w:szCs w:val="24"/>
                <w:lang w:val="en-US" w:eastAsia="zh-CN"/>
              </w:rPr>
            </w:pPr>
            <w:r>
              <w:rPr>
                <w:rFonts w:hint="eastAsia"/>
                <w:sz w:val="21"/>
                <w:szCs w:val="24"/>
                <w:lang w:val="en-US" w:eastAsia="zh-CN"/>
              </w:rPr>
              <w:t>5</w:t>
            </w:r>
          </w:p>
        </w:tc>
        <w:tc>
          <w:tcPr>
            <w:tcW w:w="442" w:type="pct"/>
            <w:tcBorders>
              <w:top w:val="nil"/>
              <w:left w:val="nil"/>
              <w:bottom w:val="single" w:color="auto" w:sz="4" w:space="0"/>
              <w:right w:val="single" w:color="auto" w:sz="12" w:space="0"/>
              <w:tl2br w:val="nil"/>
              <w:tr2bl w:val="nil"/>
            </w:tcBorders>
            <w:noWrap/>
            <w:vAlign w:val="center"/>
          </w:tcPr>
          <w:p>
            <w:pPr>
              <w:spacing w:beforeLines="0" w:afterLines="0" w:line="240" w:lineRule="exact"/>
              <w:jc w:val="center"/>
              <w:rPr>
                <w:rFonts w:hint="default"/>
                <w:sz w:val="21"/>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1330" w:hRule="atLeast"/>
          <w:jc w:val="center"/>
        </w:trPr>
        <w:tc>
          <w:tcPr>
            <w:tcW w:w="354" w:type="pct"/>
            <w:vMerge w:val="restart"/>
            <w:tcBorders>
              <w:top w:val="nil"/>
              <w:left w:val="single" w:color="auto" w:sz="12" w:space="0"/>
              <w:bottom w:val="single" w:color="000000" w:sz="4" w:space="0"/>
              <w:right w:val="single" w:color="auto" w:sz="4" w:space="0"/>
              <w:tl2br w:val="nil"/>
              <w:tr2bl w:val="nil"/>
            </w:tcBorders>
            <w:noWrap/>
            <w:textDirection w:val="tbRlV"/>
            <w:vAlign w:val="center"/>
          </w:tcPr>
          <w:p>
            <w:pPr>
              <w:spacing w:beforeLines="0" w:afterLines="0" w:line="240" w:lineRule="exact"/>
              <w:jc w:val="center"/>
              <w:rPr>
                <w:rFonts w:hint="default"/>
                <w:sz w:val="21"/>
                <w:szCs w:val="24"/>
              </w:rPr>
            </w:pPr>
            <w:r>
              <w:rPr>
                <w:rFonts w:hint="eastAsia"/>
                <w:sz w:val="21"/>
                <w:szCs w:val="24"/>
              </w:rPr>
              <w:t>过程（</w:t>
            </w:r>
            <w:r>
              <w:rPr>
                <w:rFonts w:hint="default"/>
                <w:sz w:val="21"/>
                <w:szCs w:val="24"/>
              </w:rPr>
              <w:t>30</w:t>
            </w:r>
            <w:r>
              <w:rPr>
                <w:rFonts w:hint="eastAsia"/>
                <w:sz w:val="21"/>
                <w:szCs w:val="24"/>
              </w:rPr>
              <w:t>分）</w:t>
            </w:r>
          </w:p>
        </w:tc>
        <w:tc>
          <w:tcPr>
            <w:tcW w:w="323" w:type="pct"/>
            <w:vMerge w:val="restart"/>
            <w:tcBorders>
              <w:top w:val="nil"/>
              <w:left w:val="single" w:color="auto" w:sz="4" w:space="0"/>
              <w:bottom w:val="single" w:color="000000"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预算执行（</w:t>
            </w:r>
            <w:r>
              <w:rPr>
                <w:rFonts w:hint="default"/>
                <w:sz w:val="21"/>
                <w:szCs w:val="24"/>
              </w:rPr>
              <w:t>20</w:t>
            </w:r>
            <w:r>
              <w:rPr>
                <w:rFonts w:hint="eastAsia"/>
                <w:sz w:val="21"/>
                <w:szCs w:val="24"/>
              </w:rPr>
              <w:t>分）</w:t>
            </w:r>
          </w:p>
        </w:tc>
        <w:tc>
          <w:tcPr>
            <w:tcW w:w="573"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预算完成率（</w:t>
            </w:r>
            <w:r>
              <w:rPr>
                <w:rFonts w:hint="default"/>
                <w:sz w:val="21"/>
                <w:szCs w:val="24"/>
              </w:rPr>
              <w:t>4</w:t>
            </w:r>
            <w:r>
              <w:rPr>
                <w:rFonts w:hint="eastAsia"/>
                <w:sz w:val="21"/>
                <w:szCs w:val="24"/>
              </w:rPr>
              <w:t>分）</w:t>
            </w:r>
          </w:p>
        </w:tc>
        <w:tc>
          <w:tcPr>
            <w:tcW w:w="1230"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部门（单位）本年度预算完成数与预算数的比率，用以反映和考核部门（单位）预算完成程度。</w:t>
            </w:r>
          </w:p>
        </w:tc>
        <w:tc>
          <w:tcPr>
            <w:tcW w:w="1609"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预算完成率</w:t>
            </w:r>
            <w:r>
              <w:rPr>
                <w:rFonts w:hint="default"/>
                <w:sz w:val="21"/>
                <w:szCs w:val="24"/>
              </w:rPr>
              <w:t>=</w:t>
            </w:r>
            <w:r>
              <w:rPr>
                <w:rFonts w:hint="eastAsia"/>
                <w:sz w:val="21"/>
                <w:szCs w:val="24"/>
              </w:rPr>
              <w:t>（预算完成数</w:t>
            </w:r>
            <w:r>
              <w:rPr>
                <w:rFonts w:hint="default"/>
                <w:sz w:val="21"/>
                <w:szCs w:val="24"/>
              </w:rPr>
              <w:t>/</w:t>
            </w:r>
            <w:r>
              <w:rPr>
                <w:rFonts w:hint="eastAsia"/>
                <w:sz w:val="21"/>
                <w:szCs w:val="24"/>
              </w:rPr>
              <w:t>预算数）×</w:t>
            </w:r>
            <w:r>
              <w:rPr>
                <w:rFonts w:hint="default"/>
                <w:sz w:val="21"/>
                <w:szCs w:val="24"/>
              </w:rPr>
              <w:t>100%</w:t>
            </w:r>
            <w:r>
              <w:rPr>
                <w:rFonts w:hint="eastAsia"/>
                <w:sz w:val="21"/>
                <w:szCs w:val="24"/>
              </w:rPr>
              <w:t>。（完成年初预算计</w:t>
            </w:r>
            <w:r>
              <w:rPr>
                <w:rFonts w:hint="default"/>
                <w:sz w:val="21"/>
                <w:szCs w:val="24"/>
              </w:rPr>
              <w:t>4</w:t>
            </w:r>
            <w:r>
              <w:rPr>
                <w:rFonts w:hint="eastAsia"/>
                <w:sz w:val="21"/>
                <w:szCs w:val="24"/>
              </w:rPr>
              <w:t>分，未完成年初按比例扣减）</w:t>
            </w:r>
          </w:p>
          <w:p>
            <w:pPr>
              <w:spacing w:beforeLines="0" w:afterLines="0" w:line="240" w:lineRule="exact"/>
              <w:rPr>
                <w:rFonts w:hint="default"/>
                <w:sz w:val="21"/>
                <w:szCs w:val="24"/>
              </w:rPr>
            </w:pPr>
            <w:r>
              <w:rPr>
                <w:rFonts w:hint="eastAsia"/>
                <w:sz w:val="21"/>
                <w:szCs w:val="24"/>
              </w:rPr>
              <w:t>预算完成数：部门（单位）本年度实际完成的预算数。</w:t>
            </w:r>
          </w:p>
          <w:p>
            <w:pPr>
              <w:spacing w:beforeLines="0" w:afterLines="0" w:line="240" w:lineRule="exact"/>
              <w:rPr>
                <w:rFonts w:hint="default"/>
                <w:sz w:val="21"/>
                <w:szCs w:val="24"/>
              </w:rPr>
            </w:pPr>
            <w:r>
              <w:rPr>
                <w:rFonts w:hint="eastAsia"/>
                <w:sz w:val="21"/>
                <w:szCs w:val="24"/>
              </w:rPr>
              <w:t>预算数：财政部门批复的本年度部门（单位）预算数。</w:t>
            </w:r>
          </w:p>
        </w:tc>
        <w:tc>
          <w:tcPr>
            <w:tcW w:w="469" w:type="pct"/>
            <w:tcBorders>
              <w:top w:val="nil"/>
              <w:left w:val="nil"/>
              <w:bottom w:val="single" w:color="auto" w:sz="4" w:space="0"/>
              <w:right w:val="single" w:color="auto" w:sz="4" w:space="0"/>
              <w:tl2br w:val="nil"/>
              <w:tr2bl w:val="nil"/>
            </w:tcBorders>
            <w:noWrap/>
            <w:vAlign w:val="center"/>
          </w:tcPr>
          <w:p>
            <w:pPr>
              <w:tabs>
                <w:tab w:val="left" w:pos="550"/>
              </w:tabs>
              <w:spacing w:beforeLines="0" w:afterLines="0" w:line="240" w:lineRule="exact"/>
              <w:ind w:firstLine="210" w:firstLineChars="100"/>
              <w:jc w:val="left"/>
              <w:rPr>
                <w:rFonts w:hint="default"/>
                <w:sz w:val="21"/>
                <w:szCs w:val="24"/>
                <w:lang w:val="en-US" w:eastAsia="zh-CN"/>
              </w:rPr>
            </w:pPr>
            <w:r>
              <w:rPr>
                <w:rFonts w:hint="eastAsia"/>
                <w:sz w:val="21"/>
                <w:szCs w:val="24"/>
                <w:lang w:val="en-US" w:eastAsia="zh-CN"/>
              </w:rPr>
              <w:t>4</w:t>
            </w:r>
          </w:p>
        </w:tc>
        <w:tc>
          <w:tcPr>
            <w:tcW w:w="442" w:type="pct"/>
            <w:tcBorders>
              <w:top w:val="nil"/>
              <w:left w:val="nil"/>
              <w:bottom w:val="single" w:color="auto" w:sz="4" w:space="0"/>
              <w:right w:val="single" w:color="auto" w:sz="12" w:space="0"/>
              <w:tl2br w:val="nil"/>
              <w:tr2bl w:val="nil"/>
            </w:tcBorders>
            <w:noWrap/>
            <w:vAlign w:val="center"/>
          </w:tcPr>
          <w:p>
            <w:pPr>
              <w:spacing w:beforeLines="0" w:afterLines="0" w:line="240" w:lineRule="exact"/>
              <w:jc w:val="center"/>
              <w:rPr>
                <w:rFonts w:hint="eastAsia"/>
                <w:sz w:val="21"/>
                <w:szCs w:val="24"/>
                <w:lang w:eastAsia="zh-CN"/>
              </w:rPr>
            </w:pPr>
            <w:r>
              <w:rPr>
                <w:rFonts w:hint="eastAsia"/>
                <w:sz w:val="21"/>
                <w:szCs w:val="24"/>
                <w:lang w:eastAsia="zh-CN"/>
              </w:rPr>
              <w:t>完成年初预算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1459" w:hRule="atLeast"/>
          <w:jc w:val="center"/>
        </w:trPr>
        <w:tc>
          <w:tcPr>
            <w:tcW w:w="354" w:type="pct"/>
            <w:vMerge w:val="continue"/>
            <w:tcBorders>
              <w:top w:val="nil"/>
              <w:left w:val="single" w:color="auto" w:sz="12" w:space="0"/>
              <w:bottom w:val="single" w:color="000000"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323" w:type="pct"/>
            <w:vMerge w:val="continue"/>
            <w:tcBorders>
              <w:top w:val="nil"/>
              <w:left w:val="single" w:color="auto" w:sz="4" w:space="0"/>
              <w:bottom w:val="single" w:color="000000"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573"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预算调整率（</w:t>
            </w:r>
            <w:r>
              <w:rPr>
                <w:rFonts w:hint="default"/>
                <w:sz w:val="21"/>
                <w:szCs w:val="24"/>
              </w:rPr>
              <w:t>2</w:t>
            </w:r>
            <w:r>
              <w:rPr>
                <w:rFonts w:hint="eastAsia"/>
                <w:sz w:val="21"/>
                <w:szCs w:val="24"/>
              </w:rPr>
              <w:t>分）</w:t>
            </w:r>
          </w:p>
        </w:tc>
        <w:tc>
          <w:tcPr>
            <w:tcW w:w="1230"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部门（单位）本年度预算调整数与预算数的比率，用以反映和考核部门（单位）预算的调整程度。</w:t>
            </w:r>
          </w:p>
        </w:tc>
        <w:tc>
          <w:tcPr>
            <w:tcW w:w="1609"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预算调整率</w:t>
            </w:r>
            <w:r>
              <w:rPr>
                <w:rFonts w:hint="default"/>
                <w:sz w:val="21"/>
                <w:szCs w:val="24"/>
              </w:rPr>
              <w:t>=</w:t>
            </w:r>
            <w:r>
              <w:rPr>
                <w:rFonts w:hint="eastAsia"/>
                <w:sz w:val="21"/>
                <w:szCs w:val="24"/>
              </w:rPr>
              <w:t>（预算调整数</w:t>
            </w:r>
            <w:r>
              <w:rPr>
                <w:rFonts w:hint="default"/>
                <w:sz w:val="21"/>
                <w:szCs w:val="24"/>
              </w:rPr>
              <w:t>/</w:t>
            </w:r>
            <w:r>
              <w:rPr>
                <w:rFonts w:hint="eastAsia"/>
                <w:sz w:val="21"/>
                <w:szCs w:val="24"/>
              </w:rPr>
              <w:t>预算数）×</w:t>
            </w:r>
            <w:r>
              <w:rPr>
                <w:rFonts w:hint="default"/>
                <w:sz w:val="21"/>
                <w:szCs w:val="24"/>
              </w:rPr>
              <w:t>100%</w:t>
            </w:r>
            <w:r>
              <w:rPr>
                <w:rFonts w:hint="eastAsia"/>
                <w:sz w:val="21"/>
                <w:szCs w:val="24"/>
              </w:rPr>
              <w:t>。（未调整的计</w:t>
            </w:r>
            <w:r>
              <w:rPr>
                <w:rFonts w:hint="default"/>
                <w:sz w:val="21"/>
                <w:szCs w:val="24"/>
              </w:rPr>
              <w:t>2</w:t>
            </w:r>
            <w:r>
              <w:rPr>
                <w:rFonts w:hint="eastAsia"/>
                <w:sz w:val="21"/>
                <w:szCs w:val="24"/>
              </w:rPr>
              <w:t>分，调整了的除特殊原因外按比例扣减）</w:t>
            </w:r>
          </w:p>
          <w:p>
            <w:pPr>
              <w:spacing w:beforeLines="0" w:afterLines="0" w:line="240" w:lineRule="exact"/>
              <w:rPr>
                <w:rFonts w:hint="default"/>
                <w:sz w:val="21"/>
                <w:szCs w:val="24"/>
              </w:rPr>
            </w:pPr>
            <w:r>
              <w:rPr>
                <w:rFonts w:hint="eastAsia"/>
                <w:sz w:val="21"/>
                <w:szCs w:val="24"/>
              </w:rPr>
              <w:t>预算调整数：部门（单位）在本年度内涉及预算的追加、追减或结构调整的资金总和（因落实国家政策、发生不可抗力、上级部门或本级党委政府临时交办而产生的调整除外）。</w:t>
            </w:r>
          </w:p>
        </w:tc>
        <w:tc>
          <w:tcPr>
            <w:tcW w:w="469" w:type="pct"/>
            <w:tcBorders>
              <w:top w:val="nil"/>
              <w:left w:val="nil"/>
              <w:bottom w:val="single" w:color="auto" w:sz="4" w:space="0"/>
              <w:right w:val="single" w:color="auto" w:sz="4" w:space="0"/>
              <w:tl2br w:val="nil"/>
              <w:tr2bl w:val="nil"/>
            </w:tcBorders>
            <w:noWrap/>
            <w:vAlign w:val="center"/>
          </w:tcPr>
          <w:p>
            <w:pPr>
              <w:spacing w:beforeLines="0" w:afterLines="0" w:line="240" w:lineRule="exact"/>
              <w:jc w:val="center"/>
              <w:rPr>
                <w:rFonts w:hint="default"/>
                <w:sz w:val="21"/>
                <w:szCs w:val="24"/>
                <w:lang w:val="en-US" w:eastAsia="zh-CN"/>
              </w:rPr>
            </w:pPr>
            <w:r>
              <w:rPr>
                <w:rFonts w:hint="eastAsia"/>
                <w:sz w:val="21"/>
                <w:szCs w:val="24"/>
                <w:lang w:val="en-US" w:eastAsia="zh-CN"/>
              </w:rPr>
              <w:t>1.95</w:t>
            </w:r>
          </w:p>
        </w:tc>
        <w:tc>
          <w:tcPr>
            <w:tcW w:w="442" w:type="pct"/>
            <w:tcBorders>
              <w:top w:val="nil"/>
              <w:left w:val="nil"/>
              <w:bottom w:val="single" w:color="auto" w:sz="4" w:space="0"/>
              <w:right w:val="single" w:color="auto" w:sz="12" w:space="0"/>
              <w:tl2br w:val="nil"/>
              <w:tr2bl w:val="nil"/>
            </w:tcBorders>
            <w:noWrap/>
            <w:vAlign w:val="center"/>
          </w:tcPr>
          <w:p>
            <w:pPr>
              <w:spacing w:beforeLines="0" w:afterLines="0" w:line="240" w:lineRule="exact"/>
              <w:jc w:val="center"/>
              <w:rPr>
                <w:rFonts w:hint="default" w:eastAsia="宋体"/>
                <w:sz w:val="21"/>
                <w:szCs w:val="24"/>
                <w:lang w:val="en-US" w:eastAsia="zh-CN"/>
              </w:rPr>
            </w:pPr>
            <w:r>
              <w:rPr>
                <w:rFonts w:hint="eastAsia"/>
                <w:sz w:val="21"/>
                <w:szCs w:val="24"/>
                <w:lang w:eastAsia="zh-CN"/>
              </w:rPr>
              <w:t>预算调整率</w:t>
            </w:r>
            <w:r>
              <w:rPr>
                <w:rFonts w:hint="eastAsia"/>
                <w:sz w:val="21"/>
                <w:szCs w:val="24"/>
                <w:lang w:val="en-US" w:eastAsia="zh-CN"/>
              </w:rPr>
              <w:t>2.23%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1800" w:hRule="atLeast"/>
          <w:jc w:val="center"/>
        </w:trPr>
        <w:tc>
          <w:tcPr>
            <w:tcW w:w="354" w:type="pct"/>
            <w:vMerge w:val="continue"/>
            <w:tcBorders>
              <w:top w:val="nil"/>
              <w:left w:val="single" w:color="auto" w:sz="12" w:space="0"/>
              <w:bottom w:val="single" w:color="000000"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323" w:type="pct"/>
            <w:vMerge w:val="continue"/>
            <w:tcBorders>
              <w:top w:val="nil"/>
              <w:left w:val="single" w:color="auto" w:sz="4" w:space="0"/>
              <w:bottom w:val="single" w:color="000000"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573"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支付进度率（</w:t>
            </w:r>
            <w:r>
              <w:rPr>
                <w:rFonts w:hint="default"/>
                <w:sz w:val="21"/>
                <w:szCs w:val="24"/>
              </w:rPr>
              <w:t>2</w:t>
            </w:r>
            <w:r>
              <w:rPr>
                <w:rFonts w:hint="eastAsia"/>
                <w:sz w:val="21"/>
                <w:szCs w:val="24"/>
              </w:rPr>
              <w:t>分）</w:t>
            </w:r>
          </w:p>
        </w:tc>
        <w:tc>
          <w:tcPr>
            <w:tcW w:w="1230"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部门（单位）实际支付进度与既定支付进度的比率，用以反映和考核部门（单位）预算执行的及时性和均衡性程度。</w:t>
            </w:r>
          </w:p>
        </w:tc>
        <w:tc>
          <w:tcPr>
            <w:tcW w:w="1609"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支付进度率</w:t>
            </w:r>
            <w:r>
              <w:rPr>
                <w:rFonts w:hint="default"/>
                <w:sz w:val="21"/>
                <w:szCs w:val="24"/>
              </w:rPr>
              <w:t>=</w:t>
            </w:r>
            <w:r>
              <w:rPr>
                <w:rFonts w:hint="eastAsia"/>
                <w:sz w:val="21"/>
                <w:szCs w:val="24"/>
              </w:rPr>
              <w:t>（实际支付进度</w:t>
            </w:r>
            <w:r>
              <w:rPr>
                <w:rFonts w:hint="default"/>
                <w:sz w:val="21"/>
                <w:szCs w:val="24"/>
              </w:rPr>
              <w:t>/</w:t>
            </w:r>
            <w:r>
              <w:rPr>
                <w:rFonts w:hint="eastAsia"/>
                <w:sz w:val="21"/>
                <w:szCs w:val="24"/>
              </w:rPr>
              <w:t>既定支付进度）×</w:t>
            </w:r>
            <w:r>
              <w:rPr>
                <w:rFonts w:hint="default"/>
                <w:sz w:val="21"/>
                <w:szCs w:val="24"/>
              </w:rPr>
              <w:t>100%</w:t>
            </w:r>
            <w:r>
              <w:rPr>
                <w:rFonts w:hint="eastAsia"/>
                <w:sz w:val="21"/>
                <w:szCs w:val="24"/>
              </w:rPr>
              <w:t>。完成年终进度的计</w:t>
            </w:r>
            <w:r>
              <w:rPr>
                <w:rFonts w:hint="default"/>
                <w:sz w:val="21"/>
                <w:szCs w:val="24"/>
              </w:rPr>
              <w:t>1</w:t>
            </w:r>
            <w:r>
              <w:rPr>
                <w:rFonts w:hint="eastAsia"/>
                <w:sz w:val="21"/>
                <w:szCs w:val="24"/>
              </w:rPr>
              <w:t>分，按季度完成预算进度的计</w:t>
            </w:r>
            <w:r>
              <w:rPr>
                <w:rFonts w:hint="default"/>
                <w:sz w:val="21"/>
                <w:szCs w:val="24"/>
              </w:rPr>
              <w:t>1</w:t>
            </w:r>
            <w:r>
              <w:rPr>
                <w:rFonts w:hint="eastAsia"/>
                <w:sz w:val="21"/>
                <w:szCs w:val="24"/>
              </w:rPr>
              <w:t>分。</w:t>
            </w:r>
          </w:p>
          <w:p>
            <w:pPr>
              <w:spacing w:beforeLines="0" w:afterLines="0" w:line="240" w:lineRule="exact"/>
              <w:rPr>
                <w:rFonts w:hint="default"/>
                <w:sz w:val="21"/>
                <w:szCs w:val="24"/>
              </w:rPr>
            </w:pPr>
            <w:r>
              <w:rPr>
                <w:rFonts w:hint="eastAsia"/>
                <w:sz w:val="21"/>
                <w:szCs w:val="24"/>
              </w:rPr>
              <w:t>实际支付进度：部门（单位）在某一时点的支出预算执行总数与年度支出预算数的比率。</w:t>
            </w:r>
          </w:p>
          <w:p>
            <w:pPr>
              <w:spacing w:beforeLines="0" w:afterLines="0" w:line="240" w:lineRule="exact"/>
              <w:rPr>
                <w:rFonts w:hint="default"/>
                <w:sz w:val="21"/>
                <w:szCs w:val="24"/>
              </w:rPr>
            </w:pPr>
            <w:r>
              <w:rPr>
                <w:rFonts w:hint="eastAsia"/>
                <w:sz w:val="21"/>
                <w:szCs w:val="24"/>
              </w:rPr>
              <w:t>既定支付进度：由部门（单位）在申报部门整体绩效目标时，参照序时支付进度、前三年支付进度、同级部门平均支付进度水平等确定的，在某一时点应达到的支付进度（比率）。</w:t>
            </w:r>
          </w:p>
        </w:tc>
        <w:tc>
          <w:tcPr>
            <w:tcW w:w="469" w:type="pct"/>
            <w:tcBorders>
              <w:top w:val="nil"/>
              <w:left w:val="nil"/>
              <w:bottom w:val="single" w:color="auto" w:sz="4" w:space="0"/>
              <w:right w:val="single" w:color="auto" w:sz="4" w:space="0"/>
              <w:tl2br w:val="nil"/>
              <w:tr2bl w:val="nil"/>
            </w:tcBorders>
            <w:noWrap/>
            <w:vAlign w:val="center"/>
          </w:tcPr>
          <w:p>
            <w:pPr>
              <w:spacing w:beforeLines="0" w:afterLines="0" w:line="240" w:lineRule="exact"/>
              <w:jc w:val="center"/>
              <w:rPr>
                <w:rFonts w:hint="default"/>
                <w:sz w:val="21"/>
                <w:szCs w:val="24"/>
                <w:lang w:val="en-US" w:eastAsia="zh-CN"/>
              </w:rPr>
            </w:pPr>
            <w:r>
              <w:rPr>
                <w:rFonts w:hint="eastAsia"/>
                <w:sz w:val="21"/>
                <w:szCs w:val="24"/>
                <w:lang w:val="en-US" w:eastAsia="zh-CN"/>
              </w:rPr>
              <w:t>1.5</w:t>
            </w:r>
          </w:p>
        </w:tc>
        <w:tc>
          <w:tcPr>
            <w:tcW w:w="442" w:type="pct"/>
            <w:tcBorders>
              <w:top w:val="nil"/>
              <w:left w:val="nil"/>
              <w:bottom w:val="single" w:color="auto" w:sz="4" w:space="0"/>
              <w:right w:val="single" w:color="auto" w:sz="12" w:space="0"/>
              <w:tl2br w:val="nil"/>
              <w:tr2bl w:val="nil"/>
            </w:tcBorders>
            <w:noWrap/>
            <w:vAlign w:val="center"/>
          </w:tcPr>
          <w:p>
            <w:pPr>
              <w:spacing w:beforeLines="0" w:afterLines="0" w:line="240" w:lineRule="exact"/>
              <w:jc w:val="center"/>
              <w:rPr>
                <w:rFonts w:hint="eastAsia"/>
                <w:sz w:val="21"/>
                <w:szCs w:val="24"/>
                <w:lang w:eastAsia="zh-CN"/>
              </w:rPr>
            </w:pPr>
            <w:r>
              <w:rPr>
                <w:rFonts w:hint="eastAsia"/>
                <w:sz w:val="21"/>
                <w:szCs w:val="24"/>
                <w:lang w:eastAsia="zh-CN"/>
              </w:rPr>
              <w:t>按进度完成支付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1035" w:hRule="atLeast"/>
          <w:jc w:val="center"/>
        </w:trPr>
        <w:tc>
          <w:tcPr>
            <w:tcW w:w="354" w:type="pct"/>
            <w:vMerge w:val="continue"/>
            <w:tcBorders>
              <w:top w:val="nil"/>
              <w:left w:val="single" w:color="auto" w:sz="12" w:space="0"/>
              <w:bottom w:val="single" w:color="000000"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323" w:type="pct"/>
            <w:vMerge w:val="continue"/>
            <w:tcBorders>
              <w:top w:val="nil"/>
              <w:left w:val="single" w:color="auto" w:sz="4" w:space="0"/>
              <w:bottom w:val="single" w:color="000000"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573"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结转结余率（</w:t>
            </w:r>
            <w:r>
              <w:rPr>
                <w:rFonts w:hint="default"/>
                <w:sz w:val="21"/>
                <w:szCs w:val="24"/>
              </w:rPr>
              <w:t>2</w:t>
            </w:r>
            <w:r>
              <w:rPr>
                <w:rFonts w:hint="eastAsia"/>
                <w:sz w:val="21"/>
                <w:szCs w:val="24"/>
              </w:rPr>
              <w:t>分）</w:t>
            </w:r>
          </w:p>
        </w:tc>
        <w:tc>
          <w:tcPr>
            <w:tcW w:w="1230"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部门（单位）本年度结转结余总额与支出预算数的比率，用以反映和考核部门（单位）对本年度结转结余资金的实际控制程度。</w:t>
            </w:r>
          </w:p>
        </w:tc>
        <w:tc>
          <w:tcPr>
            <w:tcW w:w="1609"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结转结余率</w:t>
            </w:r>
            <w:r>
              <w:rPr>
                <w:rFonts w:hint="default"/>
                <w:sz w:val="21"/>
                <w:szCs w:val="24"/>
              </w:rPr>
              <w:t>=</w:t>
            </w:r>
            <w:r>
              <w:rPr>
                <w:rFonts w:hint="eastAsia"/>
                <w:sz w:val="21"/>
                <w:szCs w:val="24"/>
              </w:rPr>
              <w:t>结转结余总额</w:t>
            </w:r>
            <w:r>
              <w:rPr>
                <w:rFonts w:hint="default"/>
                <w:sz w:val="21"/>
                <w:szCs w:val="24"/>
              </w:rPr>
              <w:t>/</w:t>
            </w:r>
            <w:r>
              <w:rPr>
                <w:rFonts w:hint="eastAsia"/>
                <w:sz w:val="21"/>
                <w:szCs w:val="24"/>
              </w:rPr>
              <w:t>支出预算数×</w:t>
            </w:r>
            <w:r>
              <w:rPr>
                <w:rFonts w:hint="default"/>
                <w:sz w:val="21"/>
                <w:szCs w:val="24"/>
              </w:rPr>
              <w:t>100%</w:t>
            </w:r>
            <w:r>
              <w:rPr>
                <w:rFonts w:hint="eastAsia"/>
                <w:sz w:val="21"/>
                <w:szCs w:val="24"/>
              </w:rPr>
              <w:t>。低于</w:t>
            </w:r>
            <w:r>
              <w:rPr>
                <w:rFonts w:hint="default"/>
                <w:sz w:val="21"/>
                <w:szCs w:val="24"/>
              </w:rPr>
              <w:t>5%</w:t>
            </w:r>
            <w:r>
              <w:rPr>
                <w:rFonts w:hint="eastAsia"/>
                <w:sz w:val="21"/>
                <w:szCs w:val="24"/>
              </w:rPr>
              <w:t>的计</w:t>
            </w:r>
            <w:r>
              <w:rPr>
                <w:rFonts w:hint="default"/>
                <w:sz w:val="21"/>
                <w:szCs w:val="24"/>
              </w:rPr>
              <w:t>1</w:t>
            </w:r>
            <w:r>
              <w:rPr>
                <w:rFonts w:hint="eastAsia"/>
                <w:sz w:val="21"/>
                <w:szCs w:val="24"/>
              </w:rPr>
              <w:t>分，每超过</w:t>
            </w:r>
            <w:r>
              <w:rPr>
                <w:rFonts w:hint="default"/>
                <w:sz w:val="21"/>
                <w:szCs w:val="24"/>
              </w:rPr>
              <w:t>5</w:t>
            </w:r>
            <w:r>
              <w:rPr>
                <w:rFonts w:hint="eastAsia"/>
                <w:sz w:val="21"/>
                <w:szCs w:val="24"/>
              </w:rPr>
              <w:t>个百分点扣</w:t>
            </w:r>
            <w:r>
              <w:rPr>
                <w:rFonts w:hint="default"/>
                <w:sz w:val="21"/>
                <w:szCs w:val="24"/>
              </w:rPr>
              <w:t>1</w:t>
            </w:r>
            <w:r>
              <w:rPr>
                <w:rFonts w:hint="eastAsia"/>
                <w:sz w:val="21"/>
                <w:szCs w:val="24"/>
              </w:rPr>
              <w:t>分，扣完为止。</w:t>
            </w:r>
          </w:p>
          <w:p>
            <w:pPr>
              <w:spacing w:beforeLines="0" w:afterLines="0" w:line="240" w:lineRule="exact"/>
              <w:rPr>
                <w:rFonts w:hint="default"/>
                <w:sz w:val="21"/>
                <w:szCs w:val="24"/>
              </w:rPr>
            </w:pPr>
            <w:r>
              <w:rPr>
                <w:rFonts w:hint="eastAsia"/>
                <w:sz w:val="21"/>
                <w:szCs w:val="24"/>
              </w:rPr>
              <w:t>结转结余总额：部门（单位）本年度的结转资金与结余资金之和（以决算数为准）。</w:t>
            </w:r>
          </w:p>
        </w:tc>
        <w:tc>
          <w:tcPr>
            <w:tcW w:w="469" w:type="pct"/>
            <w:tcBorders>
              <w:top w:val="nil"/>
              <w:left w:val="nil"/>
              <w:bottom w:val="single" w:color="auto" w:sz="4" w:space="0"/>
              <w:right w:val="single" w:color="auto" w:sz="4" w:space="0"/>
              <w:tl2br w:val="nil"/>
              <w:tr2bl w:val="nil"/>
            </w:tcBorders>
            <w:noWrap/>
            <w:vAlign w:val="center"/>
          </w:tcPr>
          <w:p>
            <w:pPr>
              <w:spacing w:beforeLines="0" w:afterLines="0" w:line="240" w:lineRule="exact"/>
              <w:jc w:val="center"/>
              <w:rPr>
                <w:rFonts w:hint="eastAsia"/>
                <w:sz w:val="21"/>
                <w:szCs w:val="24"/>
                <w:lang w:val="en-US" w:eastAsia="zh-CN"/>
              </w:rPr>
            </w:pPr>
            <w:r>
              <w:rPr>
                <w:rFonts w:hint="eastAsia"/>
                <w:sz w:val="21"/>
                <w:szCs w:val="24"/>
                <w:lang w:val="en-US" w:eastAsia="zh-CN"/>
              </w:rPr>
              <w:t>1</w:t>
            </w:r>
          </w:p>
        </w:tc>
        <w:tc>
          <w:tcPr>
            <w:tcW w:w="442" w:type="pct"/>
            <w:tcBorders>
              <w:top w:val="nil"/>
              <w:left w:val="nil"/>
              <w:bottom w:val="single" w:color="auto" w:sz="4" w:space="0"/>
              <w:right w:val="single" w:color="auto" w:sz="12" w:space="0"/>
              <w:tl2br w:val="nil"/>
              <w:tr2bl w:val="nil"/>
            </w:tcBorders>
            <w:noWrap/>
            <w:vAlign w:val="center"/>
          </w:tcPr>
          <w:p>
            <w:pPr>
              <w:spacing w:beforeLines="0" w:afterLines="0" w:line="240" w:lineRule="exact"/>
              <w:jc w:val="center"/>
              <w:rPr>
                <w:rFonts w:hint="default"/>
                <w:sz w:val="21"/>
                <w:szCs w:val="24"/>
                <w:lang w:val="en-US" w:eastAsia="zh-CN"/>
              </w:rPr>
            </w:pPr>
            <w:r>
              <w:rPr>
                <w:rFonts w:hint="eastAsia"/>
                <w:sz w:val="21"/>
                <w:szCs w:val="24"/>
                <w:lang w:eastAsia="zh-CN"/>
              </w:rPr>
              <w:t>低于</w:t>
            </w:r>
            <w:r>
              <w:rPr>
                <w:rFonts w:hint="eastAsia"/>
                <w:sz w:val="21"/>
                <w:szCs w:val="24"/>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1247" w:hRule="atLeast"/>
          <w:jc w:val="center"/>
        </w:trPr>
        <w:tc>
          <w:tcPr>
            <w:tcW w:w="354" w:type="pct"/>
            <w:vMerge w:val="continue"/>
            <w:tcBorders>
              <w:top w:val="nil"/>
              <w:left w:val="single" w:color="auto" w:sz="12" w:space="0"/>
              <w:bottom w:val="single" w:color="000000"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323" w:type="pct"/>
            <w:vMerge w:val="continue"/>
            <w:tcBorders>
              <w:top w:val="nil"/>
              <w:left w:val="single" w:color="auto" w:sz="4" w:space="0"/>
              <w:bottom w:val="single" w:color="000000"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573"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结转结余变动率（</w:t>
            </w:r>
            <w:r>
              <w:rPr>
                <w:rFonts w:hint="default"/>
                <w:sz w:val="21"/>
                <w:szCs w:val="24"/>
              </w:rPr>
              <w:t>2</w:t>
            </w:r>
            <w:r>
              <w:rPr>
                <w:rFonts w:hint="eastAsia"/>
                <w:sz w:val="21"/>
                <w:szCs w:val="24"/>
              </w:rPr>
              <w:t>分）</w:t>
            </w:r>
          </w:p>
        </w:tc>
        <w:tc>
          <w:tcPr>
            <w:tcW w:w="1230"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部门（单位）本年度结转结余资金总额与上年度结转结余资金总额的变动比率，用以反映和考核部门（单位）对控制结转结余资金的努力程度。</w:t>
            </w:r>
          </w:p>
        </w:tc>
        <w:tc>
          <w:tcPr>
            <w:tcW w:w="1609"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结转结余变动率</w:t>
            </w:r>
            <w:r>
              <w:rPr>
                <w:rFonts w:hint="default"/>
                <w:sz w:val="21"/>
                <w:szCs w:val="24"/>
              </w:rPr>
              <w:t>=[</w:t>
            </w:r>
            <w:r>
              <w:rPr>
                <w:rFonts w:hint="eastAsia"/>
                <w:sz w:val="21"/>
                <w:szCs w:val="24"/>
              </w:rPr>
              <w:t>（本年度累计结转结余资金总额</w:t>
            </w:r>
            <w:r>
              <w:rPr>
                <w:rFonts w:hint="default"/>
                <w:sz w:val="21"/>
                <w:szCs w:val="24"/>
              </w:rPr>
              <w:t>-</w:t>
            </w:r>
            <w:r>
              <w:rPr>
                <w:rFonts w:hint="eastAsia"/>
                <w:sz w:val="21"/>
                <w:szCs w:val="24"/>
              </w:rPr>
              <w:t>上年度累计结转结余资金总额）</w:t>
            </w:r>
            <w:r>
              <w:rPr>
                <w:rFonts w:hint="default"/>
                <w:sz w:val="21"/>
                <w:szCs w:val="24"/>
              </w:rPr>
              <w:t>/</w:t>
            </w:r>
            <w:r>
              <w:rPr>
                <w:rFonts w:hint="eastAsia"/>
                <w:sz w:val="21"/>
                <w:szCs w:val="24"/>
              </w:rPr>
              <w:t>上年度累计结转结余资金总额</w:t>
            </w:r>
            <w:r>
              <w:rPr>
                <w:rFonts w:hint="default"/>
                <w:sz w:val="21"/>
                <w:szCs w:val="24"/>
              </w:rPr>
              <w:t>]</w:t>
            </w:r>
            <w:r>
              <w:rPr>
                <w:rFonts w:hint="eastAsia"/>
                <w:sz w:val="21"/>
                <w:szCs w:val="24"/>
              </w:rPr>
              <w:t>×</w:t>
            </w:r>
            <w:r>
              <w:rPr>
                <w:rFonts w:hint="default"/>
                <w:sz w:val="21"/>
                <w:szCs w:val="24"/>
              </w:rPr>
              <w:t>100%</w:t>
            </w:r>
            <w:r>
              <w:rPr>
                <w:rFonts w:hint="eastAsia"/>
                <w:sz w:val="21"/>
                <w:szCs w:val="24"/>
              </w:rPr>
              <w:t>。（低于</w:t>
            </w:r>
            <w:r>
              <w:rPr>
                <w:rFonts w:hint="default"/>
                <w:sz w:val="21"/>
                <w:szCs w:val="24"/>
              </w:rPr>
              <w:t>15%</w:t>
            </w:r>
            <w:r>
              <w:rPr>
                <w:rFonts w:hint="eastAsia"/>
                <w:sz w:val="21"/>
                <w:szCs w:val="24"/>
              </w:rPr>
              <w:t>的计</w:t>
            </w:r>
            <w:r>
              <w:rPr>
                <w:rFonts w:hint="default"/>
                <w:sz w:val="21"/>
                <w:szCs w:val="24"/>
              </w:rPr>
              <w:t>2</w:t>
            </w:r>
            <w:r>
              <w:rPr>
                <w:rFonts w:hint="eastAsia"/>
                <w:sz w:val="21"/>
                <w:szCs w:val="24"/>
              </w:rPr>
              <w:t>分，每超过</w:t>
            </w:r>
            <w:r>
              <w:rPr>
                <w:rFonts w:hint="default"/>
                <w:sz w:val="21"/>
                <w:szCs w:val="24"/>
              </w:rPr>
              <w:t>5</w:t>
            </w:r>
            <w:r>
              <w:rPr>
                <w:rFonts w:hint="eastAsia"/>
                <w:sz w:val="21"/>
                <w:szCs w:val="24"/>
              </w:rPr>
              <w:t>个百分点扣</w:t>
            </w:r>
            <w:r>
              <w:rPr>
                <w:rFonts w:hint="default"/>
                <w:sz w:val="21"/>
                <w:szCs w:val="24"/>
              </w:rPr>
              <w:t>1</w:t>
            </w:r>
            <w:r>
              <w:rPr>
                <w:rFonts w:hint="eastAsia"/>
                <w:sz w:val="21"/>
                <w:szCs w:val="24"/>
              </w:rPr>
              <w:t>分，扣完为止）</w:t>
            </w:r>
          </w:p>
        </w:tc>
        <w:tc>
          <w:tcPr>
            <w:tcW w:w="469" w:type="pct"/>
            <w:tcBorders>
              <w:top w:val="nil"/>
              <w:left w:val="nil"/>
              <w:bottom w:val="single" w:color="auto" w:sz="4" w:space="0"/>
              <w:right w:val="single" w:color="auto" w:sz="4" w:space="0"/>
              <w:tl2br w:val="nil"/>
              <w:tr2bl w:val="nil"/>
            </w:tcBorders>
            <w:noWrap/>
            <w:vAlign w:val="center"/>
          </w:tcPr>
          <w:p>
            <w:pPr>
              <w:spacing w:beforeLines="0" w:afterLines="0" w:line="240" w:lineRule="exact"/>
              <w:jc w:val="center"/>
              <w:rPr>
                <w:rFonts w:hint="eastAsia"/>
                <w:sz w:val="21"/>
                <w:szCs w:val="24"/>
                <w:lang w:val="en-US" w:eastAsia="zh-CN"/>
              </w:rPr>
            </w:pPr>
            <w:r>
              <w:rPr>
                <w:rFonts w:hint="eastAsia"/>
                <w:sz w:val="21"/>
                <w:szCs w:val="24"/>
                <w:lang w:val="en-US" w:eastAsia="zh-CN"/>
              </w:rPr>
              <w:t>0</w:t>
            </w:r>
          </w:p>
        </w:tc>
        <w:tc>
          <w:tcPr>
            <w:tcW w:w="442" w:type="pct"/>
            <w:tcBorders>
              <w:top w:val="nil"/>
              <w:left w:val="nil"/>
              <w:bottom w:val="single" w:color="auto" w:sz="4" w:space="0"/>
              <w:right w:val="single" w:color="auto" w:sz="12" w:space="0"/>
              <w:tl2br w:val="nil"/>
              <w:tr2bl w:val="nil"/>
            </w:tcBorders>
            <w:noWrap/>
            <w:vAlign w:val="center"/>
          </w:tcPr>
          <w:p>
            <w:pPr>
              <w:spacing w:beforeLines="0" w:afterLines="0" w:line="240" w:lineRule="exact"/>
              <w:jc w:val="center"/>
              <w:rPr>
                <w:rFonts w:hint="default"/>
                <w:sz w:val="21"/>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1153" w:hRule="atLeast"/>
          <w:jc w:val="center"/>
        </w:trPr>
        <w:tc>
          <w:tcPr>
            <w:tcW w:w="354" w:type="pct"/>
            <w:vMerge w:val="continue"/>
            <w:tcBorders>
              <w:top w:val="nil"/>
              <w:left w:val="single" w:color="auto" w:sz="12" w:space="0"/>
              <w:bottom w:val="single" w:color="000000"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323" w:type="pct"/>
            <w:vMerge w:val="continue"/>
            <w:tcBorders>
              <w:top w:val="nil"/>
              <w:left w:val="single" w:color="auto" w:sz="4" w:space="0"/>
              <w:bottom w:val="single" w:color="000000"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573"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公用经费控制率（</w:t>
            </w:r>
            <w:r>
              <w:rPr>
                <w:rFonts w:hint="default"/>
                <w:sz w:val="21"/>
                <w:szCs w:val="24"/>
              </w:rPr>
              <w:t>2</w:t>
            </w:r>
            <w:r>
              <w:rPr>
                <w:rFonts w:hint="eastAsia"/>
                <w:sz w:val="21"/>
                <w:szCs w:val="24"/>
              </w:rPr>
              <w:t>分）</w:t>
            </w:r>
          </w:p>
        </w:tc>
        <w:tc>
          <w:tcPr>
            <w:tcW w:w="1230"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部门（单位）本年度实际支出的公用经费总额与预算安排的公用经费总额的比率，用以反映和考核部门（单位）对机构运转成本的实际控制程度。</w:t>
            </w:r>
          </w:p>
        </w:tc>
        <w:tc>
          <w:tcPr>
            <w:tcW w:w="1609"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公用经费控制率</w:t>
            </w:r>
            <w:r>
              <w:rPr>
                <w:rFonts w:hint="default"/>
                <w:sz w:val="21"/>
                <w:szCs w:val="24"/>
              </w:rPr>
              <w:t>=</w:t>
            </w:r>
            <w:r>
              <w:rPr>
                <w:rFonts w:hint="eastAsia"/>
                <w:sz w:val="21"/>
                <w:szCs w:val="24"/>
              </w:rPr>
              <w:t>（实际支出公用经费总额</w:t>
            </w:r>
            <w:r>
              <w:rPr>
                <w:rFonts w:hint="default"/>
                <w:sz w:val="21"/>
                <w:szCs w:val="24"/>
              </w:rPr>
              <w:t>/</w:t>
            </w:r>
            <w:r>
              <w:rPr>
                <w:rFonts w:hint="eastAsia"/>
                <w:sz w:val="21"/>
                <w:szCs w:val="24"/>
              </w:rPr>
              <w:t>预算安排公用经费总额）×</w:t>
            </w:r>
            <w:r>
              <w:rPr>
                <w:rFonts w:hint="default"/>
                <w:sz w:val="21"/>
                <w:szCs w:val="24"/>
              </w:rPr>
              <w:t>100%</w:t>
            </w:r>
            <w:r>
              <w:rPr>
                <w:rFonts w:hint="eastAsia"/>
                <w:sz w:val="21"/>
                <w:szCs w:val="24"/>
              </w:rPr>
              <w:t>。（为</w:t>
            </w:r>
            <w:r>
              <w:rPr>
                <w:rFonts w:hint="default"/>
                <w:sz w:val="21"/>
                <w:szCs w:val="24"/>
              </w:rPr>
              <w:t>100%</w:t>
            </w:r>
            <w:r>
              <w:rPr>
                <w:rFonts w:hint="eastAsia"/>
                <w:sz w:val="21"/>
                <w:szCs w:val="24"/>
              </w:rPr>
              <w:t>的计</w:t>
            </w:r>
            <w:r>
              <w:rPr>
                <w:rFonts w:hint="default"/>
                <w:sz w:val="21"/>
                <w:szCs w:val="24"/>
              </w:rPr>
              <w:t>2</w:t>
            </w:r>
            <w:r>
              <w:rPr>
                <w:rFonts w:hint="eastAsia"/>
                <w:sz w:val="21"/>
                <w:szCs w:val="24"/>
              </w:rPr>
              <w:t>分，每超过</w:t>
            </w:r>
            <w:r>
              <w:rPr>
                <w:rFonts w:hint="default"/>
                <w:sz w:val="21"/>
                <w:szCs w:val="24"/>
              </w:rPr>
              <w:t>1</w:t>
            </w:r>
            <w:r>
              <w:rPr>
                <w:rFonts w:hint="eastAsia"/>
                <w:sz w:val="21"/>
                <w:szCs w:val="24"/>
              </w:rPr>
              <w:t>个百分点扣</w:t>
            </w:r>
            <w:r>
              <w:rPr>
                <w:rFonts w:hint="default"/>
                <w:sz w:val="21"/>
                <w:szCs w:val="24"/>
              </w:rPr>
              <w:t>0.1</w:t>
            </w:r>
            <w:r>
              <w:rPr>
                <w:rFonts w:hint="eastAsia"/>
                <w:sz w:val="21"/>
                <w:szCs w:val="24"/>
              </w:rPr>
              <w:t>分，扣完为止）</w:t>
            </w:r>
          </w:p>
        </w:tc>
        <w:tc>
          <w:tcPr>
            <w:tcW w:w="469" w:type="pct"/>
            <w:tcBorders>
              <w:top w:val="nil"/>
              <w:left w:val="nil"/>
              <w:bottom w:val="single" w:color="auto" w:sz="4" w:space="0"/>
              <w:right w:val="single" w:color="auto" w:sz="4" w:space="0"/>
              <w:tl2br w:val="nil"/>
              <w:tr2bl w:val="nil"/>
            </w:tcBorders>
            <w:noWrap/>
            <w:vAlign w:val="center"/>
          </w:tcPr>
          <w:p>
            <w:pPr>
              <w:spacing w:beforeLines="0" w:afterLines="0" w:line="240" w:lineRule="exact"/>
              <w:jc w:val="center"/>
              <w:rPr>
                <w:rFonts w:hint="eastAsia"/>
                <w:sz w:val="21"/>
                <w:szCs w:val="24"/>
                <w:lang w:val="en-US" w:eastAsia="zh-CN"/>
              </w:rPr>
            </w:pPr>
            <w:r>
              <w:rPr>
                <w:rFonts w:hint="eastAsia"/>
                <w:sz w:val="21"/>
                <w:szCs w:val="24"/>
                <w:lang w:val="en-US" w:eastAsia="zh-CN"/>
              </w:rPr>
              <w:t>2</w:t>
            </w:r>
          </w:p>
        </w:tc>
        <w:tc>
          <w:tcPr>
            <w:tcW w:w="442" w:type="pct"/>
            <w:tcBorders>
              <w:top w:val="nil"/>
              <w:left w:val="nil"/>
              <w:bottom w:val="single" w:color="auto" w:sz="4" w:space="0"/>
              <w:right w:val="single" w:color="auto" w:sz="12" w:space="0"/>
              <w:tl2br w:val="nil"/>
              <w:tr2bl w:val="nil"/>
            </w:tcBorders>
            <w:noWrap/>
            <w:vAlign w:val="center"/>
          </w:tcPr>
          <w:p>
            <w:pPr>
              <w:spacing w:beforeLines="0" w:afterLines="0" w:line="240" w:lineRule="exact"/>
              <w:jc w:val="center"/>
              <w:rPr>
                <w:rFonts w:hint="eastAsia"/>
                <w:sz w:val="21"/>
                <w:szCs w:val="24"/>
                <w:lang w:val="en-US" w:eastAsia="zh-CN"/>
              </w:rPr>
            </w:pPr>
            <w:r>
              <w:rPr>
                <w:rFonts w:hint="eastAsia"/>
                <w:sz w:val="21"/>
                <w:szCs w:val="24"/>
                <w:lang w:val="en-US" w:eastAsia="zh-CN"/>
              </w:rPr>
              <w:t>公用经费严格按照</w:t>
            </w:r>
          </w:p>
          <w:p>
            <w:pPr>
              <w:spacing w:beforeLines="0" w:afterLines="0" w:line="240" w:lineRule="exact"/>
              <w:jc w:val="center"/>
              <w:rPr>
                <w:rFonts w:hint="eastAsia"/>
                <w:sz w:val="21"/>
                <w:szCs w:val="24"/>
                <w:lang w:val="en-US" w:eastAsia="zh-CN"/>
              </w:rPr>
            </w:pPr>
            <w:r>
              <w:rPr>
                <w:rFonts w:hint="eastAsia"/>
                <w:sz w:val="21"/>
                <w:szCs w:val="24"/>
                <w:lang w:val="en-US" w:eastAsia="zh-CN"/>
              </w:rPr>
              <w:t>预算执行，未超过</w:t>
            </w:r>
          </w:p>
          <w:p>
            <w:pPr>
              <w:spacing w:beforeLines="0" w:afterLines="0" w:line="240" w:lineRule="exact"/>
              <w:jc w:val="center"/>
              <w:rPr>
                <w:rFonts w:hint="default"/>
                <w:sz w:val="21"/>
                <w:szCs w:val="24"/>
                <w:lang w:val="en-US" w:eastAsia="zh-CN"/>
              </w:rPr>
            </w:pPr>
            <w:r>
              <w:rPr>
                <w:rFonts w:hint="eastAsia"/>
                <w:sz w:val="21"/>
                <w:szCs w:val="24"/>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1172" w:hRule="atLeast"/>
          <w:jc w:val="center"/>
        </w:trPr>
        <w:tc>
          <w:tcPr>
            <w:tcW w:w="354" w:type="pct"/>
            <w:vMerge w:val="continue"/>
            <w:tcBorders>
              <w:top w:val="nil"/>
              <w:left w:val="single" w:color="auto" w:sz="12" w:space="0"/>
              <w:bottom w:val="single" w:color="000000"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323" w:type="pct"/>
            <w:vMerge w:val="continue"/>
            <w:tcBorders>
              <w:top w:val="nil"/>
              <w:left w:val="single" w:color="auto" w:sz="4" w:space="0"/>
              <w:bottom w:val="single" w:color="000000"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573"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“三公经费”控制率（</w:t>
            </w:r>
            <w:r>
              <w:rPr>
                <w:rFonts w:hint="default"/>
                <w:sz w:val="21"/>
                <w:szCs w:val="24"/>
              </w:rPr>
              <w:t>2</w:t>
            </w:r>
            <w:r>
              <w:rPr>
                <w:rFonts w:hint="eastAsia"/>
                <w:sz w:val="21"/>
                <w:szCs w:val="24"/>
              </w:rPr>
              <w:t>分）</w:t>
            </w:r>
          </w:p>
        </w:tc>
        <w:tc>
          <w:tcPr>
            <w:tcW w:w="1230"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部门（单位）本年度“三公经费”实际支出数与预算安排数的比率，用以反映和考核部门（单位）对“三公经费”的实际控制程度。</w:t>
            </w:r>
          </w:p>
        </w:tc>
        <w:tc>
          <w:tcPr>
            <w:tcW w:w="1609"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“三公经费”控制率</w:t>
            </w:r>
            <w:r>
              <w:rPr>
                <w:rFonts w:hint="default"/>
                <w:sz w:val="21"/>
                <w:szCs w:val="24"/>
              </w:rPr>
              <w:t>=</w:t>
            </w:r>
            <w:r>
              <w:rPr>
                <w:rFonts w:hint="eastAsia"/>
                <w:sz w:val="21"/>
                <w:szCs w:val="24"/>
              </w:rPr>
              <w:t>（“三公经费”实际支出数</w:t>
            </w:r>
            <w:r>
              <w:rPr>
                <w:rFonts w:hint="default"/>
                <w:sz w:val="21"/>
                <w:szCs w:val="24"/>
              </w:rPr>
              <w:t>/</w:t>
            </w:r>
            <w:r>
              <w:rPr>
                <w:rFonts w:hint="eastAsia"/>
                <w:sz w:val="21"/>
                <w:szCs w:val="24"/>
              </w:rPr>
              <w:t>“三公经费”预算安排数）×</w:t>
            </w:r>
            <w:r>
              <w:rPr>
                <w:rFonts w:hint="default"/>
                <w:sz w:val="21"/>
                <w:szCs w:val="24"/>
              </w:rPr>
              <w:t>100%</w:t>
            </w:r>
            <w:r>
              <w:rPr>
                <w:rFonts w:hint="eastAsia"/>
                <w:sz w:val="21"/>
                <w:szCs w:val="24"/>
              </w:rPr>
              <w:t>。（为</w:t>
            </w:r>
            <w:r>
              <w:rPr>
                <w:rFonts w:hint="default"/>
                <w:sz w:val="21"/>
                <w:szCs w:val="24"/>
              </w:rPr>
              <w:t>100%</w:t>
            </w:r>
            <w:r>
              <w:rPr>
                <w:rFonts w:hint="eastAsia"/>
                <w:sz w:val="21"/>
                <w:szCs w:val="24"/>
              </w:rPr>
              <w:t>的计</w:t>
            </w:r>
            <w:r>
              <w:rPr>
                <w:rFonts w:hint="default"/>
                <w:sz w:val="21"/>
                <w:szCs w:val="24"/>
              </w:rPr>
              <w:t>2</w:t>
            </w:r>
            <w:r>
              <w:rPr>
                <w:rFonts w:hint="eastAsia"/>
                <w:sz w:val="21"/>
                <w:szCs w:val="24"/>
              </w:rPr>
              <w:t>分，每超过</w:t>
            </w:r>
            <w:r>
              <w:rPr>
                <w:rFonts w:hint="default"/>
                <w:sz w:val="21"/>
                <w:szCs w:val="24"/>
              </w:rPr>
              <w:t>1</w:t>
            </w:r>
            <w:r>
              <w:rPr>
                <w:rFonts w:hint="eastAsia"/>
                <w:sz w:val="21"/>
                <w:szCs w:val="24"/>
              </w:rPr>
              <w:t>个百分点扣</w:t>
            </w:r>
            <w:r>
              <w:rPr>
                <w:rFonts w:hint="default"/>
                <w:sz w:val="21"/>
                <w:szCs w:val="24"/>
              </w:rPr>
              <w:t>0.5</w:t>
            </w:r>
            <w:r>
              <w:rPr>
                <w:rFonts w:hint="eastAsia"/>
                <w:sz w:val="21"/>
                <w:szCs w:val="24"/>
              </w:rPr>
              <w:t>分，扣完为止）</w:t>
            </w:r>
          </w:p>
        </w:tc>
        <w:tc>
          <w:tcPr>
            <w:tcW w:w="469" w:type="pct"/>
            <w:tcBorders>
              <w:top w:val="nil"/>
              <w:left w:val="nil"/>
              <w:bottom w:val="single" w:color="auto" w:sz="4" w:space="0"/>
              <w:right w:val="single" w:color="auto" w:sz="4" w:space="0"/>
              <w:tl2br w:val="nil"/>
              <w:tr2bl w:val="nil"/>
            </w:tcBorders>
            <w:noWrap/>
            <w:vAlign w:val="center"/>
          </w:tcPr>
          <w:p>
            <w:pPr>
              <w:spacing w:beforeLines="0" w:afterLines="0" w:line="240" w:lineRule="exact"/>
              <w:jc w:val="center"/>
              <w:rPr>
                <w:rFonts w:hint="eastAsia"/>
                <w:sz w:val="21"/>
                <w:szCs w:val="24"/>
                <w:lang w:val="en-US" w:eastAsia="zh-CN"/>
              </w:rPr>
            </w:pPr>
            <w:r>
              <w:rPr>
                <w:rFonts w:hint="eastAsia"/>
                <w:sz w:val="21"/>
                <w:szCs w:val="24"/>
                <w:lang w:val="en-US" w:eastAsia="zh-CN"/>
              </w:rPr>
              <w:t>2</w:t>
            </w:r>
          </w:p>
        </w:tc>
        <w:tc>
          <w:tcPr>
            <w:tcW w:w="442" w:type="pct"/>
            <w:tcBorders>
              <w:top w:val="nil"/>
              <w:left w:val="nil"/>
              <w:bottom w:val="single" w:color="auto" w:sz="4" w:space="0"/>
              <w:right w:val="single" w:color="auto" w:sz="12" w:space="0"/>
              <w:tl2br w:val="nil"/>
              <w:tr2bl w:val="nil"/>
            </w:tcBorders>
            <w:noWrap/>
            <w:vAlign w:val="center"/>
          </w:tcPr>
          <w:p>
            <w:pPr>
              <w:spacing w:beforeLines="0" w:afterLines="0" w:line="240" w:lineRule="exact"/>
              <w:jc w:val="center"/>
              <w:rPr>
                <w:rFonts w:hint="eastAsia"/>
                <w:sz w:val="21"/>
                <w:szCs w:val="24"/>
                <w:lang w:eastAsia="zh-CN"/>
              </w:rPr>
            </w:pPr>
            <w:r>
              <w:rPr>
                <w:rFonts w:hint="eastAsia"/>
                <w:sz w:val="21"/>
                <w:szCs w:val="24"/>
                <w:lang w:eastAsia="zh-CN"/>
              </w:rPr>
              <w:t>公用经费控制率</w:t>
            </w:r>
          </w:p>
          <w:p>
            <w:pPr>
              <w:spacing w:beforeLines="0" w:afterLines="0" w:line="240" w:lineRule="exact"/>
              <w:jc w:val="center"/>
              <w:rPr>
                <w:rFonts w:hint="default"/>
                <w:sz w:val="21"/>
                <w:szCs w:val="24"/>
              </w:rPr>
            </w:pPr>
            <w:r>
              <w:rPr>
                <w:rFonts w:hint="eastAsia"/>
                <w:sz w:val="21"/>
                <w:szCs w:val="24"/>
                <w:lang w:eastAsia="zh-CN"/>
              </w:rPr>
              <w:t>为</w:t>
            </w:r>
            <w:r>
              <w:rPr>
                <w:rFonts w:hint="eastAsia"/>
                <w:sz w:val="21"/>
                <w:szCs w:val="24"/>
                <w:lang w:val="en-US" w:eastAsia="zh-CN"/>
              </w:rPr>
              <w:t>59.13%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1500" w:hRule="atLeast"/>
          <w:jc w:val="center"/>
        </w:trPr>
        <w:tc>
          <w:tcPr>
            <w:tcW w:w="354" w:type="pct"/>
            <w:vMerge w:val="continue"/>
            <w:tcBorders>
              <w:top w:val="nil"/>
              <w:left w:val="single" w:color="auto" w:sz="12" w:space="0"/>
              <w:bottom w:val="single" w:color="000000"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323" w:type="pct"/>
            <w:vMerge w:val="continue"/>
            <w:tcBorders>
              <w:top w:val="nil"/>
              <w:left w:val="single" w:color="auto" w:sz="4" w:space="0"/>
              <w:bottom w:val="single" w:color="000000"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573"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政府采购执行率（</w:t>
            </w:r>
            <w:r>
              <w:rPr>
                <w:rFonts w:hint="default"/>
                <w:sz w:val="21"/>
                <w:szCs w:val="24"/>
              </w:rPr>
              <w:t>4</w:t>
            </w:r>
            <w:r>
              <w:rPr>
                <w:rFonts w:hint="eastAsia"/>
                <w:sz w:val="21"/>
                <w:szCs w:val="24"/>
              </w:rPr>
              <w:t>分）</w:t>
            </w:r>
          </w:p>
        </w:tc>
        <w:tc>
          <w:tcPr>
            <w:tcW w:w="1230"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部门（单位）本年度实际政府采购金额与年初政府采购预算的比率，用以反映和考核部门（单位）政府采购预算执行情况。</w:t>
            </w:r>
          </w:p>
        </w:tc>
        <w:tc>
          <w:tcPr>
            <w:tcW w:w="1609"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政府采购执行率</w:t>
            </w:r>
            <w:r>
              <w:rPr>
                <w:rFonts w:hint="default"/>
                <w:sz w:val="21"/>
                <w:szCs w:val="24"/>
              </w:rPr>
              <w:t>=</w:t>
            </w:r>
            <w:r>
              <w:rPr>
                <w:rFonts w:hint="eastAsia"/>
                <w:sz w:val="21"/>
                <w:szCs w:val="24"/>
              </w:rPr>
              <w:t>（实际政府采购金额</w:t>
            </w:r>
            <w:r>
              <w:rPr>
                <w:rFonts w:hint="default"/>
                <w:sz w:val="21"/>
                <w:szCs w:val="24"/>
              </w:rPr>
              <w:t>/</w:t>
            </w:r>
            <w:r>
              <w:rPr>
                <w:rFonts w:hint="eastAsia"/>
                <w:sz w:val="21"/>
                <w:szCs w:val="24"/>
              </w:rPr>
              <w:t>政府采购预算数）×</w:t>
            </w:r>
            <w:r>
              <w:rPr>
                <w:rFonts w:hint="default"/>
                <w:sz w:val="21"/>
                <w:szCs w:val="24"/>
              </w:rPr>
              <w:t>100%</w:t>
            </w:r>
            <w:r>
              <w:rPr>
                <w:rFonts w:hint="eastAsia"/>
                <w:sz w:val="21"/>
                <w:szCs w:val="24"/>
              </w:rPr>
              <w:t>。（为</w:t>
            </w:r>
            <w:r>
              <w:rPr>
                <w:rFonts w:hint="default"/>
                <w:sz w:val="21"/>
                <w:szCs w:val="24"/>
              </w:rPr>
              <w:t>100%</w:t>
            </w:r>
            <w:r>
              <w:rPr>
                <w:rFonts w:hint="eastAsia"/>
                <w:sz w:val="21"/>
                <w:szCs w:val="24"/>
              </w:rPr>
              <w:t>的计</w:t>
            </w:r>
            <w:r>
              <w:rPr>
                <w:rFonts w:hint="default"/>
                <w:sz w:val="21"/>
                <w:szCs w:val="24"/>
              </w:rPr>
              <w:t>2</w:t>
            </w:r>
            <w:r>
              <w:rPr>
                <w:rFonts w:hint="eastAsia"/>
                <w:sz w:val="21"/>
                <w:szCs w:val="24"/>
              </w:rPr>
              <w:t>分，每低于</w:t>
            </w:r>
            <w:r>
              <w:rPr>
                <w:rFonts w:hint="default"/>
                <w:sz w:val="21"/>
                <w:szCs w:val="24"/>
              </w:rPr>
              <w:t>1</w:t>
            </w:r>
            <w:r>
              <w:rPr>
                <w:rFonts w:hint="eastAsia"/>
                <w:sz w:val="21"/>
                <w:szCs w:val="24"/>
              </w:rPr>
              <w:t>个百分点扣</w:t>
            </w:r>
            <w:r>
              <w:rPr>
                <w:rFonts w:hint="default"/>
                <w:sz w:val="21"/>
                <w:szCs w:val="24"/>
              </w:rPr>
              <w:t>0.5</w:t>
            </w:r>
            <w:r>
              <w:rPr>
                <w:rFonts w:hint="eastAsia"/>
                <w:sz w:val="21"/>
                <w:szCs w:val="24"/>
              </w:rPr>
              <w:t>分，扣完为止）</w:t>
            </w:r>
          </w:p>
          <w:p>
            <w:pPr>
              <w:spacing w:beforeLines="0" w:afterLines="0" w:line="240" w:lineRule="exact"/>
              <w:rPr>
                <w:rFonts w:hint="default"/>
                <w:sz w:val="21"/>
                <w:szCs w:val="24"/>
              </w:rPr>
            </w:pPr>
            <w:r>
              <w:rPr>
                <w:rFonts w:hint="eastAsia"/>
                <w:sz w:val="21"/>
                <w:szCs w:val="24"/>
              </w:rPr>
              <w:t>政府采购预算：采购机关根据事业发展计划和行政任务编制的、并经过规定程序批准的年度政府采购计划。</w:t>
            </w:r>
          </w:p>
        </w:tc>
        <w:tc>
          <w:tcPr>
            <w:tcW w:w="469" w:type="pct"/>
            <w:tcBorders>
              <w:top w:val="nil"/>
              <w:left w:val="nil"/>
              <w:bottom w:val="single" w:color="auto" w:sz="4" w:space="0"/>
              <w:right w:val="single" w:color="auto" w:sz="4" w:space="0"/>
              <w:tl2br w:val="nil"/>
              <w:tr2bl w:val="nil"/>
            </w:tcBorders>
            <w:noWrap/>
            <w:vAlign w:val="center"/>
          </w:tcPr>
          <w:p>
            <w:pPr>
              <w:spacing w:beforeLines="0" w:afterLines="0" w:line="240" w:lineRule="exact"/>
              <w:jc w:val="center"/>
              <w:rPr>
                <w:rFonts w:hint="eastAsia"/>
                <w:sz w:val="21"/>
                <w:szCs w:val="24"/>
                <w:lang w:val="en-US" w:eastAsia="zh-CN"/>
              </w:rPr>
            </w:pPr>
            <w:r>
              <w:rPr>
                <w:rFonts w:hint="eastAsia"/>
                <w:sz w:val="21"/>
                <w:szCs w:val="24"/>
                <w:lang w:val="en-US" w:eastAsia="zh-CN"/>
              </w:rPr>
              <w:t>4</w:t>
            </w:r>
          </w:p>
        </w:tc>
        <w:tc>
          <w:tcPr>
            <w:tcW w:w="442" w:type="pct"/>
            <w:tcBorders>
              <w:top w:val="nil"/>
              <w:left w:val="nil"/>
              <w:bottom w:val="single" w:color="auto" w:sz="4" w:space="0"/>
              <w:right w:val="single" w:color="auto" w:sz="12" w:space="0"/>
              <w:tl2br w:val="nil"/>
              <w:tr2bl w:val="nil"/>
            </w:tcBorders>
            <w:noWrap/>
            <w:vAlign w:val="center"/>
          </w:tcPr>
          <w:p>
            <w:pPr>
              <w:spacing w:beforeLines="0" w:afterLines="0" w:line="240" w:lineRule="exact"/>
              <w:jc w:val="center"/>
              <w:rPr>
                <w:rFonts w:hint="eastAsia"/>
                <w:sz w:val="21"/>
                <w:szCs w:val="24"/>
                <w:lang w:eastAsia="zh-CN"/>
              </w:rPr>
            </w:pPr>
            <w:r>
              <w:rPr>
                <w:rFonts w:hint="eastAsia"/>
                <w:sz w:val="21"/>
                <w:szCs w:val="24"/>
                <w:lang w:eastAsia="zh-CN"/>
              </w:rPr>
              <w:t>无政府采购行为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1635" w:hRule="atLeast"/>
          <w:jc w:val="center"/>
        </w:trPr>
        <w:tc>
          <w:tcPr>
            <w:tcW w:w="354" w:type="pct"/>
            <w:vMerge w:val="continue"/>
            <w:tcBorders>
              <w:top w:val="nil"/>
              <w:left w:val="single" w:color="auto" w:sz="12" w:space="0"/>
              <w:bottom w:val="single" w:color="000000"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323" w:type="pct"/>
            <w:vMerge w:val="restart"/>
            <w:tcBorders>
              <w:top w:val="nil"/>
              <w:left w:val="single" w:color="auto" w:sz="4" w:space="0"/>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预算管理（</w:t>
            </w:r>
            <w:r>
              <w:rPr>
                <w:rFonts w:hint="default"/>
                <w:sz w:val="21"/>
                <w:szCs w:val="24"/>
              </w:rPr>
              <w:t>5</w:t>
            </w:r>
            <w:r>
              <w:rPr>
                <w:rFonts w:hint="eastAsia"/>
                <w:sz w:val="21"/>
                <w:szCs w:val="24"/>
              </w:rPr>
              <w:t>分）</w:t>
            </w:r>
          </w:p>
        </w:tc>
        <w:tc>
          <w:tcPr>
            <w:tcW w:w="573"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管理制度健全性（</w:t>
            </w:r>
            <w:r>
              <w:rPr>
                <w:rFonts w:hint="default"/>
                <w:sz w:val="21"/>
                <w:szCs w:val="24"/>
              </w:rPr>
              <w:t>2</w:t>
            </w:r>
            <w:r>
              <w:rPr>
                <w:rFonts w:hint="eastAsia"/>
                <w:sz w:val="21"/>
                <w:szCs w:val="24"/>
              </w:rPr>
              <w:t>分）</w:t>
            </w:r>
          </w:p>
        </w:tc>
        <w:tc>
          <w:tcPr>
            <w:tcW w:w="1230"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部门（单位）为加强预算管理、规范财务行为而制定的管理制度是否健全完整，用以反映和考核部门（单位）预算管理制度对完成主要职责或促进事业发展的保障情况。</w:t>
            </w:r>
          </w:p>
        </w:tc>
        <w:tc>
          <w:tcPr>
            <w:tcW w:w="1609"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①是否已制定或具有预算资金管理办法、内部财务管理制度、会计核算制度等管理制度；（</w:t>
            </w:r>
            <w:r>
              <w:rPr>
                <w:rFonts w:hint="default"/>
                <w:sz w:val="21"/>
                <w:szCs w:val="24"/>
              </w:rPr>
              <w:t>1</w:t>
            </w:r>
            <w:r>
              <w:rPr>
                <w:rFonts w:hint="eastAsia"/>
                <w:sz w:val="21"/>
                <w:szCs w:val="24"/>
              </w:rPr>
              <w:t>分）</w:t>
            </w:r>
          </w:p>
          <w:p>
            <w:pPr>
              <w:spacing w:beforeLines="0" w:afterLines="0" w:line="240" w:lineRule="exact"/>
              <w:rPr>
                <w:rFonts w:hint="default"/>
                <w:sz w:val="21"/>
                <w:szCs w:val="24"/>
              </w:rPr>
            </w:pPr>
            <w:r>
              <w:rPr>
                <w:rFonts w:hint="eastAsia"/>
                <w:sz w:val="21"/>
                <w:szCs w:val="24"/>
              </w:rPr>
              <w:t>②相关管理制度是否合法、合规、完整；（</w:t>
            </w:r>
            <w:r>
              <w:rPr>
                <w:rFonts w:hint="default"/>
                <w:sz w:val="21"/>
                <w:szCs w:val="24"/>
              </w:rPr>
              <w:t>0.5</w:t>
            </w:r>
            <w:r>
              <w:rPr>
                <w:rFonts w:hint="eastAsia"/>
                <w:sz w:val="21"/>
                <w:szCs w:val="24"/>
              </w:rPr>
              <w:t>分）</w:t>
            </w:r>
          </w:p>
          <w:p>
            <w:pPr>
              <w:spacing w:beforeLines="0" w:afterLines="0" w:line="240" w:lineRule="exact"/>
              <w:rPr>
                <w:rFonts w:hint="default"/>
                <w:sz w:val="21"/>
                <w:szCs w:val="24"/>
              </w:rPr>
            </w:pPr>
            <w:r>
              <w:rPr>
                <w:rFonts w:hint="eastAsia"/>
                <w:sz w:val="21"/>
                <w:szCs w:val="24"/>
              </w:rPr>
              <w:t>③相关管理制度是否得到有效执行。（</w:t>
            </w:r>
            <w:r>
              <w:rPr>
                <w:rFonts w:hint="default"/>
                <w:sz w:val="21"/>
                <w:szCs w:val="24"/>
              </w:rPr>
              <w:t>0.5</w:t>
            </w:r>
            <w:r>
              <w:rPr>
                <w:rFonts w:hint="eastAsia"/>
                <w:sz w:val="21"/>
                <w:szCs w:val="24"/>
              </w:rPr>
              <w:t>分）</w:t>
            </w:r>
          </w:p>
        </w:tc>
        <w:tc>
          <w:tcPr>
            <w:tcW w:w="469" w:type="pct"/>
            <w:tcBorders>
              <w:top w:val="nil"/>
              <w:left w:val="nil"/>
              <w:bottom w:val="single" w:color="auto" w:sz="4" w:space="0"/>
              <w:right w:val="single" w:color="auto" w:sz="4" w:space="0"/>
              <w:tl2br w:val="nil"/>
              <w:tr2bl w:val="nil"/>
            </w:tcBorders>
            <w:noWrap/>
            <w:vAlign w:val="center"/>
          </w:tcPr>
          <w:p>
            <w:pPr>
              <w:spacing w:beforeLines="0" w:afterLines="0" w:line="240" w:lineRule="exact"/>
              <w:jc w:val="center"/>
              <w:rPr>
                <w:rFonts w:hint="eastAsia"/>
                <w:sz w:val="21"/>
                <w:szCs w:val="24"/>
                <w:lang w:val="en-US" w:eastAsia="zh-CN"/>
              </w:rPr>
            </w:pPr>
            <w:r>
              <w:rPr>
                <w:rFonts w:hint="eastAsia"/>
                <w:sz w:val="21"/>
                <w:szCs w:val="24"/>
                <w:lang w:val="en-US" w:eastAsia="zh-CN"/>
              </w:rPr>
              <w:t>2</w:t>
            </w:r>
          </w:p>
        </w:tc>
        <w:tc>
          <w:tcPr>
            <w:tcW w:w="442" w:type="pct"/>
            <w:tcBorders>
              <w:top w:val="nil"/>
              <w:left w:val="nil"/>
              <w:bottom w:val="single" w:color="auto" w:sz="4" w:space="0"/>
              <w:right w:val="single" w:color="auto" w:sz="12" w:space="0"/>
              <w:tl2br w:val="nil"/>
              <w:tr2bl w:val="nil"/>
            </w:tcBorders>
            <w:noWrap/>
            <w:vAlign w:val="center"/>
          </w:tcPr>
          <w:p>
            <w:pPr>
              <w:spacing w:beforeLines="0" w:afterLines="0" w:line="240" w:lineRule="exact"/>
              <w:jc w:val="center"/>
              <w:rPr>
                <w:rFonts w:hint="eastAsia"/>
                <w:sz w:val="21"/>
                <w:szCs w:val="24"/>
                <w:lang w:eastAsia="zh-CN"/>
              </w:rPr>
            </w:pPr>
            <w:r>
              <w:rPr>
                <w:rFonts w:hint="eastAsia"/>
                <w:sz w:val="21"/>
                <w:szCs w:val="24"/>
                <w:lang w:eastAsia="zh-CN"/>
              </w:rPr>
              <w:t>有相关合法合规</w:t>
            </w:r>
          </w:p>
          <w:p>
            <w:pPr>
              <w:spacing w:beforeLines="0" w:afterLines="0" w:line="240" w:lineRule="exact"/>
              <w:jc w:val="center"/>
              <w:rPr>
                <w:rFonts w:hint="eastAsia"/>
                <w:sz w:val="21"/>
                <w:szCs w:val="24"/>
                <w:lang w:eastAsia="zh-CN"/>
              </w:rPr>
            </w:pPr>
            <w:r>
              <w:rPr>
                <w:rFonts w:hint="eastAsia"/>
                <w:sz w:val="21"/>
                <w:szCs w:val="24"/>
                <w:lang w:eastAsia="zh-CN"/>
              </w:rPr>
              <w:t>制度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2334" w:hRule="atLeast"/>
          <w:jc w:val="center"/>
        </w:trPr>
        <w:tc>
          <w:tcPr>
            <w:tcW w:w="354" w:type="pct"/>
            <w:vMerge w:val="continue"/>
            <w:tcBorders>
              <w:top w:val="nil"/>
              <w:left w:val="single" w:color="auto" w:sz="12" w:space="0"/>
              <w:bottom w:val="single" w:color="000000"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323" w:type="pct"/>
            <w:vMerge w:val="continue"/>
            <w:tcBorders>
              <w:top w:val="nil"/>
              <w:left w:val="single" w:color="auto" w:sz="4" w:space="0"/>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573"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资金使用合规性（</w:t>
            </w:r>
            <w:r>
              <w:rPr>
                <w:rFonts w:hint="default"/>
                <w:sz w:val="21"/>
                <w:szCs w:val="24"/>
              </w:rPr>
              <w:t>1</w:t>
            </w:r>
            <w:r>
              <w:rPr>
                <w:rFonts w:hint="eastAsia"/>
                <w:sz w:val="21"/>
                <w:szCs w:val="24"/>
              </w:rPr>
              <w:t>分）</w:t>
            </w:r>
          </w:p>
        </w:tc>
        <w:tc>
          <w:tcPr>
            <w:tcW w:w="1230"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部门（单位）使用预算资金是否符合相关的预算财务管理制度的规定，用以反映和考核部门（单位）预算资金的规范运行情况。</w:t>
            </w:r>
          </w:p>
        </w:tc>
        <w:tc>
          <w:tcPr>
            <w:tcW w:w="1609"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①是否符合国家财经法规和财务管理制度规定以及有关专项资金管理办法的规定；（</w:t>
            </w:r>
            <w:r>
              <w:rPr>
                <w:rFonts w:hint="default"/>
                <w:sz w:val="21"/>
                <w:szCs w:val="24"/>
              </w:rPr>
              <w:t>0.2</w:t>
            </w:r>
            <w:r>
              <w:rPr>
                <w:rFonts w:hint="eastAsia"/>
                <w:sz w:val="21"/>
                <w:szCs w:val="24"/>
              </w:rPr>
              <w:t>分）</w:t>
            </w:r>
          </w:p>
          <w:p>
            <w:pPr>
              <w:spacing w:beforeLines="0" w:afterLines="0" w:line="240" w:lineRule="exact"/>
              <w:rPr>
                <w:rFonts w:hint="default"/>
                <w:sz w:val="21"/>
                <w:szCs w:val="24"/>
              </w:rPr>
            </w:pPr>
            <w:r>
              <w:rPr>
                <w:rFonts w:hint="eastAsia"/>
                <w:sz w:val="21"/>
                <w:szCs w:val="24"/>
              </w:rPr>
              <w:t>②资金的拨付是否有完整的审批程序和手续；（</w:t>
            </w:r>
            <w:r>
              <w:rPr>
                <w:rFonts w:hint="default"/>
                <w:sz w:val="21"/>
                <w:szCs w:val="24"/>
              </w:rPr>
              <w:t>0.2</w:t>
            </w:r>
            <w:r>
              <w:rPr>
                <w:rFonts w:hint="eastAsia"/>
                <w:sz w:val="21"/>
                <w:szCs w:val="24"/>
              </w:rPr>
              <w:t>分）</w:t>
            </w:r>
          </w:p>
          <w:p>
            <w:pPr>
              <w:spacing w:beforeLines="0" w:afterLines="0" w:line="240" w:lineRule="exact"/>
              <w:rPr>
                <w:rFonts w:hint="default"/>
                <w:sz w:val="21"/>
                <w:szCs w:val="24"/>
              </w:rPr>
            </w:pPr>
            <w:r>
              <w:rPr>
                <w:rFonts w:hint="eastAsia"/>
                <w:sz w:val="21"/>
                <w:szCs w:val="24"/>
              </w:rPr>
              <w:t>③项目的重大开支是否经过评估论证；（</w:t>
            </w:r>
            <w:r>
              <w:rPr>
                <w:rFonts w:hint="default"/>
                <w:sz w:val="21"/>
                <w:szCs w:val="24"/>
              </w:rPr>
              <w:t>0.2</w:t>
            </w:r>
            <w:r>
              <w:rPr>
                <w:rFonts w:hint="eastAsia"/>
                <w:sz w:val="21"/>
                <w:szCs w:val="24"/>
              </w:rPr>
              <w:t>分）</w:t>
            </w:r>
          </w:p>
          <w:p>
            <w:pPr>
              <w:spacing w:beforeLines="0" w:afterLines="0" w:line="240" w:lineRule="exact"/>
              <w:rPr>
                <w:rFonts w:hint="default"/>
                <w:sz w:val="21"/>
                <w:szCs w:val="24"/>
              </w:rPr>
            </w:pPr>
            <w:r>
              <w:rPr>
                <w:rFonts w:hint="eastAsia"/>
                <w:sz w:val="21"/>
                <w:szCs w:val="24"/>
              </w:rPr>
              <w:t>④是否符合部门预算批复的用途；（</w:t>
            </w:r>
            <w:r>
              <w:rPr>
                <w:rFonts w:hint="default"/>
                <w:sz w:val="21"/>
                <w:szCs w:val="24"/>
              </w:rPr>
              <w:t>0.2</w:t>
            </w:r>
            <w:r>
              <w:rPr>
                <w:rFonts w:hint="eastAsia"/>
                <w:sz w:val="21"/>
                <w:szCs w:val="24"/>
              </w:rPr>
              <w:t>分）</w:t>
            </w:r>
          </w:p>
          <w:p>
            <w:pPr>
              <w:spacing w:beforeLines="0" w:afterLines="0" w:line="240" w:lineRule="exact"/>
              <w:rPr>
                <w:rFonts w:hint="default"/>
                <w:sz w:val="21"/>
                <w:szCs w:val="24"/>
              </w:rPr>
            </w:pPr>
            <w:r>
              <w:rPr>
                <w:rFonts w:hint="eastAsia"/>
                <w:sz w:val="21"/>
                <w:szCs w:val="24"/>
              </w:rPr>
              <w:t>⑤是否存在截留、挤占、挪用、虚列支出等情况。（</w:t>
            </w:r>
            <w:r>
              <w:rPr>
                <w:rFonts w:hint="default"/>
                <w:sz w:val="21"/>
                <w:szCs w:val="24"/>
              </w:rPr>
              <w:t>0.2</w:t>
            </w:r>
            <w:r>
              <w:rPr>
                <w:rFonts w:hint="eastAsia"/>
                <w:sz w:val="21"/>
                <w:szCs w:val="24"/>
              </w:rPr>
              <w:t>分）</w:t>
            </w:r>
          </w:p>
        </w:tc>
        <w:tc>
          <w:tcPr>
            <w:tcW w:w="469" w:type="pct"/>
            <w:tcBorders>
              <w:top w:val="nil"/>
              <w:left w:val="nil"/>
              <w:bottom w:val="single" w:color="auto" w:sz="4" w:space="0"/>
              <w:right w:val="single" w:color="auto" w:sz="4" w:space="0"/>
              <w:tl2br w:val="nil"/>
              <w:tr2bl w:val="nil"/>
            </w:tcBorders>
            <w:noWrap/>
            <w:vAlign w:val="center"/>
          </w:tcPr>
          <w:p>
            <w:pPr>
              <w:spacing w:beforeLines="0" w:afterLines="0" w:line="240" w:lineRule="exact"/>
              <w:jc w:val="center"/>
              <w:rPr>
                <w:rFonts w:hint="eastAsia"/>
                <w:sz w:val="21"/>
                <w:szCs w:val="24"/>
                <w:lang w:val="en-US" w:eastAsia="zh-CN"/>
              </w:rPr>
            </w:pPr>
            <w:r>
              <w:rPr>
                <w:rFonts w:hint="eastAsia"/>
                <w:sz w:val="21"/>
                <w:szCs w:val="24"/>
                <w:lang w:val="en-US" w:eastAsia="zh-CN"/>
              </w:rPr>
              <w:t>1</w:t>
            </w:r>
          </w:p>
        </w:tc>
        <w:tc>
          <w:tcPr>
            <w:tcW w:w="442" w:type="pct"/>
            <w:tcBorders>
              <w:top w:val="nil"/>
              <w:left w:val="nil"/>
              <w:bottom w:val="single" w:color="auto" w:sz="4" w:space="0"/>
              <w:right w:val="single" w:color="auto" w:sz="12" w:space="0"/>
              <w:tl2br w:val="nil"/>
              <w:tr2bl w:val="nil"/>
            </w:tcBorders>
            <w:noWrap/>
            <w:vAlign w:val="center"/>
          </w:tcPr>
          <w:p>
            <w:pPr>
              <w:spacing w:beforeLines="0" w:afterLines="0" w:line="240" w:lineRule="exact"/>
              <w:jc w:val="center"/>
              <w:rPr>
                <w:rFonts w:hint="eastAsia"/>
                <w:sz w:val="21"/>
                <w:szCs w:val="24"/>
                <w:lang w:eastAsia="zh-CN"/>
              </w:rPr>
            </w:pPr>
            <w:r>
              <w:rPr>
                <w:rFonts w:hint="eastAsia"/>
                <w:sz w:val="21"/>
                <w:szCs w:val="24"/>
                <w:lang w:eastAsia="zh-CN"/>
              </w:rPr>
              <w:t>资金使用符合预算</w:t>
            </w:r>
          </w:p>
          <w:p>
            <w:pPr>
              <w:spacing w:beforeLines="0" w:afterLines="0" w:line="240" w:lineRule="exact"/>
              <w:jc w:val="center"/>
              <w:rPr>
                <w:rFonts w:hint="eastAsia"/>
                <w:sz w:val="21"/>
                <w:szCs w:val="24"/>
                <w:lang w:eastAsia="zh-CN"/>
              </w:rPr>
            </w:pPr>
            <w:r>
              <w:rPr>
                <w:rFonts w:hint="eastAsia"/>
                <w:sz w:val="21"/>
                <w:szCs w:val="24"/>
                <w:lang w:eastAsia="zh-CN"/>
              </w:rPr>
              <w:t>财务管理制度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1644" w:hRule="atLeast"/>
          <w:jc w:val="center"/>
        </w:trPr>
        <w:tc>
          <w:tcPr>
            <w:tcW w:w="354" w:type="pct"/>
            <w:vMerge w:val="continue"/>
            <w:tcBorders>
              <w:top w:val="nil"/>
              <w:left w:val="single" w:color="auto" w:sz="12" w:space="0"/>
              <w:bottom w:val="single" w:color="000000"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323" w:type="pct"/>
            <w:vMerge w:val="continue"/>
            <w:tcBorders>
              <w:top w:val="nil"/>
              <w:left w:val="single" w:color="auto" w:sz="4" w:space="0"/>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573"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预决算信息公开性（</w:t>
            </w:r>
            <w:r>
              <w:rPr>
                <w:rFonts w:hint="default"/>
                <w:sz w:val="21"/>
                <w:szCs w:val="24"/>
              </w:rPr>
              <w:t>1</w:t>
            </w:r>
            <w:r>
              <w:rPr>
                <w:rFonts w:hint="eastAsia"/>
                <w:sz w:val="21"/>
                <w:szCs w:val="24"/>
              </w:rPr>
              <w:t>分）</w:t>
            </w:r>
          </w:p>
        </w:tc>
        <w:tc>
          <w:tcPr>
            <w:tcW w:w="1230"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部门（单位）是否按照政府信息公开有关规定公开相关预决算信息，用以反映和考核部门（单位）预决算管理的公开透明情况。</w:t>
            </w:r>
          </w:p>
        </w:tc>
        <w:tc>
          <w:tcPr>
            <w:tcW w:w="1609"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①是否按规定内容公开预决算信息；（</w:t>
            </w:r>
            <w:r>
              <w:rPr>
                <w:rFonts w:hint="default"/>
                <w:sz w:val="21"/>
                <w:szCs w:val="24"/>
              </w:rPr>
              <w:t>0.5</w:t>
            </w:r>
            <w:r>
              <w:rPr>
                <w:rFonts w:hint="eastAsia"/>
                <w:sz w:val="21"/>
                <w:szCs w:val="24"/>
              </w:rPr>
              <w:t>分）</w:t>
            </w:r>
          </w:p>
          <w:p>
            <w:pPr>
              <w:spacing w:beforeLines="0" w:afterLines="0" w:line="240" w:lineRule="exact"/>
              <w:rPr>
                <w:rFonts w:hint="default"/>
                <w:sz w:val="21"/>
                <w:szCs w:val="24"/>
              </w:rPr>
            </w:pPr>
            <w:r>
              <w:rPr>
                <w:rFonts w:hint="eastAsia"/>
                <w:sz w:val="21"/>
                <w:szCs w:val="24"/>
              </w:rPr>
              <w:t>②是否按规定时限公开预决算信息。（</w:t>
            </w:r>
            <w:r>
              <w:rPr>
                <w:rFonts w:hint="default"/>
                <w:sz w:val="21"/>
                <w:szCs w:val="24"/>
              </w:rPr>
              <w:t>0.5</w:t>
            </w:r>
            <w:r>
              <w:rPr>
                <w:rFonts w:hint="eastAsia"/>
                <w:sz w:val="21"/>
                <w:szCs w:val="24"/>
              </w:rPr>
              <w:t>分）</w:t>
            </w:r>
          </w:p>
          <w:p>
            <w:pPr>
              <w:spacing w:beforeLines="0" w:afterLines="0" w:line="240" w:lineRule="exact"/>
              <w:rPr>
                <w:rFonts w:hint="default"/>
                <w:sz w:val="21"/>
                <w:szCs w:val="24"/>
              </w:rPr>
            </w:pPr>
            <w:r>
              <w:rPr>
                <w:rFonts w:hint="eastAsia"/>
                <w:sz w:val="21"/>
                <w:szCs w:val="24"/>
              </w:rPr>
              <w:t>预决算信息是指与部门预算、执行、决算、监督、绩效等管理相关的信息。</w:t>
            </w:r>
          </w:p>
        </w:tc>
        <w:tc>
          <w:tcPr>
            <w:tcW w:w="469" w:type="pct"/>
            <w:tcBorders>
              <w:top w:val="nil"/>
              <w:left w:val="nil"/>
              <w:bottom w:val="single" w:color="auto" w:sz="4" w:space="0"/>
              <w:right w:val="single" w:color="auto" w:sz="4" w:space="0"/>
              <w:tl2br w:val="nil"/>
              <w:tr2bl w:val="nil"/>
            </w:tcBorders>
            <w:noWrap/>
            <w:vAlign w:val="center"/>
          </w:tcPr>
          <w:p>
            <w:pPr>
              <w:spacing w:beforeLines="0" w:afterLines="0" w:line="240" w:lineRule="exact"/>
              <w:jc w:val="center"/>
              <w:rPr>
                <w:rFonts w:hint="eastAsia"/>
                <w:sz w:val="21"/>
                <w:szCs w:val="24"/>
                <w:lang w:val="en-US" w:eastAsia="zh-CN"/>
              </w:rPr>
            </w:pPr>
            <w:r>
              <w:rPr>
                <w:rFonts w:hint="eastAsia"/>
                <w:sz w:val="21"/>
                <w:szCs w:val="24"/>
                <w:lang w:val="en-US" w:eastAsia="zh-CN"/>
              </w:rPr>
              <w:t>1</w:t>
            </w:r>
          </w:p>
        </w:tc>
        <w:tc>
          <w:tcPr>
            <w:tcW w:w="442" w:type="pct"/>
            <w:tcBorders>
              <w:top w:val="nil"/>
              <w:left w:val="nil"/>
              <w:bottom w:val="single" w:color="auto" w:sz="4" w:space="0"/>
              <w:right w:val="single" w:color="auto" w:sz="12" w:space="0"/>
              <w:tl2br w:val="nil"/>
              <w:tr2bl w:val="nil"/>
            </w:tcBorders>
            <w:noWrap/>
            <w:vAlign w:val="center"/>
          </w:tcPr>
          <w:p>
            <w:pPr>
              <w:spacing w:beforeLines="0" w:afterLines="0" w:line="240" w:lineRule="exact"/>
              <w:jc w:val="center"/>
              <w:rPr>
                <w:rFonts w:hint="eastAsia"/>
                <w:sz w:val="21"/>
                <w:szCs w:val="24"/>
                <w:lang w:eastAsia="zh-CN"/>
              </w:rPr>
            </w:pPr>
            <w:r>
              <w:rPr>
                <w:rFonts w:hint="eastAsia"/>
                <w:sz w:val="21"/>
                <w:szCs w:val="24"/>
                <w:lang w:eastAsia="zh-CN"/>
              </w:rPr>
              <w:t>预决算信息及时</w:t>
            </w:r>
          </w:p>
          <w:p>
            <w:pPr>
              <w:spacing w:beforeLines="0" w:afterLines="0" w:line="240" w:lineRule="exact"/>
              <w:jc w:val="center"/>
              <w:rPr>
                <w:rFonts w:hint="eastAsia"/>
                <w:sz w:val="21"/>
                <w:szCs w:val="24"/>
                <w:lang w:eastAsia="zh-CN"/>
              </w:rPr>
            </w:pPr>
            <w:r>
              <w:rPr>
                <w:rFonts w:hint="eastAsia"/>
                <w:sz w:val="21"/>
                <w:szCs w:val="24"/>
                <w:lang w:eastAsia="zh-CN"/>
              </w:rPr>
              <w:t>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453" w:hRule="atLeast"/>
          <w:jc w:val="center"/>
        </w:trPr>
        <w:tc>
          <w:tcPr>
            <w:tcW w:w="354" w:type="pct"/>
            <w:vMerge w:val="continue"/>
            <w:tcBorders>
              <w:top w:val="nil"/>
              <w:left w:val="single" w:color="auto" w:sz="12" w:space="0"/>
              <w:bottom w:val="single" w:color="000000"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323" w:type="pct"/>
            <w:vMerge w:val="continue"/>
            <w:tcBorders>
              <w:top w:val="nil"/>
              <w:left w:val="single" w:color="auto" w:sz="4" w:space="0"/>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573"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基础信息完善性（</w:t>
            </w:r>
            <w:r>
              <w:rPr>
                <w:rFonts w:hint="default"/>
                <w:sz w:val="21"/>
                <w:szCs w:val="24"/>
              </w:rPr>
              <w:t>1</w:t>
            </w:r>
            <w:r>
              <w:rPr>
                <w:rFonts w:hint="eastAsia"/>
                <w:sz w:val="21"/>
                <w:szCs w:val="24"/>
              </w:rPr>
              <w:t>分）</w:t>
            </w:r>
          </w:p>
        </w:tc>
        <w:tc>
          <w:tcPr>
            <w:tcW w:w="1230"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部门（单位）基础信息是否完善，用以反映和考核基础信息对预算管理工作的支撑情况。</w:t>
            </w:r>
          </w:p>
        </w:tc>
        <w:tc>
          <w:tcPr>
            <w:tcW w:w="1609"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①基础数据信息和会计信息资料是否真实；（</w:t>
            </w:r>
            <w:r>
              <w:rPr>
                <w:rFonts w:hint="default"/>
                <w:sz w:val="21"/>
                <w:szCs w:val="24"/>
              </w:rPr>
              <w:t>0.4</w:t>
            </w:r>
            <w:r>
              <w:rPr>
                <w:rFonts w:hint="eastAsia"/>
                <w:sz w:val="21"/>
                <w:szCs w:val="24"/>
              </w:rPr>
              <w:t>分）</w:t>
            </w:r>
          </w:p>
          <w:p>
            <w:pPr>
              <w:spacing w:beforeLines="0" w:afterLines="0" w:line="240" w:lineRule="exact"/>
              <w:rPr>
                <w:rFonts w:hint="default"/>
                <w:sz w:val="21"/>
                <w:szCs w:val="24"/>
              </w:rPr>
            </w:pPr>
            <w:r>
              <w:rPr>
                <w:rFonts w:hint="eastAsia"/>
                <w:sz w:val="21"/>
                <w:szCs w:val="24"/>
              </w:rPr>
              <w:t>②基础数据信息和会计信息资料是否完整；（</w:t>
            </w:r>
            <w:r>
              <w:rPr>
                <w:rFonts w:hint="default"/>
                <w:sz w:val="21"/>
                <w:szCs w:val="24"/>
              </w:rPr>
              <w:t>0.3</w:t>
            </w:r>
            <w:r>
              <w:rPr>
                <w:rFonts w:hint="eastAsia"/>
                <w:sz w:val="21"/>
                <w:szCs w:val="24"/>
              </w:rPr>
              <w:t>分）</w:t>
            </w:r>
          </w:p>
          <w:p>
            <w:pPr>
              <w:spacing w:beforeLines="0" w:afterLines="0" w:line="240" w:lineRule="exact"/>
              <w:rPr>
                <w:rFonts w:hint="default"/>
                <w:sz w:val="21"/>
                <w:szCs w:val="24"/>
              </w:rPr>
            </w:pPr>
            <w:r>
              <w:rPr>
                <w:rFonts w:hint="eastAsia"/>
                <w:sz w:val="21"/>
                <w:szCs w:val="24"/>
              </w:rPr>
              <w:t>③基础数据信息和会计信息资料是否准确。（</w:t>
            </w:r>
            <w:r>
              <w:rPr>
                <w:rFonts w:hint="default"/>
                <w:sz w:val="21"/>
                <w:szCs w:val="24"/>
              </w:rPr>
              <w:t>0.3</w:t>
            </w:r>
            <w:r>
              <w:rPr>
                <w:rFonts w:hint="eastAsia"/>
                <w:sz w:val="21"/>
                <w:szCs w:val="24"/>
              </w:rPr>
              <w:t>分）</w:t>
            </w:r>
          </w:p>
        </w:tc>
        <w:tc>
          <w:tcPr>
            <w:tcW w:w="469" w:type="pct"/>
            <w:tcBorders>
              <w:top w:val="nil"/>
              <w:left w:val="nil"/>
              <w:bottom w:val="single" w:color="auto" w:sz="4" w:space="0"/>
              <w:right w:val="single" w:color="auto" w:sz="4" w:space="0"/>
              <w:tl2br w:val="nil"/>
              <w:tr2bl w:val="nil"/>
            </w:tcBorders>
            <w:noWrap/>
            <w:vAlign w:val="center"/>
          </w:tcPr>
          <w:p>
            <w:pPr>
              <w:spacing w:beforeLines="0" w:afterLines="0" w:line="240" w:lineRule="exact"/>
              <w:jc w:val="center"/>
              <w:rPr>
                <w:rFonts w:hint="eastAsia"/>
                <w:sz w:val="21"/>
                <w:szCs w:val="24"/>
                <w:lang w:val="en-US" w:eastAsia="zh-CN"/>
              </w:rPr>
            </w:pPr>
            <w:r>
              <w:rPr>
                <w:rFonts w:hint="eastAsia"/>
                <w:sz w:val="21"/>
                <w:szCs w:val="24"/>
                <w:lang w:val="en-US" w:eastAsia="zh-CN"/>
              </w:rPr>
              <w:t>1</w:t>
            </w:r>
          </w:p>
        </w:tc>
        <w:tc>
          <w:tcPr>
            <w:tcW w:w="442" w:type="pct"/>
            <w:tcBorders>
              <w:top w:val="nil"/>
              <w:left w:val="nil"/>
              <w:bottom w:val="single" w:color="auto" w:sz="4" w:space="0"/>
              <w:right w:val="single" w:color="auto" w:sz="12" w:space="0"/>
              <w:tl2br w:val="nil"/>
              <w:tr2bl w:val="nil"/>
            </w:tcBorders>
            <w:noWrap/>
            <w:vAlign w:val="center"/>
          </w:tcPr>
          <w:p>
            <w:pPr>
              <w:spacing w:beforeLines="0" w:afterLines="0" w:line="240" w:lineRule="exact"/>
              <w:jc w:val="center"/>
              <w:rPr>
                <w:rFonts w:hint="eastAsia"/>
                <w:sz w:val="21"/>
                <w:szCs w:val="24"/>
                <w:lang w:eastAsia="zh-CN"/>
              </w:rPr>
            </w:pPr>
            <w:r>
              <w:rPr>
                <w:rFonts w:hint="eastAsia"/>
                <w:sz w:val="21"/>
                <w:szCs w:val="24"/>
                <w:lang w:eastAsia="zh-CN"/>
              </w:rPr>
              <w:t>信息真实完善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1012" w:hRule="atLeast"/>
          <w:jc w:val="center"/>
        </w:trPr>
        <w:tc>
          <w:tcPr>
            <w:tcW w:w="354" w:type="pct"/>
            <w:vMerge w:val="continue"/>
            <w:tcBorders>
              <w:top w:val="nil"/>
              <w:left w:val="single" w:color="auto" w:sz="12" w:space="0"/>
              <w:bottom w:val="single" w:color="000000"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323" w:type="pct"/>
            <w:vMerge w:val="restart"/>
            <w:tcBorders>
              <w:top w:val="nil"/>
              <w:left w:val="single" w:color="auto" w:sz="4" w:space="0"/>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资产管理（</w:t>
            </w:r>
            <w:r>
              <w:rPr>
                <w:rFonts w:hint="default"/>
                <w:sz w:val="21"/>
                <w:szCs w:val="24"/>
              </w:rPr>
              <w:t>5</w:t>
            </w:r>
            <w:r>
              <w:rPr>
                <w:rFonts w:hint="eastAsia"/>
                <w:sz w:val="21"/>
                <w:szCs w:val="24"/>
              </w:rPr>
              <w:t>分）</w:t>
            </w:r>
          </w:p>
        </w:tc>
        <w:tc>
          <w:tcPr>
            <w:tcW w:w="573"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管理制度健全性（</w:t>
            </w:r>
            <w:r>
              <w:rPr>
                <w:rFonts w:hint="default"/>
                <w:sz w:val="21"/>
                <w:szCs w:val="24"/>
              </w:rPr>
              <w:t>2</w:t>
            </w:r>
            <w:r>
              <w:rPr>
                <w:rFonts w:hint="eastAsia"/>
                <w:sz w:val="21"/>
                <w:szCs w:val="24"/>
              </w:rPr>
              <w:t>分）</w:t>
            </w:r>
          </w:p>
        </w:tc>
        <w:tc>
          <w:tcPr>
            <w:tcW w:w="1230"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部门（单位）为加强资产管理、规范资产管理行为而制定的管理制度是否健全完整，用以反映和考核部门（单位）资产管理制度对完成主要职责或促进社会发展的保障情况。</w:t>
            </w:r>
          </w:p>
        </w:tc>
        <w:tc>
          <w:tcPr>
            <w:tcW w:w="1609"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①是否已制定或具有资产管理制度；（</w:t>
            </w:r>
            <w:r>
              <w:rPr>
                <w:rFonts w:hint="default"/>
                <w:sz w:val="21"/>
                <w:szCs w:val="24"/>
              </w:rPr>
              <w:t>1</w:t>
            </w:r>
            <w:r>
              <w:rPr>
                <w:rFonts w:hint="eastAsia"/>
                <w:sz w:val="21"/>
                <w:szCs w:val="24"/>
              </w:rPr>
              <w:t>分）</w:t>
            </w:r>
          </w:p>
          <w:p>
            <w:pPr>
              <w:spacing w:beforeLines="0" w:afterLines="0" w:line="240" w:lineRule="exact"/>
              <w:rPr>
                <w:rFonts w:hint="default"/>
                <w:sz w:val="21"/>
                <w:szCs w:val="24"/>
              </w:rPr>
            </w:pPr>
            <w:r>
              <w:rPr>
                <w:rFonts w:hint="eastAsia"/>
                <w:sz w:val="21"/>
                <w:szCs w:val="24"/>
              </w:rPr>
              <w:t>②相关资金管理制度是否合法、合规、完整；（</w:t>
            </w:r>
            <w:r>
              <w:rPr>
                <w:rFonts w:hint="default"/>
                <w:sz w:val="21"/>
                <w:szCs w:val="24"/>
              </w:rPr>
              <w:t>0.5</w:t>
            </w:r>
            <w:r>
              <w:rPr>
                <w:rFonts w:hint="eastAsia"/>
                <w:sz w:val="21"/>
                <w:szCs w:val="24"/>
              </w:rPr>
              <w:t>分）</w:t>
            </w:r>
          </w:p>
          <w:p>
            <w:pPr>
              <w:spacing w:beforeLines="0" w:afterLines="0" w:line="240" w:lineRule="exact"/>
              <w:rPr>
                <w:rFonts w:hint="default"/>
                <w:sz w:val="21"/>
                <w:szCs w:val="24"/>
              </w:rPr>
            </w:pPr>
            <w:r>
              <w:rPr>
                <w:rFonts w:hint="eastAsia"/>
                <w:sz w:val="21"/>
                <w:szCs w:val="24"/>
              </w:rPr>
              <w:t>③相关资产管理制度是否得到有效执行。（</w:t>
            </w:r>
            <w:r>
              <w:rPr>
                <w:rFonts w:hint="default"/>
                <w:sz w:val="21"/>
                <w:szCs w:val="24"/>
              </w:rPr>
              <w:t>0.5</w:t>
            </w:r>
            <w:r>
              <w:rPr>
                <w:rFonts w:hint="eastAsia"/>
                <w:sz w:val="21"/>
                <w:szCs w:val="24"/>
              </w:rPr>
              <w:t>分）</w:t>
            </w:r>
          </w:p>
        </w:tc>
        <w:tc>
          <w:tcPr>
            <w:tcW w:w="469" w:type="pct"/>
            <w:tcBorders>
              <w:top w:val="nil"/>
              <w:left w:val="nil"/>
              <w:bottom w:val="single" w:color="auto" w:sz="4" w:space="0"/>
              <w:right w:val="single" w:color="auto" w:sz="4" w:space="0"/>
              <w:tl2br w:val="nil"/>
              <w:tr2bl w:val="nil"/>
            </w:tcBorders>
            <w:noWrap/>
            <w:vAlign w:val="center"/>
          </w:tcPr>
          <w:p>
            <w:pPr>
              <w:spacing w:beforeLines="0" w:afterLines="0" w:line="240" w:lineRule="exact"/>
              <w:jc w:val="center"/>
              <w:rPr>
                <w:rFonts w:hint="eastAsia"/>
                <w:sz w:val="21"/>
                <w:szCs w:val="24"/>
                <w:lang w:val="en-US" w:eastAsia="zh-CN"/>
              </w:rPr>
            </w:pPr>
            <w:r>
              <w:rPr>
                <w:rFonts w:hint="eastAsia"/>
                <w:sz w:val="21"/>
                <w:szCs w:val="24"/>
                <w:lang w:val="en-US" w:eastAsia="zh-CN"/>
              </w:rPr>
              <w:t>2</w:t>
            </w:r>
          </w:p>
        </w:tc>
        <w:tc>
          <w:tcPr>
            <w:tcW w:w="442" w:type="pct"/>
            <w:tcBorders>
              <w:top w:val="nil"/>
              <w:left w:val="nil"/>
              <w:bottom w:val="single" w:color="auto" w:sz="4" w:space="0"/>
              <w:right w:val="single" w:color="auto" w:sz="12" w:space="0"/>
              <w:tl2br w:val="nil"/>
              <w:tr2bl w:val="nil"/>
            </w:tcBorders>
            <w:noWrap/>
            <w:vAlign w:val="center"/>
          </w:tcPr>
          <w:p>
            <w:pPr>
              <w:spacing w:beforeLines="0" w:afterLines="0" w:line="240" w:lineRule="exact"/>
              <w:jc w:val="center"/>
              <w:rPr>
                <w:rFonts w:hint="eastAsia"/>
                <w:sz w:val="21"/>
                <w:szCs w:val="24"/>
                <w:lang w:eastAsia="zh-CN"/>
              </w:rPr>
            </w:pPr>
            <w:r>
              <w:rPr>
                <w:rFonts w:hint="eastAsia"/>
                <w:sz w:val="21"/>
                <w:szCs w:val="24"/>
                <w:lang w:eastAsia="zh-CN"/>
              </w:rPr>
              <w:t>管理制度合理健全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660" w:hRule="atLeast"/>
          <w:jc w:val="center"/>
        </w:trPr>
        <w:tc>
          <w:tcPr>
            <w:tcW w:w="354" w:type="pct"/>
            <w:vMerge w:val="continue"/>
            <w:tcBorders>
              <w:top w:val="nil"/>
              <w:left w:val="single" w:color="auto" w:sz="12" w:space="0"/>
              <w:bottom w:val="single" w:color="000000"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323" w:type="pct"/>
            <w:vMerge w:val="continue"/>
            <w:tcBorders>
              <w:top w:val="nil"/>
              <w:left w:val="single" w:color="auto" w:sz="4" w:space="0"/>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573"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资产管理安全性（</w:t>
            </w:r>
            <w:r>
              <w:rPr>
                <w:rFonts w:hint="default"/>
                <w:sz w:val="21"/>
                <w:szCs w:val="24"/>
              </w:rPr>
              <w:t>2</w:t>
            </w:r>
            <w:r>
              <w:rPr>
                <w:rFonts w:hint="eastAsia"/>
                <w:sz w:val="21"/>
                <w:szCs w:val="24"/>
              </w:rPr>
              <w:t>分）</w:t>
            </w:r>
          </w:p>
        </w:tc>
        <w:tc>
          <w:tcPr>
            <w:tcW w:w="1230"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部门（单位）的资产是否保存完整、使用合规、配置合理、处置规范、收入及时足额上缴，用以反映和考核部门（单位）资产安全运行情况。</w:t>
            </w:r>
          </w:p>
        </w:tc>
        <w:tc>
          <w:tcPr>
            <w:tcW w:w="1609"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①资产保存是否完整；（</w:t>
            </w:r>
            <w:r>
              <w:rPr>
                <w:rFonts w:hint="default"/>
                <w:sz w:val="21"/>
                <w:szCs w:val="24"/>
              </w:rPr>
              <w:t>0.4</w:t>
            </w:r>
            <w:r>
              <w:rPr>
                <w:rFonts w:hint="eastAsia"/>
                <w:sz w:val="21"/>
                <w:szCs w:val="24"/>
              </w:rPr>
              <w:t>分）</w:t>
            </w:r>
          </w:p>
          <w:p>
            <w:pPr>
              <w:spacing w:beforeLines="0" w:afterLines="0" w:line="240" w:lineRule="exact"/>
              <w:rPr>
                <w:rFonts w:hint="default"/>
                <w:sz w:val="21"/>
                <w:szCs w:val="24"/>
              </w:rPr>
            </w:pPr>
            <w:r>
              <w:rPr>
                <w:rFonts w:hint="eastAsia"/>
                <w:sz w:val="21"/>
                <w:szCs w:val="24"/>
              </w:rPr>
              <w:t>②资产配置是否合理；（</w:t>
            </w:r>
            <w:r>
              <w:rPr>
                <w:rFonts w:hint="default"/>
                <w:sz w:val="21"/>
                <w:szCs w:val="24"/>
              </w:rPr>
              <w:t>0.4</w:t>
            </w:r>
            <w:r>
              <w:rPr>
                <w:rFonts w:hint="eastAsia"/>
                <w:sz w:val="21"/>
                <w:szCs w:val="24"/>
              </w:rPr>
              <w:t>分）</w:t>
            </w:r>
          </w:p>
          <w:p>
            <w:pPr>
              <w:spacing w:beforeLines="0" w:afterLines="0" w:line="240" w:lineRule="exact"/>
              <w:rPr>
                <w:rFonts w:hint="default"/>
                <w:sz w:val="21"/>
                <w:szCs w:val="24"/>
              </w:rPr>
            </w:pPr>
            <w:r>
              <w:rPr>
                <w:rFonts w:hint="eastAsia"/>
                <w:sz w:val="21"/>
                <w:szCs w:val="24"/>
              </w:rPr>
              <w:t>③资产处置是否规范；（</w:t>
            </w:r>
            <w:r>
              <w:rPr>
                <w:rFonts w:hint="default"/>
                <w:sz w:val="21"/>
                <w:szCs w:val="24"/>
              </w:rPr>
              <w:t>0.4</w:t>
            </w:r>
            <w:r>
              <w:rPr>
                <w:rFonts w:hint="eastAsia"/>
                <w:sz w:val="21"/>
                <w:szCs w:val="24"/>
              </w:rPr>
              <w:t>分）</w:t>
            </w:r>
          </w:p>
          <w:p>
            <w:pPr>
              <w:spacing w:beforeLines="0" w:afterLines="0" w:line="240" w:lineRule="exact"/>
              <w:rPr>
                <w:rFonts w:hint="default"/>
                <w:sz w:val="21"/>
                <w:szCs w:val="24"/>
              </w:rPr>
            </w:pPr>
            <w:r>
              <w:rPr>
                <w:rFonts w:hint="eastAsia"/>
                <w:sz w:val="21"/>
                <w:szCs w:val="24"/>
              </w:rPr>
              <w:t>④资产账务管理是否合规，是否帐实相符；（</w:t>
            </w:r>
            <w:r>
              <w:rPr>
                <w:rFonts w:hint="default"/>
                <w:sz w:val="21"/>
                <w:szCs w:val="24"/>
              </w:rPr>
              <w:t>0.4</w:t>
            </w:r>
            <w:r>
              <w:rPr>
                <w:rFonts w:hint="eastAsia"/>
                <w:sz w:val="21"/>
                <w:szCs w:val="24"/>
              </w:rPr>
              <w:t>分）</w:t>
            </w:r>
          </w:p>
          <w:p>
            <w:pPr>
              <w:spacing w:beforeLines="0" w:afterLines="0" w:line="240" w:lineRule="exact"/>
              <w:rPr>
                <w:rFonts w:hint="default"/>
                <w:sz w:val="21"/>
                <w:szCs w:val="24"/>
              </w:rPr>
            </w:pPr>
            <w:r>
              <w:rPr>
                <w:rFonts w:hint="eastAsia"/>
                <w:sz w:val="21"/>
                <w:szCs w:val="24"/>
              </w:rPr>
              <w:t>⑤资产是否有偿使用及处置收入及时足额上缴。（</w:t>
            </w:r>
            <w:r>
              <w:rPr>
                <w:rFonts w:hint="default"/>
                <w:sz w:val="21"/>
                <w:szCs w:val="24"/>
              </w:rPr>
              <w:t>0.4</w:t>
            </w:r>
            <w:r>
              <w:rPr>
                <w:rFonts w:hint="eastAsia"/>
                <w:sz w:val="21"/>
                <w:szCs w:val="24"/>
              </w:rPr>
              <w:t>分）</w:t>
            </w:r>
          </w:p>
        </w:tc>
        <w:tc>
          <w:tcPr>
            <w:tcW w:w="469" w:type="pct"/>
            <w:tcBorders>
              <w:top w:val="nil"/>
              <w:left w:val="nil"/>
              <w:bottom w:val="single" w:color="auto" w:sz="4" w:space="0"/>
              <w:right w:val="single" w:color="auto" w:sz="4" w:space="0"/>
              <w:tl2br w:val="nil"/>
              <w:tr2bl w:val="nil"/>
            </w:tcBorders>
            <w:noWrap/>
            <w:vAlign w:val="center"/>
          </w:tcPr>
          <w:p>
            <w:pPr>
              <w:spacing w:beforeLines="0" w:afterLines="0" w:line="240" w:lineRule="exact"/>
              <w:jc w:val="center"/>
              <w:rPr>
                <w:rFonts w:hint="eastAsia"/>
                <w:sz w:val="21"/>
                <w:szCs w:val="24"/>
                <w:lang w:val="en-US" w:eastAsia="zh-CN"/>
              </w:rPr>
            </w:pPr>
            <w:r>
              <w:rPr>
                <w:rFonts w:hint="eastAsia"/>
                <w:sz w:val="21"/>
                <w:szCs w:val="24"/>
                <w:lang w:val="en-US" w:eastAsia="zh-CN"/>
              </w:rPr>
              <w:t>2</w:t>
            </w:r>
          </w:p>
        </w:tc>
        <w:tc>
          <w:tcPr>
            <w:tcW w:w="442" w:type="pct"/>
            <w:tcBorders>
              <w:top w:val="nil"/>
              <w:left w:val="nil"/>
              <w:bottom w:val="single" w:color="auto" w:sz="4" w:space="0"/>
              <w:right w:val="single" w:color="auto" w:sz="12" w:space="0"/>
              <w:tl2br w:val="nil"/>
              <w:tr2bl w:val="nil"/>
            </w:tcBorders>
            <w:noWrap/>
            <w:vAlign w:val="center"/>
          </w:tcPr>
          <w:p>
            <w:pPr>
              <w:spacing w:beforeLines="0" w:afterLines="0" w:line="240" w:lineRule="exact"/>
              <w:jc w:val="center"/>
              <w:rPr>
                <w:rFonts w:hint="eastAsia"/>
                <w:sz w:val="21"/>
                <w:szCs w:val="24"/>
                <w:lang w:eastAsia="zh-CN"/>
              </w:rPr>
            </w:pPr>
            <w:r>
              <w:rPr>
                <w:rFonts w:hint="eastAsia"/>
                <w:sz w:val="21"/>
                <w:szCs w:val="24"/>
                <w:lang w:eastAsia="zh-CN"/>
              </w:rPr>
              <w:t>资产管理合理规范</w:t>
            </w:r>
          </w:p>
          <w:p>
            <w:pPr>
              <w:spacing w:beforeLines="0" w:afterLines="0" w:line="240" w:lineRule="exact"/>
              <w:jc w:val="center"/>
              <w:rPr>
                <w:rFonts w:hint="eastAsia"/>
                <w:sz w:val="21"/>
                <w:szCs w:val="24"/>
                <w:lang w:eastAsia="zh-CN"/>
              </w:rPr>
            </w:pPr>
            <w:r>
              <w:rPr>
                <w:rFonts w:hint="eastAsia"/>
                <w:sz w:val="21"/>
                <w:szCs w:val="24"/>
                <w:lang w:eastAsia="zh-CN"/>
              </w:rPr>
              <w:t>账实相符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1326" w:hRule="atLeast"/>
          <w:jc w:val="center"/>
        </w:trPr>
        <w:tc>
          <w:tcPr>
            <w:tcW w:w="354" w:type="pct"/>
            <w:vMerge w:val="continue"/>
            <w:tcBorders>
              <w:top w:val="nil"/>
              <w:left w:val="single" w:color="auto" w:sz="12" w:space="0"/>
              <w:bottom w:val="single" w:color="000000"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323" w:type="pct"/>
            <w:vMerge w:val="continue"/>
            <w:tcBorders>
              <w:top w:val="nil"/>
              <w:left w:val="single" w:color="auto" w:sz="4" w:space="0"/>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573"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固定资产利用率（</w:t>
            </w:r>
            <w:r>
              <w:rPr>
                <w:rFonts w:hint="default"/>
                <w:sz w:val="21"/>
                <w:szCs w:val="24"/>
              </w:rPr>
              <w:t>1</w:t>
            </w:r>
            <w:r>
              <w:rPr>
                <w:rFonts w:hint="eastAsia"/>
                <w:sz w:val="21"/>
                <w:szCs w:val="24"/>
              </w:rPr>
              <w:t>分）</w:t>
            </w:r>
          </w:p>
        </w:tc>
        <w:tc>
          <w:tcPr>
            <w:tcW w:w="1230"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部门（单位）实际在用固定资产总额与所有固定资产总额的比率，用以反映和考核部门（单位）固定资产使用效率程度。</w:t>
            </w:r>
          </w:p>
        </w:tc>
        <w:tc>
          <w:tcPr>
            <w:tcW w:w="1609"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固定资产利用率</w:t>
            </w:r>
            <w:r>
              <w:rPr>
                <w:rFonts w:hint="default"/>
                <w:sz w:val="21"/>
                <w:szCs w:val="24"/>
              </w:rPr>
              <w:t>=</w:t>
            </w:r>
            <w:r>
              <w:rPr>
                <w:rFonts w:hint="eastAsia"/>
                <w:sz w:val="21"/>
                <w:szCs w:val="24"/>
              </w:rPr>
              <w:t>（实际在用固定资产总额</w:t>
            </w:r>
            <w:r>
              <w:rPr>
                <w:rFonts w:hint="default"/>
                <w:sz w:val="21"/>
                <w:szCs w:val="24"/>
              </w:rPr>
              <w:t>/</w:t>
            </w:r>
            <w:r>
              <w:rPr>
                <w:rFonts w:hint="eastAsia"/>
                <w:sz w:val="21"/>
                <w:szCs w:val="24"/>
              </w:rPr>
              <w:t>所有固定资产总额）×</w:t>
            </w:r>
            <w:r>
              <w:rPr>
                <w:rFonts w:hint="default"/>
                <w:sz w:val="21"/>
                <w:szCs w:val="24"/>
              </w:rPr>
              <w:t>100%</w:t>
            </w:r>
            <w:r>
              <w:rPr>
                <w:rFonts w:hint="eastAsia"/>
                <w:sz w:val="21"/>
                <w:szCs w:val="24"/>
              </w:rPr>
              <w:t>。（利用率为</w:t>
            </w:r>
            <w:r>
              <w:rPr>
                <w:rFonts w:hint="default"/>
                <w:sz w:val="21"/>
                <w:szCs w:val="24"/>
              </w:rPr>
              <w:t>100%</w:t>
            </w:r>
            <w:r>
              <w:rPr>
                <w:rFonts w:hint="eastAsia"/>
                <w:sz w:val="21"/>
                <w:szCs w:val="24"/>
              </w:rPr>
              <w:t>的计</w:t>
            </w:r>
            <w:r>
              <w:rPr>
                <w:rFonts w:hint="default"/>
                <w:sz w:val="21"/>
                <w:szCs w:val="24"/>
              </w:rPr>
              <w:t>1</w:t>
            </w:r>
            <w:r>
              <w:rPr>
                <w:rFonts w:hint="eastAsia"/>
                <w:sz w:val="21"/>
                <w:szCs w:val="24"/>
              </w:rPr>
              <w:t>分，每降</w:t>
            </w:r>
            <w:r>
              <w:rPr>
                <w:rFonts w:hint="default"/>
                <w:sz w:val="21"/>
                <w:szCs w:val="24"/>
              </w:rPr>
              <w:t>1</w:t>
            </w:r>
            <w:r>
              <w:rPr>
                <w:rFonts w:hint="eastAsia"/>
                <w:sz w:val="21"/>
                <w:szCs w:val="24"/>
              </w:rPr>
              <w:t>个百分点扣</w:t>
            </w:r>
            <w:r>
              <w:rPr>
                <w:rFonts w:hint="default"/>
                <w:sz w:val="21"/>
                <w:szCs w:val="24"/>
              </w:rPr>
              <w:t>0.1</w:t>
            </w:r>
            <w:r>
              <w:rPr>
                <w:rFonts w:hint="eastAsia"/>
                <w:sz w:val="21"/>
                <w:szCs w:val="24"/>
              </w:rPr>
              <w:t>分，扣完为止）</w:t>
            </w:r>
          </w:p>
        </w:tc>
        <w:tc>
          <w:tcPr>
            <w:tcW w:w="469" w:type="pct"/>
            <w:tcBorders>
              <w:top w:val="nil"/>
              <w:left w:val="nil"/>
              <w:bottom w:val="single" w:color="auto" w:sz="4" w:space="0"/>
              <w:right w:val="single" w:color="auto" w:sz="4" w:space="0"/>
              <w:tl2br w:val="nil"/>
              <w:tr2bl w:val="nil"/>
            </w:tcBorders>
            <w:noWrap/>
            <w:vAlign w:val="center"/>
          </w:tcPr>
          <w:p>
            <w:pPr>
              <w:spacing w:beforeLines="0" w:afterLines="0" w:line="240" w:lineRule="exact"/>
              <w:jc w:val="center"/>
              <w:rPr>
                <w:rFonts w:hint="eastAsia"/>
                <w:sz w:val="21"/>
                <w:szCs w:val="24"/>
                <w:lang w:val="en-US" w:eastAsia="zh-CN"/>
              </w:rPr>
            </w:pPr>
            <w:r>
              <w:rPr>
                <w:rFonts w:hint="eastAsia"/>
                <w:sz w:val="21"/>
                <w:szCs w:val="24"/>
                <w:lang w:val="en-US" w:eastAsia="zh-CN"/>
              </w:rPr>
              <w:t>1</w:t>
            </w:r>
          </w:p>
        </w:tc>
        <w:tc>
          <w:tcPr>
            <w:tcW w:w="442" w:type="pct"/>
            <w:tcBorders>
              <w:top w:val="nil"/>
              <w:left w:val="nil"/>
              <w:bottom w:val="single" w:color="auto" w:sz="4" w:space="0"/>
              <w:right w:val="single" w:color="auto" w:sz="12" w:space="0"/>
              <w:tl2br w:val="nil"/>
              <w:tr2bl w:val="nil"/>
            </w:tcBorders>
            <w:noWrap/>
            <w:vAlign w:val="center"/>
          </w:tcPr>
          <w:p>
            <w:pPr>
              <w:spacing w:beforeLines="0" w:afterLines="0" w:line="240" w:lineRule="exact"/>
              <w:jc w:val="center"/>
              <w:rPr>
                <w:rFonts w:hint="default"/>
                <w:sz w:val="21"/>
                <w:szCs w:val="24"/>
                <w:lang w:val="en-US" w:eastAsia="zh-CN"/>
              </w:rPr>
            </w:pPr>
            <w:r>
              <w:rPr>
                <w:rFonts w:hint="eastAsia"/>
                <w:sz w:val="21"/>
                <w:szCs w:val="24"/>
                <w:lang w:eastAsia="zh-CN"/>
              </w:rPr>
              <w:t>利用率</w:t>
            </w:r>
            <w:r>
              <w:rPr>
                <w:rFonts w:hint="eastAsia"/>
                <w:sz w:val="21"/>
                <w:szCs w:val="24"/>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621" w:hRule="atLeast"/>
          <w:jc w:val="center"/>
        </w:trPr>
        <w:tc>
          <w:tcPr>
            <w:tcW w:w="354" w:type="pct"/>
            <w:vMerge w:val="restart"/>
            <w:tcBorders>
              <w:top w:val="nil"/>
              <w:left w:val="single" w:color="auto" w:sz="12" w:space="0"/>
              <w:bottom w:val="single" w:color="auto" w:sz="4" w:space="0"/>
              <w:right w:val="single" w:color="auto" w:sz="4" w:space="0"/>
              <w:tl2br w:val="nil"/>
              <w:tr2bl w:val="nil"/>
            </w:tcBorders>
            <w:noWrap/>
            <w:textDirection w:val="tbRlV"/>
            <w:vAlign w:val="center"/>
          </w:tcPr>
          <w:p>
            <w:pPr>
              <w:spacing w:beforeLines="0" w:afterLines="0" w:line="240" w:lineRule="exact"/>
              <w:jc w:val="center"/>
              <w:rPr>
                <w:rFonts w:hint="default"/>
                <w:sz w:val="21"/>
                <w:szCs w:val="24"/>
              </w:rPr>
            </w:pPr>
            <w:r>
              <w:rPr>
                <w:rFonts w:hint="eastAsia"/>
                <w:sz w:val="21"/>
                <w:szCs w:val="24"/>
              </w:rPr>
              <w:t>产</w:t>
            </w:r>
            <w:r>
              <w:rPr>
                <w:rFonts w:hint="default"/>
                <w:sz w:val="21"/>
                <w:szCs w:val="24"/>
              </w:rPr>
              <w:t xml:space="preserve"> </w:t>
            </w:r>
            <w:r>
              <w:rPr>
                <w:rFonts w:hint="eastAsia"/>
                <w:sz w:val="21"/>
                <w:szCs w:val="24"/>
              </w:rPr>
              <w:t>出（</w:t>
            </w:r>
            <w:r>
              <w:rPr>
                <w:rFonts w:hint="default"/>
                <w:sz w:val="21"/>
                <w:szCs w:val="24"/>
              </w:rPr>
              <w:t>30</w:t>
            </w:r>
            <w:r>
              <w:rPr>
                <w:rFonts w:hint="eastAsia"/>
                <w:sz w:val="21"/>
                <w:szCs w:val="24"/>
              </w:rPr>
              <w:t>分）</w:t>
            </w:r>
          </w:p>
        </w:tc>
        <w:tc>
          <w:tcPr>
            <w:tcW w:w="323" w:type="pct"/>
            <w:vMerge w:val="restart"/>
            <w:tcBorders>
              <w:top w:val="nil"/>
              <w:left w:val="single" w:color="auto" w:sz="4" w:space="0"/>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职责履行（</w:t>
            </w:r>
            <w:r>
              <w:rPr>
                <w:rFonts w:hint="default"/>
                <w:sz w:val="21"/>
                <w:szCs w:val="24"/>
              </w:rPr>
              <w:t>30</w:t>
            </w:r>
            <w:r>
              <w:rPr>
                <w:rFonts w:hint="eastAsia"/>
                <w:sz w:val="21"/>
                <w:szCs w:val="24"/>
              </w:rPr>
              <w:t>分）</w:t>
            </w:r>
          </w:p>
        </w:tc>
        <w:tc>
          <w:tcPr>
            <w:tcW w:w="573"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实际完成率（</w:t>
            </w:r>
            <w:r>
              <w:rPr>
                <w:rFonts w:hint="default"/>
                <w:sz w:val="21"/>
                <w:szCs w:val="24"/>
              </w:rPr>
              <w:t>8</w:t>
            </w:r>
            <w:r>
              <w:rPr>
                <w:rFonts w:hint="eastAsia"/>
                <w:sz w:val="21"/>
                <w:szCs w:val="24"/>
              </w:rPr>
              <w:t>分）</w:t>
            </w:r>
          </w:p>
        </w:tc>
        <w:tc>
          <w:tcPr>
            <w:tcW w:w="1230"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部门（单位）履行职责而实际完成工作数与计划工作数的比率，用以反映和考核部门（单位）履职工作任务目标的实现程度。</w:t>
            </w:r>
          </w:p>
        </w:tc>
        <w:tc>
          <w:tcPr>
            <w:tcW w:w="1609"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实际完成率</w:t>
            </w:r>
            <w:r>
              <w:rPr>
                <w:rFonts w:hint="default"/>
                <w:sz w:val="21"/>
                <w:szCs w:val="24"/>
              </w:rPr>
              <w:t>=</w:t>
            </w:r>
            <w:r>
              <w:rPr>
                <w:rFonts w:hint="eastAsia"/>
                <w:sz w:val="21"/>
                <w:szCs w:val="24"/>
              </w:rPr>
              <w:t>（实际完成工作数</w:t>
            </w:r>
            <w:r>
              <w:rPr>
                <w:rFonts w:hint="default"/>
                <w:sz w:val="21"/>
                <w:szCs w:val="24"/>
              </w:rPr>
              <w:t>/</w:t>
            </w:r>
            <w:r>
              <w:rPr>
                <w:rFonts w:hint="eastAsia"/>
                <w:sz w:val="21"/>
                <w:szCs w:val="24"/>
              </w:rPr>
              <w:t>计划工作数）×</w:t>
            </w:r>
            <w:r>
              <w:rPr>
                <w:rFonts w:hint="default"/>
                <w:sz w:val="21"/>
                <w:szCs w:val="24"/>
              </w:rPr>
              <w:t>100%</w:t>
            </w:r>
            <w:r>
              <w:rPr>
                <w:rFonts w:hint="eastAsia"/>
                <w:sz w:val="21"/>
                <w:szCs w:val="24"/>
              </w:rPr>
              <w:t>。（实际得分</w:t>
            </w:r>
            <w:r>
              <w:rPr>
                <w:rFonts w:hint="default"/>
                <w:sz w:val="21"/>
                <w:szCs w:val="24"/>
              </w:rPr>
              <w:t>=</w:t>
            </w:r>
            <w:r>
              <w:rPr>
                <w:rFonts w:hint="eastAsia"/>
                <w:sz w:val="21"/>
                <w:szCs w:val="24"/>
              </w:rPr>
              <w:t>实际工作完成率</w:t>
            </w:r>
            <w:r>
              <w:rPr>
                <w:rFonts w:hint="default"/>
                <w:sz w:val="21"/>
                <w:szCs w:val="24"/>
              </w:rPr>
              <w:t>*8</w:t>
            </w:r>
            <w:r>
              <w:rPr>
                <w:rFonts w:hint="eastAsia"/>
                <w:sz w:val="21"/>
                <w:szCs w:val="24"/>
              </w:rPr>
              <w:t>分）</w:t>
            </w:r>
          </w:p>
          <w:p>
            <w:pPr>
              <w:spacing w:beforeLines="0" w:afterLines="0" w:line="240" w:lineRule="exact"/>
              <w:rPr>
                <w:rFonts w:hint="default"/>
                <w:sz w:val="21"/>
                <w:szCs w:val="24"/>
              </w:rPr>
            </w:pPr>
            <w:r>
              <w:rPr>
                <w:rFonts w:hint="eastAsia"/>
                <w:sz w:val="21"/>
                <w:szCs w:val="24"/>
              </w:rPr>
              <w:t>实际完成工作数：一定时期（年度或规划期）内部门（单位）实际完成工作任务的数量。</w:t>
            </w:r>
          </w:p>
          <w:p>
            <w:pPr>
              <w:spacing w:beforeLines="0" w:afterLines="0" w:line="240" w:lineRule="exact"/>
              <w:rPr>
                <w:rFonts w:hint="default"/>
                <w:sz w:val="21"/>
                <w:szCs w:val="24"/>
              </w:rPr>
            </w:pPr>
            <w:r>
              <w:rPr>
                <w:rFonts w:hint="eastAsia"/>
                <w:sz w:val="21"/>
                <w:szCs w:val="24"/>
              </w:rPr>
              <w:t>计划工作数：部门（单位）整体绩效目标确定的一定时期（年度或规划期）内预计完成工作任务的数量。</w:t>
            </w:r>
          </w:p>
        </w:tc>
        <w:tc>
          <w:tcPr>
            <w:tcW w:w="469" w:type="pct"/>
            <w:tcBorders>
              <w:top w:val="nil"/>
              <w:left w:val="nil"/>
              <w:bottom w:val="single" w:color="auto" w:sz="4" w:space="0"/>
              <w:right w:val="single" w:color="auto" w:sz="4" w:space="0"/>
              <w:tl2br w:val="nil"/>
              <w:tr2bl w:val="nil"/>
            </w:tcBorders>
            <w:noWrap/>
            <w:vAlign w:val="center"/>
          </w:tcPr>
          <w:p>
            <w:pPr>
              <w:spacing w:beforeLines="0" w:afterLines="0" w:line="240" w:lineRule="exact"/>
              <w:jc w:val="center"/>
              <w:rPr>
                <w:rFonts w:hint="eastAsia"/>
                <w:sz w:val="21"/>
                <w:szCs w:val="24"/>
                <w:lang w:val="en-US" w:eastAsia="zh-CN"/>
              </w:rPr>
            </w:pPr>
            <w:r>
              <w:rPr>
                <w:rFonts w:hint="eastAsia"/>
                <w:sz w:val="21"/>
                <w:szCs w:val="24"/>
                <w:lang w:val="en-US" w:eastAsia="zh-CN"/>
              </w:rPr>
              <w:t>8</w:t>
            </w:r>
          </w:p>
        </w:tc>
        <w:tc>
          <w:tcPr>
            <w:tcW w:w="442" w:type="pct"/>
            <w:tcBorders>
              <w:top w:val="nil"/>
              <w:left w:val="nil"/>
              <w:bottom w:val="single" w:color="auto" w:sz="4" w:space="0"/>
              <w:right w:val="single" w:color="auto" w:sz="12" w:space="0"/>
              <w:tl2br w:val="nil"/>
              <w:tr2bl w:val="nil"/>
            </w:tcBorders>
            <w:noWrap/>
            <w:vAlign w:val="center"/>
          </w:tcPr>
          <w:p>
            <w:pPr>
              <w:spacing w:beforeLines="0" w:afterLines="0" w:line="240" w:lineRule="exact"/>
              <w:jc w:val="center"/>
              <w:rPr>
                <w:rFonts w:hint="eastAsia"/>
                <w:sz w:val="21"/>
                <w:szCs w:val="24"/>
                <w:lang w:eastAsia="zh-CN"/>
              </w:rPr>
            </w:pPr>
            <w:r>
              <w:rPr>
                <w:rFonts w:hint="eastAsia"/>
                <w:sz w:val="21"/>
                <w:szCs w:val="24"/>
                <w:lang w:eastAsia="zh-CN"/>
              </w:rPr>
              <w:t>按计划完成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1359" w:hRule="atLeast"/>
          <w:jc w:val="center"/>
        </w:trPr>
        <w:tc>
          <w:tcPr>
            <w:tcW w:w="354" w:type="pct"/>
            <w:vMerge w:val="continue"/>
            <w:tcBorders>
              <w:top w:val="nil"/>
              <w:left w:val="single" w:color="auto" w:sz="12" w:space="0"/>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323" w:type="pct"/>
            <w:vMerge w:val="continue"/>
            <w:tcBorders>
              <w:top w:val="nil"/>
              <w:left w:val="single" w:color="auto" w:sz="4" w:space="0"/>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573"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完成及时率（</w:t>
            </w:r>
            <w:r>
              <w:rPr>
                <w:rFonts w:hint="default"/>
                <w:sz w:val="21"/>
                <w:szCs w:val="24"/>
              </w:rPr>
              <w:t>4</w:t>
            </w:r>
            <w:r>
              <w:rPr>
                <w:rFonts w:hint="eastAsia"/>
                <w:sz w:val="21"/>
                <w:szCs w:val="24"/>
              </w:rPr>
              <w:t>分）</w:t>
            </w:r>
          </w:p>
        </w:tc>
        <w:tc>
          <w:tcPr>
            <w:tcW w:w="1230"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部门（单位）在规定时限内及时完成的实际工作数与计划工作数的比率</w:t>
            </w:r>
            <w:r>
              <w:rPr>
                <w:rFonts w:hint="default"/>
                <w:sz w:val="21"/>
                <w:szCs w:val="24"/>
              </w:rPr>
              <w:t>,</w:t>
            </w:r>
            <w:r>
              <w:rPr>
                <w:rFonts w:hint="eastAsia"/>
                <w:sz w:val="21"/>
                <w:szCs w:val="24"/>
              </w:rPr>
              <w:t>用以反映和考核部门履职时效目标的实现程度。</w:t>
            </w:r>
          </w:p>
        </w:tc>
        <w:tc>
          <w:tcPr>
            <w:tcW w:w="1609"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完成及时率</w:t>
            </w:r>
            <w:r>
              <w:rPr>
                <w:rFonts w:hint="default"/>
                <w:sz w:val="21"/>
                <w:szCs w:val="24"/>
              </w:rPr>
              <w:t>=</w:t>
            </w:r>
            <w:r>
              <w:rPr>
                <w:rFonts w:hint="eastAsia"/>
                <w:sz w:val="21"/>
                <w:szCs w:val="24"/>
              </w:rPr>
              <w:t>（及时完成实际工作数</w:t>
            </w:r>
            <w:r>
              <w:rPr>
                <w:rFonts w:hint="default"/>
                <w:sz w:val="21"/>
                <w:szCs w:val="24"/>
              </w:rPr>
              <w:t>/</w:t>
            </w:r>
            <w:r>
              <w:rPr>
                <w:rFonts w:hint="eastAsia"/>
                <w:sz w:val="21"/>
                <w:szCs w:val="24"/>
              </w:rPr>
              <w:t>计划工作数）×</w:t>
            </w:r>
            <w:r>
              <w:rPr>
                <w:rFonts w:hint="default"/>
                <w:sz w:val="21"/>
                <w:szCs w:val="24"/>
              </w:rPr>
              <w:t>100%</w:t>
            </w:r>
            <w:r>
              <w:rPr>
                <w:rFonts w:hint="eastAsia"/>
                <w:sz w:val="21"/>
                <w:szCs w:val="24"/>
              </w:rPr>
              <w:t>。（</w:t>
            </w:r>
            <w:r>
              <w:rPr>
                <w:rFonts w:hint="default"/>
                <w:sz w:val="21"/>
                <w:szCs w:val="24"/>
              </w:rPr>
              <w:t>1--4</w:t>
            </w:r>
            <w:r>
              <w:rPr>
                <w:rFonts w:hint="eastAsia"/>
                <w:sz w:val="21"/>
                <w:szCs w:val="24"/>
              </w:rPr>
              <w:t>季度各得</w:t>
            </w:r>
            <w:r>
              <w:rPr>
                <w:rFonts w:hint="default"/>
                <w:sz w:val="21"/>
                <w:szCs w:val="24"/>
              </w:rPr>
              <w:t>1</w:t>
            </w:r>
            <w:r>
              <w:rPr>
                <w:rFonts w:hint="eastAsia"/>
                <w:sz w:val="21"/>
                <w:szCs w:val="24"/>
              </w:rPr>
              <w:t>分）</w:t>
            </w:r>
          </w:p>
          <w:p>
            <w:pPr>
              <w:spacing w:beforeLines="0" w:afterLines="0" w:line="240" w:lineRule="exact"/>
              <w:rPr>
                <w:rFonts w:hint="default"/>
                <w:sz w:val="21"/>
                <w:szCs w:val="24"/>
              </w:rPr>
            </w:pPr>
            <w:r>
              <w:rPr>
                <w:rFonts w:hint="eastAsia"/>
                <w:sz w:val="21"/>
                <w:szCs w:val="24"/>
              </w:rPr>
              <w:t>及时完成实际工作数：部门（单位）按照整体绩效目标确定的时限实际完成的工作任务数量。</w:t>
            </w:r>
          </w:p>
        </w:tc>
        <w:tc>
          <w:tcPr>
            <w:tcW w:w="469" w:type="pct"/>
            <w:tcBorders>
              <w:top w:val="nil"/>
              <w:left w:val="nil"/>
              <w:bottom w:val="single" w:color="auto" w:sz="4" w:space="0"/>
              <w:right w:val="single" w:color="auto" w:sz="4" w:space="0"/>
              <w:tl2br w:val="nil"/>
              <w:tr2bl w:val="nil"/>
            </w:tcBorders>
            <w:noWrap/>
            <w:vAlign w:val="center"/>
          </w:tcPr>
          <w:p>
            <w:pPr>
              <w:spacing w:beforeLines="0" w:afterLines="0" w:line="240" w:lineRule="exact"/>
              <w:jc w:val="center"/>
              <w:rPr>
                <w:rFonts w:hint="eastAsia"/>
                <w:sz w:val="21"/>
                <w:szCs w:val="24"/>
                <w:lang w:val="en-US" w:eastAsia="zh-CN"/>
              </w:rPr>
            </w:pPr>
            <w:r>
              <w:rPr>
                <w:rFonts w:hint="eastAsia"/>
                <w:sz w:val="21"/>
                <w:szCs w:val="24"/>
                <w:lang w:val="en-US" w:eastAsia="zh-CN"/>
              </w:rPr>
              <w:t>4</w:t>
            </w:r>
          </w:p>
        </w:tc>
        <w:tc>
          <w:tcPr>
            <w:tcW w:w="442" w:type="pct"/>
            <w:tcBorders>
              <w:top w:val="nil"/>
              <w:left w:val="nil"/>
              <w:bottom w:val="single" w:color="auto" w:sz="4" w:space="0"/>
              <w:right w:val="single" w:color="auto" w:sz="12" w:space="0"/>
              <w:tl2br w:val="nil"/>
              <w:tr2bl w:val="nil"/>
            </w:tcBorders>
            <w:noWrap/>
            <w:vAlign w:val="center"/>
          </w:tcPr>
          <w:p>
            <w:pPr>
              <w:spacing w:beforeLines="0" w:afterLines="0" w:line="240" w:lineRule="exact"/>
              <w:jc w:val="center"/>
              <w:rPr>
                <w:rFonts w:hint="eastAsia"/>
                <w:sz w:val="21"/>
                <w:szCs w:val="24"/>
                <w:lang w:eastAsia="zh-CN"/>
              </w:rPr>
            </w:pPr>
            <w:r>
              <w:rPr>
                <w:rFonts w:hint="eastAsia"/>
                <w:sz w:val="21"/>
                <w:szCs w:val="24"/>
                <w:lang w:eastAsia="zh-CN"/>
              </w:rPr>
              <w:t>及时完成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1778" w:hRule="atLeast"/>
          <w:jc w:val="center"/>
        </w:trPr>
        <w:tc>
          <w:tcPr>
            <w:tcW w:w="354" w:type="pct"/>
            <w:vMerge w:val="continue"/>
            <w:tcBorders>
              <w:top w:val="nil"/>
              <w:left w:val="single" w:color="auto" w:sz="12" w:space="0"/>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323" w:type="pct"/>
            <w:vMerge w:val="continue"/>
            <w:tcBorders>
              <w:top w:val="nil"/>
              <w:left w:val="single" w:color="auto" w:sz="4" w:space="0"/>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573"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质量达标率（</w:t>
            </w:r>
            <w:r>
              <w:rPr>
                <w:rFonts w:hint="default"/>
                <w:sz w:val="21"/>
                <w:szCs w:val="24"/>
              </w:rPr>
              <w:t>8</w:t>
            </w:r>
            <w:r>
              <w:rPr>
                <w:rFonts w:hint="eastAsia"/>
                <w:sz w:val="21"/>
                <w:szCs w:val="24"/>
              </w:rPr>
              <w:t>分）</w:t>
            </w:r>
          </w:p>
        </w:tc>
        <w:tc>
          <w:tcPr>
            <w:tcW w:w="1230"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达到质量标准（绩效标准值）的实际工作数与计划工作数的比率</w:t>
            </w:r>
            <w:r>
              <w:rPr>
                <w:rFonts w:hint="default"/>
                <w:sz w:val="21"/>
                <w:szCs w:val="24"/>
              </w:rPr>
              <w:t>,</w:t>
            </w:r>
            <w:r>
              <w:rPr>
                <w:rFonts w:hint="eastAsia"/>
                <w:sz w:val="21"/>
                <w:szCs w:val="24"/>
              </w:rPr>
              <w:t>用以反映和考核部门履职质量目标的实现程度。</w:t>
            </w:r>
          </w:p>
        </w:tc>
        <w:tc>
          <w:tcPr>
            <w:tcW w:w="1609"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质量达标率</w:t>
            </w:r>
            <w:r>
              <w:rPr>
                <w:rFonts w:hint="default"/>
                <w:sz w:val="21"/>
                <w:szCs w:val="24"/>
              </w:rPr>
              <w:t>=</w:t>
            </w:r>
            <w:r>
              <w:rPr>
                <w:rFonts w:hint="eastAsia"/>
                <w:sz w:val="21"/>
                <w:szCs w:val="24"/>
              </w:rPr>
              <w:t>（质量达标实际工作数</w:t>
            </w:r>
            <w:r>
              <w:rPr>
                <w:rFonts w:hint="default"/>
                <w:sz w:val="21"/>
                <w:szCs w:val="24"/>
              </w:rPr>
              <w:t>/</w:t>
            </w:r>
            <w:r>
              <w:rPr>
                <w:rFonts w:hint="eastAsia"/>
                <w:sz w:val="21"/>
                <w:szCs w:val="24"/>
              </w:rPr>
              <w:t>计划工作数）×</w:t>
            </w:r>
            <w:r>
              <w:rPr>
                <w:rFonts w:hint="default"/>
                <w:sz w:val="21"/>
                <w:szCs w:val="24"/>
              </w:rPr>
              <w:t>100%</w:t>
            </w:r>
            <w:r>
              <w:rPr>
                <w:rFonts w:hint="eastAsia"/>
                <w:sz w:val="21"/>
                <w:szCs w:val="24"/>
              </w:rPr>
              <w:t>。（实际得分</w:t>
            </w:r>
            <w:r>
              <w:rPr>
                <w:rFonts w:hint="default"/>
                <w:sz w:val="21"/>
                <w:szCs w:val="24"/>
              </w:rPr>
              <w:t>=</w:t>
            </w:r>
            <w:r>
              <w:rPr>
                <w:rFonts w:hint="eastAsia"/>
                <w:sz w:val="21"/>
                <w:szCs w:val="24"/>
              </w:rPr>
              <w:t>达标率</w:t>
            </w:r>
            <w:r>
              <w:rPr>
                <w:rFonts w:hint="default"/>
                <w:sz w:val="21"/>
                <w:szCs w:val="24"/>
              </w:rPr>
              <w:t>*8</w:t>
            </w:r>
            <w:r>
              <w:rPr>
                <w:rFonts w:hint="eastAsia"/>
                <w:sz w:val="21"/>
                <w:szCs w:val="24"/>
              </w:rPr>
              <w:t>分）</w:t>
            </w:r>
          </w:p>
          <w:p>
            <w:pPr>
              <w:spacing w:beforeLines="0" w:afterLines="0" w:line="240" w:lineRule="exact"/>
              <w:rPr>
                <w:rFonts w:hint="default"/>
                <w:sz w:val="21"/>
                <w:szCs w:val="24"/>
              </w:rPr>
            </w:pPr>
            <w:r>
              <w:rPr>
                <w:rFonts w:hint="eastAsia"/>
                <w:sz w:val="21"/>
                <w:szCs w:val="24"/>
              </w:rPr>
              <w:t>质量达标实际工作数：一定时期（年度或规划期）内部门（单位）实际完成工作数中达到部门绩效目标要求（绩效标准值）的工作任务数量。</w:t>
            </w:r>
          </w:p>
        </w:tc>
        <w:tc>
          <w:tcPr>
            <w:tcW w:w="469" w:type="pct"/>
            <w:tcBorders>
              <w:top w:val="nil"/>
              <w:left w:val="nil"/>
              <w:bottom w:val="single" w:color="auto" w:sz="4" w:space="0"/>
              <w:right w:val="single" w:color="auto" w:sz="4" w:space="0"/>
              <w:tl2br w:val="nil"/>
              <w:tr2bl w:val="nil"/>
            </w:tcBorders>
            <w:noWrap/>
            <w:vAlign w:val="center"/>
          </w:tcPr>
          <w:p>
            <w:pPr>
              <w:spacing w:beforeLines="0" w:afterLines="0" w:line="240" w:lineRule="exact"/>
              <w:jc w:val="center"/>
              <w:rPr>
                <w:rFonts w:hint="eastAsia"/>
                <w:sz w:val="21"/>
                <w:szCs w:val="24"/>
                <w:lang w:val="en-US" w:eastAsia="zh-CN"/>
              </w:rPr>
            </w:pPr>
            <w:r>
              <w:rPr>
                <w:rFonts w:hint="eastAsia"/>
                <w:sz w:val="21"/>
                <w:szCs w:val="24"/>
                <w:lang w:val="en-US" w:eastAsia="zh-CN"/>
              </w:rPr>
              <w:t>7</w:t>
            </w:r>
          </w:p>
        </w:tc>
        <w:tc>
          <w:tcPr>
            <w:tcW w:w="442" w:type="pct"/>
            <w:tcBorders>
              <w:top w:val="nil"/>
              <w:left w:val="nil"/>
              <w:bottom w:val="single" w:color="auto" w:sz="4" w:space="0"/>
              <w:right w:val="single" w:color="auto" w:sz="12" w:space="0"/>
              <w:tl2br w:val="nil"/>
              <w:tr2bl w:val="nil"/>
            </w:tcBorders>
            <w:noWrap/>
            <w:vAlign w:val="center"/>
          </w:tcPr>
          <w:p>
            <w:pPr>
              <w:spacing w:beforeLines="0" w:afterLines="0" w:line="240" w:lineRule="exact"/>
              <w:jc w:val="center"/>
              <w:rPr>
                <w:rFonts w:hint="eastAsia"/>
                <w:sz w:val="21"/>
                <w:szCs w:val="24"/>
                <w:lang w:eastAsia="zh-CN"/>
              </w:rPr>
            </w:pPr>
            <w:r>
              <w:rPr>
                <w:rFonts w:hint="eastAsia"/>
                <w:sz w:val="21"/>
                <w:szCs w:val="24"/>
                <w:lang w:eastAsia="zh-CN"/>
              </w:rPr>
              <w:t>达到部门绩效目标</w:t>
            </w:r>
          </w:p>
          <w:p>
            <w:pPr>
              <w:spacing w:beforeLines="0" w:afterLines="0" w:line="240" w:lineRule="exact"/>
              <w:jc w:val="center"/>
              <w:rPr>
                <w:rFonts w:hint="eastAsia"/>
                <w:sz w:val="21"/>
                <w:szCs w:val="24"/>
                <w:lang w:eastAsia="zh-CN"/>
              </w:rPr>
            </w:pPr>
            <w:r>
              <w:rPr>
                <w:rFonts w:hint="eastAsia"/>
                <w:sz w:val="21"/>
                <w:szCs w:val="24"/>
                <w:lang w:eastAsia="zh-CN"/>
              </w:rPr>
              <w:t>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1464" w:hRule="atLeast"/>
          <w:jc w:val="center"/>
        </w:trPr>
        <w:tc>
          <w:tcPr>
            <w:tcW w:w="354" w:type="pct"/>
            <w:vMerge w:val="continue"/>
            <w:tcBorders>
              <w:top w:val="nil"/>
              <w:left w:val="single" w:color="auto" w:sz="12" w:space="0"/>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323" w:type="pct"/>
            <w:vMerge w:val="continue"/>
            <w:tcBorders>
              <w:top w:val="nil"/>
              <w:left w:val="single" w:color="auto" w:sz="4" w:space="0"/>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573"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重点工作办结率（</w:t>
            </w:r>
            <w:r>
              <w:rPr>
                <w:rFonts w:hint="default"/>
                <w:sz w:val="21"/>
                <w:szCs w:val="24"/>
              </w:rPr>
              <w:t>10</w:t>
            </w:r>
            <w:r>
              <w:rPr>
                <w:rFonts w:hint="eastAsia"/>
                <w:sz w:val="21"/>
                <w:szCs w:val="24"/>
              </w:rPr>
              <w:t>分）</w:t>
            </w:r>
          </w:p>
        </w:tc>
        <w:tc>
          <w:tcPr>
            <w:tcW w:w="1230"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部门（单位）年度重点工作实际完成数与交办或下达数的比率，用以反映部门（单位）对重点工作的办理落实程度。</w:t>
            </w:r>
          </w:p>
        </w:tc>
        <w:tc>
          <w:tcPr>
            <w:tcW w:w="1609" w:type="pct"/>
            <w:tcBorders>
              <w:top w:val="nil"/>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重点工作办结率</w:t>
            </w:r>
            <w:r>
              <w:rPr>
                <w:rFonts w:hint="default"/>
                <w:sz w:val="21"/>
                <w:szCs w:val="24"/>
              </w:rPr>
              <w:t>=</w:t>
            </w:r>
            <w:r>
              <w:rPr>
                <w:rFonts w:hint="eastAsia"/>
                <w:sz w:val="21"/>
                <w:szCs w:val="24"/>
              </w:rPr>
              <w:t>（重点工作实际完成数</w:t>
            </w:r>
            <w:r>
              <w:rPr>
                <w:rFonts w:hint="default"/>
                <w:sz w:val="21"/>
                <w:szCs w:val="24"/>
              </w:rPr>
              <w:t>/</w:t>
            </w:r>
            <w:r>
              <w:rPr>
                <w:rFonts w:hint="eastAsia"/>
                <w:sz w:val="21"/>
                <w:szCs w:val="24"/>
              </w:rPr>
              <w:t>交办或下达数）×</w:t>
            </w:r>
            <w:r>
              <w:rPr>
                <w:rFonts w:hint="default"/>
                <w:sz w:val="21"/>
                <w:szCs w:val="24"/>
              </w:rPr>
              <w:t>100%</w:t>
            </w:r>
            <w:r>
              <w:rPr>
                <w:rFonts w:hint="eastAsia"/>
                <w:sz w:val="21"/>
                <w:szCs w:val="24"/>
              </w:rPr>
              <w:t>。（实际得分</w:t>
            </w:r>
            <w:r>
              <w:rPr>
                <w:rFonts w:hint="default"/>
                <w:sz w:val="21"/>
                <w:szCs w:val="24"/>
              </w:rPr>
              <w:t>=</w:t>
            </w:r>
            <w:r>
              <w:rPr>
                <w:rFonts w:hint="eastAsia"/>
                <w:sz w:val="21"/>
                <w:szCs w:val="24"/>
              </w:rPr>
              <w:t>办结率</w:t>
            </w:r>
            <w:r>
              <w:rPr>
                <w:rFonts w:hint="default"/>
                <w:sz w:val="21"/>
                <w:szCs w:val="24"/>
              </w:rPr>
              <w:t>*10</w:t>
            </w:r>
            <w:r>
              <w:rPr>
                <w:rFonts w:hint="eastAsia"/>
                <w:sz w:val="21"/>
                <w:szCs w:val="24"/>
              </w:rPr>
              <w:t>分）</w:t>
            </w:r>
          </w:p>
          <w:p>
            <w:pPr>
              <w:spacing w:beforeLines="0" w:afterLines="0" w:line="240" w:lineRule="exact"/>
              <w:rPr>
                <w:rFonts w:hint="default"/>
                <w:sz w:val="21"/>
                <w:szCs w:val="24"/>
              </w:rPr>
            </w:pPr>
            <w:r>
              <w:rPr>
                <w:rFonts w:hint="eastAsia"/>
                <w:sz w:val="21"/>
                <w:szCs w:val="24"/>
              </w:rPr>
              <w:t>重点工作是指党委、政府、人大、相关部门交办或下达的工作任务。</w:t>
            </w:r>
          </w:p>
        </w:tc>
        <w:tc>
          <w:tcPr>
            <w:tcW w:w="469" w:type="pct"/>
            <w:tcBorders>
              <w:top w:val="nil"/>
              <w:left w:val="nil"/>
              <w:bottom w:val="single" w:color="auto" w:sz="4" w:space="0"/>
              <w:right w:val="single" w:color="auto" w:sz="4" w:space="0"/>
              <w:tl2br w:val="nil"/>
              <w:tr2bl w:val="nil"/>
            </w:tcBorders>
            <w:noWrap/>
            <w:vAlign w:val="center"/>
          </w:tcPr>
          <w:p>
            <w:pPr>
              <w:spacing w:beforeLines="0" w:afterLines="0" w:line="240" w:lineRule="exact"/>
              <w:jc w:val="center"/>
              <w:rPr>
                <w:rFonts w:hint="default"/>
                <w:sz w:val="21"/>
                <w:szCs w:val="24"/>
                <w:lang w:val="en-US" w:eastAsia="zh-CN"/>
              </w:rPr>
            </w:pPr>
            <w:r>
              <w:rPr>
                <w:rFonts w:hint="eastAsia"/>
                <w:sz w:val="21"/>
                <w:szCs w:val="24"/>
                <w:lang w:val="en-US" w:eastAsia="zh-CN"/>
              </w:rPr>
              <w:t>10</w:t>
            </w:r>
          </w:p>
        </w:tc>
        <w:tc>
          <w:tcPr>
            <w:tcW w:w="442" w:type="pct"/>
            <w:tcBorders>
              <w:top w:val="nil"/>
              <w:left w:val="nil"/>
              <w:bottom w:val="single" w:color="auto" w:sz="4" w:space="0"/>
              <w:right w:val="single" w:color="auto" w:sz="12" w:space="0"/>
              <w:tl2br w:val="nil"/>
              <w:tr2bl w:val="nil"/>
            </w:tcBorders>
            <w:noWrap/>
            <w:vAlign w:val="center"/>
          </w:tcPr>
          <w:p>
            <w:pPr>
              <w:spacing w:beforeLines="0" w:afterLines="0" w:line="240" w:lineRule="exact"/>
              <w:jc w:val="center"/>
              <w:rPr>
                <w:rFonts w:hint="eastAsia"/>
                <w:sz w:val="21"/>
                <w:szCs w:val="24"/>
                <w:lang w:eastAsia="zh-CN"/>
              </w:rPr>
            </w:pPr>
            <w:r>
              <w:rPr>
                <w:rFonts w:hint="eastAsia"/>
                <w:sz w:val="21"/>
                <w:szCs w:val="24"/>
                <w:lang w:eastAsia="zh-CN"/>
              </w:rPr>
              <w:t>重点工作办结完成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776" w:hRule="atLeast"/>
          <w:jc w:val="center"/>
        </w:trPr>
        <w:tc>
          <w:tcPr>
            <w:tcW w:w="354" w:type="pct"/>
            <w:vMerge w:val="restart"/>
            <w:tcBorders>
              <w:top w:val="single" w:color="auto" w:sz="4" w:space="0"/>
              <w:left w:val="single" w:color="auto" w:sz="12" w:space="0"/>
              <w:bottom w:val="single" w:color="auto" w:sz="4" w:space="0"/>
              <w:right w:val="single" w:color="auto" w:sz="4" w:space="0"/>
              <w:tl2br w:val="nil"/>
              <w:tr2bl w:val="nil"/>
            </w:tcBorders>
            <w:noWrap/>
            <w:textDirection w:val="tbRlV"/>
            <w:vAlign w:val="center"/>
          </w:tcPr>
          <w:p>
            <w:pPr>
              <w:spacing w:beforeLines="0" w:afterLines="0" w:line="240" w:lineRule="exact"/>
              <w:jc w:val="center"/>
              <w:rPr>
                <w:rFonts w:hint="default"/>
                <w:sz w:val="21"/>
                <w:szCs w:val="24"/>
              </w:rPr>
            </w:pPr>
            <w:r>
              <w:rPr>
                <w:rFonts w:hint="eastAsia"/>
                <w:sz w:val="21"/>
                <w:szCs w:val="24"/>
              </w:rPr>
              <w:t>效</w:t>
            </w:r>
            <w:r>
              <w:rPr>
                <w:rFonts w:hint="default"/>
                <w:sz w:val="21"/>
                <w:szCs w:val="24"/>
              </w:rPr>
              <w:t xml:space="preserve"> </w:t>
            </w:r>
            <w:r>
              <w:rPr>
                <w:rFonts w:hint="eastAsia"/>
                <w:sz w:val="21"/>
                <w:szCs w:val="24"/>
              </w:rPr>
              <w:t>果（</w:t>
            </w:r>
            <w:r>
              <w:rPr>
                <w:rFonts w:hint="default"/>
                <w:sz w:val="21"/>
                <w:szCs w:val="24"/>
              </w:rPr>
              <w:t>20</w:t>
            </w:r>
            <w:r>
              <w:rPr>
                <w:rFonts w:hint="eastAsia"/>
                <w:sz w:val="21"/>
                <w:szCs w:val="24"/>
              </w:rPr>
              <w:t>分）</w:t>
            </w:r>
          </w:p>
        </w:tc>
        <w:tc>
          <w:tcPr>
            <w:tcW w:w="323"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履职效益（</w:t>
            </w:r>
            <w:r>
              <w:rPr>
                <w:rFonts w:hint="default"/>
                <w:sz w:val="21"/>
                <w:szCs w:val="24"/>
              </w:rPr>
              <w:t>20</w:t>
            </w:r>
            <w:r>
              <w:rPr>
                <w:rFonts w:hint="eastAsia"/>
                <w:sz w:val="21"/>
                <w:szCs w:val="24"/>
              </w:rPr>
              <w:t>分）</w:t>
            </w:r>
          </w:p>
        </w:tc>
        <w:tc>
          <w:tcPr>
            <w:tcW w:w="573" w:type="pct"/>
            <w:tcBorders>
              <w:top w:val="single" w:color="auto" w:sz="4" w:space="0"/>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经济效益（</w:t>
            </w:r>
            <w:r>
              <w:rPr>
                <w:rFonts w:hint="default"/>
                <w:sz w:val="21"/>
                <w:szCs w:val="24"/>
              </w:rPr>
              <w:t>5</w:t>
            </w:r>
            <w:r>
              <w:rPr>
                <w:rFonts w:hint="eastAsia"/>
                <w:sz w:val="21"/>
                <w:szCs w:val="24"/>
              </w:rPr>
              <w:t>分）</w:t>
            </w:r>
          </w:p>
        </w:tc>
        <w:tc>
          <w:tcPr>
            <w:tcW w:w="1230" w:type="pct"/>
            <w:tcBorders>
              <w:top w:val="single" w:color="auto" w:sz="4" w:space="0"/>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部门（单位）履行职责对经济发展所带来的直接或间接影响。</w:t>
            </w:r>
          </w:p>
        </w:tc>
        <w:tc>
          <w:tcPr>
            <w:tcW w:w="1609"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此三项指标为部门整体支出绩效评价指标的共性要素，各单位按照部门整体支出绩效目标实现程度为依据。（按经济效益实现程度</w:t>
            </w:r>
            <w:r>
              <w:rPr>
                <w:rFonts w:hint="default"/>
                <w:sz w:val="21"/>
                <w:szCs w:val="24"/>
              </w:rPr>
              <w:t>*5</w:t>
            </w:r>
            <w:r>
              <w:rPr>
                <w:rFonts w:hint="eastAsia"/>
                <w:sz w:val="21"/>
                <w:szCs w:val="24"/>
              </w:rPr>
              <w:t>、社会效益实现程度</w:t>
            </w:r>
            <w:r>
              <w:rPr>
                <w:rFonts w:hint="default"/>
                <w:sz w:val="21"/>
                <w:szCs w:val="24"/>
              </w:rPr>
              <w:t>*5</w:t>
            </w:r>
            <w:r>
              <w:rPr>
                <w:rFonts w:hint="eastAsia"/>
                <w:sz w:val="21"/>
                <w:szCs w:val="24"/>
              </w:rPr>
              <w:t>、生态效益实现程度</w:t>
            </w:r>
            <w:r>
              <w:rPr>
                <w:rFonts w:hint="default"/>
                <w:sz w:val="21"/>
                <w:szCs w:val="24"/>
              </w:rPr>
              <w:t>*5</w:t>
            </w:r>
            <w:r>
              <w:rPr>
                <w:rFonts w:hint="eastAsia"/>
                <w:sz w:val="21"/>
                <w:szCs w:val="24"/>
              </w:rPr>
              <w:t>计算实际得分）</w:t>
            </w:r>
          </w:p>
        </w:tc>
        <w:tc>
          <w:tcPr>
            <w:tcW w:w="469" w:type="pct"/>
            <w:tcBorders>
              <w:top w:val="single" w:color="auto" w:sz="4" w:space="0"/>
              <w:left w:val="nil"/>
              <w:bottom w:val="single" w:color="auto" w:sz="4" w:space="0"/>
              <w:right w:val="single" w:color="auto" w:sz="4" w:space="0"/>
              <w:tl2br w:val="nil"/>
              <w:tr2bl w:val="nil"/>
            </w:tcBorders>
            <w:noWrap/>
            <w:vAlign w:val="center"/>
          </w:tcPr>
          <w:p>
            <w:pPr>
              <w:spacing w:beforeLines="0" w:afterLines="0" w:line="240" w:lineRule="exact"/>
              <w:jc w:val="center"/>
              <w:rPr>
                <w:rFonts w:hint="eastAsia"/>
                <w:sz w:val="21"/>
                <w:szCs w:val="24"/>
                <w:lang w:val="en-US" w:eastAsia="zh-CN"/>
              </w:rPr>
            </w:pPr>
            <w:r>
              <w:rPr>
                <w:rFonts w:hint="eastAsia"/>
                <w:sz w:val="21"/>
                <w:szCs w:val="24"/>
                <w:lang w:val="en-US" w:eastAsia="zh-CN"/>
              </w:rPr>
              <w:t>5</w:t>
            </w:r>
          </w:p>
        </w:tc>
        <w:tc>
          <w:tcPr>
            <w:tcW w:w="442" w:type="pct"/>
            <w:tcBorders>
              <w:top w:val="single" w:color="auto" w:sz="4" w:space="0"/>
              <w:left w:val="nil"/>
              <w:bottom w:val="single" w:color="auto" w:sz="4" w:space="0"/>
              <w:right w:val="single" w:color="auto" w:sz="12" w:space="0"/>
              <w:tl2br w:val="nil"/>
              <w:tr2bl w:val="nil"/>
            </w:tcBorders>
            <w:noWrap/>
            <w:vAlign w:val="center"/>
          </w:tcPr>
          <w:p>
            <w:pPr>
              <w:spacing w:beforeLines="0" w:afterLines="0" w:line="240" w:lineRule="exact"/>
              <w:jc w:val="center"/>
              <w:rPr>
                <w:rFonts w:hint="default"/>
                <w:sz w:val="21"/>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876" w:hRule="atLeast"/>
          <w:jc w:val="center"/>
        </w:trPr>
        <w:tc>
          <w:tcPr>
            <w:tcW w:w="354" w:type="pct"/>
            <w:vMerge w:val="continue"/>
            <w:tcBorders>
              <w:top w:val="single" w:color="auto" w:sz="4" w:space="0"/>
              <w:left w:val="single" w:color="auto" w:sz="12" w:space="0"/>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323"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573" w:type="pct"/>
            <w:tcBorders>
              <w:top w:val="single" w:color="auto" w:sz="4" w:space="0"/>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社会效益（</w:t>
            </w:r>
            <w:r>
              <w:rPr>
                <w:rFonts w:hint="default"/>
                <w:sz w:val="21"/>
                <w:szCs w:val="24"/>
              </w:rPr>
              <w:t>5</w:t>
            </w:r>
            <w:r>
              <w:rPr>
                <w:rFonts w:hint="eastAsia"/>
                <w:sz w:val="21"/>
                <w:szCs w:val="24"/>
              </w:rPr>
              <w:t>分）</w:t>
            </w:r>
          </w:p>
        </w:tc>
        <w:tc>
          <w:tcPr>
            <w:tcW w:w="1230" w:type="pct"/>
            <w:tcBorders>
              <w:top w:val="single" w:color="auto" w:sz="4" w:space="0"/>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部门（单位）履行职责对社会发展所带来的直接或间接影响。</w:t>
            </w:r>
          </w:p>
        </w:tc>
        <w:tc>
          <w:tcPr>
            <w:tcW w:w="160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p>
        </w:tc>
        <w:tc>
          <w:tcPr>
            <w:tcW w:w="469" w:type="pct"/>
            <w:tcBorders>
              <w:top w:val="single" w:color="auto" w:sz="4" w:space="0"/>
              <w:left w:val="nil"/>
              <w:bottom w:val="single" w:color="auto" w:sz="4" w:space="0"/>
              <w:right w:val="single" w:color="auto" w:sz="4" w:space="0"/>
              <w:tl2br w:val="nil"/>
              <w:tr2bl w:val="nil"/>
            </w:tcBorders>
            <w:noWrap/>
            <w:vAlign w:val="center"/>
          </w:tcPr>
          <w:p>
            <w:pPr>
              <w:spacing w:beforeLines="0" w:afterLines="0" w:line="240" w:lineRule="exact"/>
              <w:jc w:val="center"/>
              <w:rPr>
                <w:rFonts w:hint="eastAsia"/>
                <w:sz w:val="21"/>
                <w:szCs w:val="24"/>
                <w:lang w:val="en-US" w:eastAsia="zh-CN"/>
              </w:rPr>
            </w:pPr>
            <w:r>
              <w:rPr>
                <w:rFonts w:hint="eastAsia"/>
                <w:sz w:val="21"/>
                <w:szCs w:val="24"/>
                <w:lang w:val="en-US" w:eastAsia="zh-CN"/>
              </w:rPr>
              <w:t>5</w:t>
            </w:r>
          </w:p>
        </w:tc>
        <w:tc>
          <w:tcPr>
            <w:tcW w:w="442" w:type="pct"/>
            <w:tcBorders>
              <w:top w:val="single" w:color="auto" w:sz="4" w:space="0"/>
              <w:left w:val="nil"/>
              <w:bottom w:val="single" w:color="auto" w:sz="4" w:space="0"/>
              <w:right w:val="single" w:color="auto" w:sz="12" w:space="0"/>
              <w:tl2br w:val="nil"/>
              <w:tr2bl w:val="nil"/>
            </w:tcBorders>
            <w:noWrap/>
            <w:vAlign w:val="center"/>
          </w:tcPr>
          <w:p>
            <w:pPr>
              <w:spacing w:beforeLines="0" w:afterLines="0" w:line="240" w:lineRule="exact"/>
              <w:jc w:val="center"/>
              <w:rPr>
                <w:rFonts w:hint="eastAsia"/>
                <w:sz w:val="21"/>
                <w:szCs w:val="24"/>
                <w:lang w:eastAsia="zh-CN"/>
              </w:rPr>
            </w:pPr>
            <w:r>
              <w:rPr>
                <w:rFonts w:hint="eastAsia"/>
                <w:sz w:val="21"/>
                <w:szCs w:val="24"/>
                <w:lang w:eastAsia="zh-CN"/>
              </w:rPr>
              <w:t>充分发挥老干部正</w:t>
            </w:r>
          </w:p>
          <w:p>
            <w:pPr>
              <w:spacing w:beforeLines="0" w:afterLines="0" w:line="240" w:lineRule="exact"/>
              <w:jc w:val="center"/>
              <w:rPr>
                <w:rFonts w:hint="eastAsia"/>
                <w:sz w:val="21"/>
                <w:szCs w:val="24"/>
                <w:lang w:eastAsia="zh-CN"/>
              </w:rPr>
            </w:pPr>
            <w:r>
              <w:rPr>
                <w:rFonts w:hint="eastAsia"/>
                <w:sz w:val="21"/>
                <w:szCs w:val="24"/>
                <w:lang w:eastAsia="zh-CN"/>
              </w:rPr>
              <w:t>能量作用，促进老</w:t>
            </w:r>
          </w:p>
          <w:p>
            <w:pPr>
              <w:spacing w:beforeLines="0" w:afterLines="0" w:line="240" w:lineRule="exact"/>
              <w:jc w:val="center"/>
              <w:rPr>
                <w:rFonts w:hint="eastAsia"/>
                <w:sz w:val="21"/>
                <w:szCs w:val="24"/>
                <w:lang w:eastAsia="zh-CN"/>
              </w:rPr>
            </w:pPr>
            <w:r>
              <w:rPr>
                <w:rFonts w:hint="eastAsia"/>
                <w:sz w:val="21"/>
                <w:szCs w:val="24"/>
                <w:lang w:eastAsia="zh-CN"/>
              </w:rPr>
              <w:t>干部身心健康。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777" w:hRule="atLeast"/>
          <w:jc w:val="center"/>
        </w:trPr>
        <w:tc>
          <w:tcPr>
            <w:tcW w:w="354" w:type="pct"/>
            <w:vMerge w:val="continue"/>
            <w:tcBorders>
              <w:top w:val="single" w:color="auto" w:sz="4" w:space="0"/>
              <w:left w:val="single" w:color="auto" w:sz="12" w:space="0"/>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323"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573" w:type="pct"/>
            <w:tcBorders>
              <w:top w:val="single" w:color="auto" w:sz="4" w:space="0"/>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生态效益（</w:t>
            </w:r>
            <w:r>
              <w:rPr>
                <w:rFonts w:hint="default"/>
                <w:sz w:val="21"/>
                <w:szCs w:val="24"/>
              </w:rPr>
              <w:t>5</w:t>
            </w:r>
            <w:r>
              <w:rPr>
                <w:rFonts w:hint="eastAsia"/>
                <w:sz w:val="21"/>
                <w:szCs w:val="24"/>
              </w:rPr>
              <w:t>分）</w:t>
            </w:r>
          </w:p>
        </w:tc>
        <w:tc>
          <w:tcPr>
            <w:tcW w:w="1230" w:type="pct"/>
            <w:tcBorders>
              <w:top w:val="single" w:color="auto" w:sz="4" w:space="0"/>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部门（单位）履行职责对生态环境所带来的直接或间接影响。</w:t>
            </w:r>
          </w:p>
        </w:tc>
        <w:tc>
          <w:tcPr>
            <w:tcW w:w="160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p>
        </w:tc>
        <w:tc>
          <w:tcPr>
            <w:tcW w:w="469" w:type="pct"/>
            <w:tcBorders>
              <w:top w:val="single" w:color="auto" w:sz="4" w:space="0"/>
              <w:left w:val="nil"/>
              <w:bottom w:val="single" w:color="auto" w:sz="4" w:space="0"/>
              <w:right w:val="single" w:color="auto" w:sz="4" w:space="0"/>
              <w:tl2br w:val="nil"/>
              <w:tr2bl w:val="nil"/>
            </w:tcBorders>
            <w:noWrap/>
            <w:vAlign w:val="center"/>
          </w:tcPr>
          <w:p>
            <w:pPr>
              <w:spacing w:beforeLines="0" w:afterLines="0" w:line="240" w:lineRule="exact"/>
              <w:jc w:val="center"/>
              <w:rPr>
                <w:rFonts w:hint="eastAsia"/>
                <w:sz w:val="21"/>
                <w:szCs w:val="24"/>
                <w:lang w:val="en-US" w:eastAsia="zh-CN"/>
              </w:rPr>
            </w:pPr>
            <w:r>
              <w:rPr>
                <w:rFonts w:hint="eastAsia"/>
                <w:sz w:val="21"/>
                <w:szCs w:val="24"/>
                <w:lang w:val="en-US" w:eastAsia="zh-CN"/>
              </w:rPr>
              <w:t>5</w:t>
            </w:r>
          </w:p>
        </w:tc>
        <w:tc>
          <w:tcPr>
            <w:tcW w:w="442" w:type="pct"/>
            <w:tcBorders>
              <w:top w:val="single" w:color="auto" w:sz="4" w:space="0"/>
              <w:left w:val="nil"/>
              <w:bottom w:val="single" w:color="auto" w:sz="4" w:space="0"/>
              <w:right w:val="single" w:color="auto" w:sz="12" w:space="0"/>
              <w:tl2br w:val="nil"/>
              <w:tr2bl w:val="nil"/>
            </w:tcBorders>
            <w:noWrap/>
            <w:vAlign w:val="center"/>
          </w:tcPr>
          <w:p>
            <w:pPr>
              <w:spacing w:beforeLines="0" w:afterLines="0" w:line="240" w:lineRule="exact"/>
              <w:jc w:val="center"/>
              <w:rPr>
                <w:rFonts w:hint="default"/>
                <w:sz w:val="21"/>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1323" w:hRule="atLeast"/>
          <w:jc w:val="center"/>
        </w:trPr>
        <w:tc>
          <w:tcPr>
            <w:tcW w:w="354" w:type="pct"/>
            <w:vMerge w:val="continue"/>
            <w:tcBorders>
              <w:top w:val="single" w:color="auto" w:sz="4" w:space="0"/>
              <w:left w:val="single" w:color="auto" w:sz="12" w:space="0"/>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323"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p>
        </w:tc>
        <w:tc>
          <w:tcPr>
            <w:tcW w:w="573" w:type="pct"/>
            <w:tcBorders>
              <w:top w:val="single" w:color="auto" w:sz="4" w:space="0"/>
              <w:left w:val="nil"/>
              <w:bottom w:val="single" w:color="auto" w:sz="4"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社会公众或服务对象满意度（</w:t>
            </w:r>
            <w:r>
              <w:rPr>
                <w:rFonts w:hint="default"/>
                <w:sz w:val="21"/>
                <w:szCs w:val="24"/>
              </w:rPr>
              <w:t>5</w:t>
            </w:r>
            <w:r>
              <w:rPr>
                <w:rFonts w:hint="eastAsia"/>
                <w:sz w:val="21"/>
                <w:szCs w:val="24"/>
              </w:rPr>
              <w:t>分）</w:t>
            </w:r>
          </w:p>
        </w:tc>
        <w:tc>
          <w:tcPr>
            <w:tcW w:w="1230" w:type="pct"/>
            <w:tcBorders>
              <w:top w:val="single" w:color="auto" w:sz="4" w:space="0"/>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社会公众或部门（单位）的服务对象对部门履职效果的满意程度。</w:t>
            </w:r>
          </w:p>
        </w:tc>
        <w:tc>
          <w:tcPr>
            <w:tcW w:w="1609" w:type="pct"/>
            <w:tcBorders>
              <w:top w:val="single" w:color="auto" w:sz="4" w:space="0"/>
              <w:left w:val="nil"/>
              <w:bottom w:val="single" w:color="auto" w:sz="4" w:space="0"/>
              <w:right w:val="single" w:color="auto" w:sz="4" w:space="0"/>
              <w:tl2br w:val="nil"/>
              <w:tr2bl w:val="nil"/>
            </w:tcBorders>
            <w:noWrap w:val="0"/>
            <w:vAlign w:val="center"/>
          </w:tcPr>
          <w:p>
            <w:pPr>
              <w:spacing w:beforeLines="0" w:afterLines="0" w:line="240" w:lineRule="exact"/>
              <w:rPr>
                <w:rFonts w:hint="default"/>
                <w:sz w:val="21"/>
                <w:szCs w:val="24"/>
              </w:rPr>
            </w:pPr>
            <w:r>
              <w:rPr>
                <w:rFonts w:hint="eastAsia"/>
                <w:sz w:val="21"/>
                <w:szCs w:val="24"/>
              </w:rPr>
              <w:t>社会公众或服务对象是指部门（单位）履行职责而影响到的部门、群体或个人。一般采取社会调查的方式。（按收到的服务对象的满意率计算得分）</w:t>
            </w:r>
          </w:p>
        </w:tc>
        <w:tc>
          <w:tcPr>
            <w:tcW w:w="469" w:type="pct"/>
            <w:tcBorders>
              <w:top w:val="single" w:color="auto" w:sz="4" w:space="0"/>
              <w:left w:val="nil"/>
              <w:bottom w:val="single" w:color="auto" w:sz="4" w:space="0"/>
              <w:right w:val="single" w:color="auto" w:sz="4" w:space="0"/>
              <w:tl2br w:val="nil"/>
              <w:tr2bl w:val="nil"/>
            </w:tcBorders>
            <w:noWrap/>
            <w:vAlign w:val="center"/>
          </w:tcPr>
          <w:p>
            <w:pPr>
              <w:tabs>
                <w:tab w:val="left" w:pos="293"/>
              </w:tabs>
              <w:spacing w:beforeLines="0" w:afterLines="0" w:line="240" w:lineRule="exact"/>
              <w:jc w:val="left"/>
              <w:rPr>
                <w:rFonts w:hint="default"/>
                <w:sz w:val="21"/>
                <w:szCs w:val="24"/>
                <w:lang w:val="en-US" w:eastAsia="zh-CN"/>
              </w:rPr>
            </w:pPr>
            <w:r>
              <w:rPr>
                <w:rFonts w:hint="eastAsia"/>
                <w:sz w:val="21"/>
                <w:szCs w:val="24"/>
                <w:lang w:eastAsia="zh-CN"/>
              </w:rPr>
              <w:tab/>
            </w:r>
            <w:r>
              <w:rPr>
                <w:rFonts w:hint="eastAsia"/>
                <w:sz w:val="21"/>
                <w:szCs w:val="24"/>
                <w:lang w:val="en-US" w:eastAsia="zh-CN"/>
              </w:rPr>
              <w:t>5</w:t>
            </w:r>
          </w:p>
        </w:tc>
        <w:tc>
          <w:tcPr>
            <w:tcW w:w="442" w:type="pct"/>
            <w:tcBorders>
              <w:top w:val="single" w:color="auto" w:sz="4" w:space="0"/>
              <w:left w:val="nil"/>
              <w:bottom w:val="single" w:color="auto" w:sz="4" w:space="0"/>
              <w:right w:val="single" w:color="auto" w:sz="12" w:space="0"/>
              <w:tl2br w:val="nil"/>
              <w:tr2bl w:val="nil"/>
            </w:tcBorders>
            <w:noWrap/>
            <w:vAlign w:val="center"/>
          </w:tcPr>
          <w:p>
            <w:pPr>
              <w:spacing w:beforeLines="0" w:afterLines="0" w:line="240" w:lineRule="exact"/>
              <w:jc w:val="center"/>
              <w:rPr>
                <w:rFonts w:hint="eastAsia"/>
                <w:sz w:val="21"/>
                <w:szCs w:val="24"/>
                <w:lang w:eastAsia="zh-CN"/>
              </w:rPr>
            </w:pPr>
            <w:r>
              <w:rPr>
                <w:rFonts w:hint="eastAsia"/>
                <w:sz w:val="21"/>
                <w:szCs w:val="24"/>
                <w:lang w:eastAsia="zh-CN"/>
              </w:rPr>
              <w:t>服务对象满意度</w:t>
            </w:r>
          </w:p>
          <w:p>
            <w:pPr>
              <w:spacing w:beforeLines="0" w:afterLines="0" w:line="240" w:lineRule="exact"/>
              <w:jc w:val="center"/>
              <w:rPr>
                <w:rFonts w:hint="default"/>
                <w:sz w:val="21"/>
                <w:szCs w:val="24"/>
                <w:lang w:val="en-US" w:eastAsia="zh-CN"/>
              </w:rPr>
            </w:pPr>
            <w:r>
              <w:rPr>
                <w:rFonts w:hint="eastAsia"/>
                <w:sz w:val="21"/>
                <w:szCs w:val="24"/>
                <w:lang w:val="en-US" w:eastAsia="zh-CN"/>
              </w:rPr>
              <w:t>95%以上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584" w:hRule="atLeast"/>
          <w:jc w:val="center"/>
        </w:trPr>
        <w:tc>
          <w:tcPr>
            <w:tcW w:w="4089" w:type="pct"/>
            <w:gridSpan w:val="5"/>
            <w:tcBorders>
              <w:top w:val="single" w:color="auto" w:sz="4" w:space="0"/>
              <w:left w:val="single" w:color="auto" w:sz="12" w:space="0"/>
              <w:bottom w:val="single" w:color="auto" w:sz="12" w:space="0"/>
              <w:right w:val="single" w:color="auto" w:sz="4" w:space="0"/>
              <w:tl2br w:val="nil"/>
              <w:tr2bl w:val="nil"/>
            </w:tcBorders>
            <w:noWrap w:val="0"/>
            <w:vAlign w:val="center"/>
          </w:tcPr>
          <w:p>
            <w:pPr>
              <w:spacing w:beforeLines="0" w:afterLines="0" w:line="240" w:lineRule="exact"/>
              <w:jc w:val="center"/>
              <w:rPr>
                <w:rFonts w:hint="default"/>
                <w:sz w:val="21"/>
                <w:szCs w:val="24"/>
              </w:rPr>
            </w:pPr>
            <w:r>
              <w:rPr>
                <w:rFonts w:hint="eastAsia"/>
                <w:sz w:val="21"/>
                <w:szCs w:val="24"/>
              </w:rPr>
              <w:t>合</w:t>
            </w:r>
            <w:r>
              <w:rPr>
                <w:rFonts w:hint="default"/>
                <w:sz w:val="21"/>
                <w:szCs w:val="24"/>
              </w:rPr>
              <w:t xml:space="preserve">      </w:t>
            </w:r>
            <w:r>
              <w:rPr>
                <w:rFonts w:hint="eastAsia"/>
                <w:sz w:val="21"/>
                <w:szCs w:val="24"/>
              </w:rPr>
              <w:t>计</w:t>
            </w:r>
          </w:p>
        </w:tc>
        <w:tc>
          <w:tcPr>
            <w:tcW w:w="469" w:type="pct"/>
            <w:tcBorders>
              <w:top w:val="single" w:color="auto" w:sz="4" w:space="0"/>
              <w:left w:val="nil"/>
              <w:bottom w:val="single" w:color="auto" w:sz="12" w:space="0"/>
              <w:right w:val="single" w:color="auto" w:sz="4" w:space="0"/>
              <w:tl2br w:val="nil"/>
              <w:tr2bl w:val="nil"/>
            </w:tcBorders>
            <w:noWrap/>
            <w:vAlign w:val="center"/>
          </w:tcPr>
          <w:p>
            <w:pPr>
              <w:spacing w:beforeLines="0" w:afterLines="0" w:line="240" w:lineRule="exact"/>
              <w:jc w:val="center"/>
              <w:rPr>
                <w:rFonts w:hint="default"/>
                <w:sz w:val="21"/>
                <w:szCs w:val="24"/>
                <w:lang w:val="en-US" w:eastAsia="zh-CN"/>
              </w:rPr>
            </w:pPr>
            <w:r>
              <w:rPr>
                <w:rFonts w:hint="eastAsia"/>
                <w:sz w:val="21"/>
                <w:szCs w:val="24"/>
                <w:lang w:val="en-US" w:eastAsia="zh-CN"/>
              </w:rPr>
              <w:t>95.45</w:t>
            </w:r>
          </w:p>
        </w:tc>
        <w:tc>
          <w:tcPr>
            <w:tcW w:w="442" w:type="pct"/>
            <w:tcBorders>
              <w:top w:val="single" w:color="auto" w:sz="4" w:space="0"/>
              <w:left w:val="nil"/>
              <w:bottom w:val="single" w:color="auto" w:sz="12" w:space="0"/>
              <w:right w:val="single" w:color="auto" w:sz="12" w:space="0"/>
              <w:tl2br w:val="nil"/>
              <w:tr2bl w:val="nil"/>
            </w:tcBorders>
            <w:noWrap/>
            <w:vAlign w:val="center"/>
          </w:tcPr>
          <w:p>
            <w:pPr>
              <w:spacing w:beforeLines="0" w:afterLines="0" w:line="240" w:lineRule="exact"/>
              <w:jc w:val="center"/>
              <w:rPr>
                <w:rFonts w:hint="default"/>
                <w:sz w:val="21"/>
                <w:szCs w:val="24"/>
              </w:rPr>
            </w:pPr>
          </w:p>
        </w:tc>
      </w:tr>
    </w:tbl>
    <w:p>
      <w:pPr>
        <w:pStyle w:val="2"/>
        <w:spacing w:before="93"/>
      </w:pPr>
    </w:p>
    <w:p>
      <w:pPr>
        <w:jc w:val="both"/>
      </w:pPr>
      <w:r>
        <w:rPr>
          <w:rFonts w:hint="eastAsia" w:ascii="黑体" w:hAnsi="黑体" w:eastAsia="黑体" w:cs="黑体"/>
          <w:sz w:val="32"/>
          <w:szCs w:val="32"/>
        </w:rPr>
        <w:t>附件</w:t>
      </w:r>
      <w:r>
        <w:rPr>
          <w:rFonts w:hint="eastAsia" w:ascii="黑体" w:hAnsi="黑体" w:eastAsia="黑体" w:cs="黑体"/>
          <w:sz w:val="32"/>
          <w:szCs w:val="32"/>
          <w:lang w:val="en-US" w:eastAsia="zh-CN"/>
        </w:rPr>
        <w:t>2</w:t>
      </w:r>
    </w:p>
    <w:p>
      <w:pPr>
        <w:spacing w:line="580" w:lineRule="exact"/>
        <w:jc w:val="center"/>
        <w:rPr>
          <w:rFonts w:eastAsia="方正小标宋简体"/>
          <w:sz w:val="44"/>
          <w:szCs w:val="44"/>
        </w:rPr>
      </w:pPr>
      <w:r>
        <w:rPr>
          <w:rFonts w:eastAsia="方正小标宋简体"/>
          <w:sz w:val="44"/>
          <w:szCs w:val="44"/>
        </w:rPr>
        <w:t>2021</w:t>
      </w:r>
      <w:r>
        <w:rPr>
          <w:rFonts w:hint="eastAsia" w:eastAsia="方正小标宋简体"/>
          <w:sz w:val="44"/>
          <w:szCs w:val="44"/>
        </w:rPr>
        <w:t>年乐至县项目支出绩效自评报告</w:t>
      </w:r>
    </w:p>
    <w:p>
      <w:pPr>
        <w:spacing w:line="580" w:lineRule="exact"/>
        <w:jc w:val="center"/>
        <w:rPr>
          <w:rFonts w:eastAsia="方正楷体简体"/>
          <w:b/>
          <w:sz w:val="32"/>
          <w:szCs w:val="32"/>
        </w:rPr>
      </w:pPr>
      <w:r>
        <w:rPr>
          <w:rFonts w:hint="eastAsia" w:eastAsia="方正楷体简体"/>
          <w:b/>
          <w:sz w:val="32"/>
          <w:szCs w:val="32"/>
        </w:rPr>
        <w:t>（</w:t>
      </w:r>
      <w:r>
        <w:rPr>
          <w:rFonts w:hint="eastAsia" w:eastAsia="方正楷体简体"/>
          <w:b/>
          <w:sz w:val="32"/>
          <w:szCs w:val="32"/>
          <w:lang w:val="en-US" w:eastAsia="zh-CN"/>
        </w:rPr>
        <w:t>2021年离退休干部专项经费</w:t>
      </w:r>
      <w:r>
        <w:rPr>
          <w:rFonts w:hint="eastAsia" w:eastAsia="方正楷体简体"/>
          <w:b/>
          <w:sz w:val="32"/>
          <w:szCs w:val="32"/>
        </w:rPr>
        <w:t>）</w:t>
      </w:r>
    </w:p>
    <w:p>
      <w:pPr>
        <w:spacing w:line="580" w:lineRule="exact"/>
        <w:ind w:firstLine="640" w:firstLineChars="200"/>
        <w:rPr>
          <w:rFonts w:eastAsia="方正仿宋简体"/>
          <w:sz w:val="32"/>
          <w:szCs w:val="32"/>
        </w:rPr>
      </w:pPr>
    </w:p>
    <w:p>
      <w:pPr>
        <w:spacing w:line="580" w:lineRule="exact"/>
        <w:jc w:val="center"/>
        <w:rPr>
          <w:rFonts w:eastAsia="方正黑体简体"/>
          <w:sz w:val="32"/>
          <w:szCs w:val="32"/>
        </w:rPr>
      </w:pP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3" w:firstLineChars="200"/>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pPr>
        <w:spacing w:line="580" w:lineRule="exact"/>
        <w:ind w:firstLine="640" w:firstLineChars="200"/>
        <w:rPr>
          <w:rFonts w:hint="eastAsia" w:eastAsia="方正仿宋简体"/>
          <w:sz w:val="32"/>
          <w:szCs w:val="32"/>
        </w:rPr>
      </w:pPr>
      <w:r>
        <w:rPr>
          <w:rFonts w:hint="eastAsia" w:eastAsia="方正仿宋简体"/>
          <w:sz w:val="32"/>
          <w:szCs w:val="32"/>
        </w:rPr>
        <w:t>我局服务的</w:t>
      </w:r>
      <w:r>
        <w:rPr>
          <w:rFonts w:hint="eastAsia" w:eastAsia="方正仿宋简体"/>
          <w:sz w:val="32"/>
          <w:szCs w:val="32"/>
          <w:lang w:eastAsia="zh-CN"/>
        </w:rPr>
        <w:t>副县级及以上</w:t>
      </w:r>
      <w:r>
        <w:rPr>
          <w:rFonts w:hint="eastAsia" w:eastAsia="方正仿宋简体"/>
          <w:sz w:val="32"/>
          <w:szCs w:val="32"/>
        </w:rPr>
        <w:t>离</w:t>
      </w:r>
      <w:r>
        <w:rPr>
          <w:rFonts w:hint="eastAsia" w:eastAsia="方正仿宋简体"/>
          <w:sz w:val="32"/>
          <w:szCs w:val="32"/>
          <w:lang w:eastAsia="zh-CN"/>
        </w:rPr>
        <w:t>退</w:t>
      </w:r>
      <w:r>
        <w:rPr>
          <w:rFonts w:hint="eastAsia" w:eastAsia="方正仿宋简体"/>
          <w:sz w:val="32"/>
          <w:szCs w:val="32"/>
        </w:rPr>
        <w:t>休</w:t>
      </w:r>
      <w:r>
        <w:rPr>
          <w:rFonts w:hint="eastAsia" w:eastAsia="方正仿宋简体"/>
          <w:sz w:val="32"/>
          <w:szCs w:val="32"/>
          <w:lang w:eastAsia="zh-CN"/>
        </w:rPr>
        <w:t>老</w:t>
      </w:r>
      <w:r>
        <w:rPr>
          <w:rFonts w:hint="eastAsia" w:eastAsia="方正仿宋简体"/>
          <w:sz w:val="32"/>
          <w:szCs w:val="32"/>
        </w:rPr>
        <w:t>干部</w:t>
      </w:r>
      <w:r>
        <w:rPr>
          <w:rFonts w:hint="eastAsia" w:eastAsia="方正仿宋简体"/>
          <w:sz w:val="32"/>
          <w:szCs w:val="32"/>
          <w:lang w:val="en-US" w:eastAsia="zh-CN"/>
        </w:rPr>
        <w:t>137</w:t>
      </w:r>
      <w:r>
        <w:rPr>
          <w:rFonts w:hint="eastAsia" w:eastAsia="方正仿宋简体"/>
          <w:sz w:val="32"/>
          <w:szCs w:val="32"/>
        </w:rPr>
        <w:t>人</w:t>
      </w:r>
      <w:r>
        <w:rPr>
          <w:rFonts w:hint="eastAsia" w:eastAsia="方正仿宋简体"/>
          <w:sz w:val="32"/>
          <w:szCs w:val="32"/>
          <w:lang w:eastAsia="zh-CN"/>
        </w:rPr>
        <w:t>。</w:t>
      </w:r>
      <w:r>
        <w:rPr>
          <w:rFonts w:hint="eastAsia" w:eastAsia="方正仿宋简体"/>
          <w:sz w:val="32"/>
          <w:szCs w:val="32"/>
        </w:rPr>
        <w:t>20</w:t>
      </w:r>
      <w:r>
        <w:rPr>
          <w:rFonts w:hint="eastAsia" w:eastAsia="方正仿宋简体"/>
          <w:sz w:val="32"/>
          <w:szCs w:val="32"/>
          <w:lang w:val="en-US" w:eastAsia="zh-CN"/>
        </w:rPr>
        <w:t>21</w:t>
      </w:r>
      <w:r>
        <w:rPr>
          <w:rFonts w:hint="eastAsia" w:eastAsia="方正仿宋简体"/>
          <w:sz w:val="32"/>
          <w:szCs w:val="32"/>
        </w:rPr>
        <w:t>年预算</w:t>
      </w:r>
      <w:r>
        <w:rPr>
          <w:rFonts w:hint="eastAsia" w:eastAsia="方正仿宋简体"/>
          <w:sz w:val="32"/>
          <w:szCs w:val="32"/>
          <w:lang w:eastAsia="zh-CN"/>
        </w:rPr>
        <w:t>各类项目资金</w:t>
      </w:r>
      <w:r>
        <w:rPr>
          <w:rFonts w:hint="eastAsia" w:eastAsia="方正仿宋简体"/>
          <w:sz w:val="32"/>
          <w:szCs w:val="32"/>
          <w:lang w:val="en-US" w:eastAsia="zh-CN"/>
        </w:rPr>
        <w:t>39.37万元</w:t>
      </w:r>
      <w:r>
        <w:rPr>
          <w:rFonts w:hint="eastAsia" w:eastAsia="方正仿宋简体"/>
          <w:sz w:val="32"/>
          <w:szCs w:val="32"/>
        </w:rPr>
        <w:t>，是用于保障代发符合国家政策的副县级以上老干部各项补助及组织副县级以上老干部活动、看望生病的副县级以上老干部的行政工作任务，用于老干部活动专项业务工作的经费支出。</w:t>
      </w:r>
    </w:p>
    <w:p>
      <w:pPr>
        <w:spacing w:line="580" w:lineRule="exact"/>
        <w:ind w:firstLine="640" w:firstLineChars="200"/>
        <w:rPr>
          <w:rFonts w:hint="eastAsia" w:eastAsia="方正仿宋简体"/>
          <w:sz w:val="32"/>
          <w:szCs w:val="32"/>
        </w:rPr>
      </w:pPr>
      <w:r>
        <w:rPr>
          <w:rFonts w:hint="eastAsia" w:eastAsia="方正仿宋简体"/>
          <w:sz w:val="32"/>
          <w:szCs w:val="32"/>
        </w:rPr>
        <w:t>按支出功能分类主要用于完成代发符合国家政策的副县级以上老干部各项补助及组织副县级以上老干部活动等工作任务而安排的年度项目支出，主要包括：订阅晚霞杂志、老干部活动中心的管理及后勤服务、特困离退休干部及遗孀补助、“630”人员门诊医疗费、离退休老干部健康体检费等。</w:t>
      </w:r>
    </w:p>
    <w:p>
      <w:pPr>
        <w:spacing w:line="580" w:lineRule="exact"/>
        <w:ind w:firstLine="643" w:firstLineChars="200"/>
        <w:rPr>
          <w:rFonts w:hint="eastAsia" w:eastAsia="方正仿宋简体"/>
          <w:sz w:val="32"/>
          <w:szCs w:val="32"/>
        </w:rPr>
      </w:pPr>
      <w:r>
        <w:rPr>
          <w:rFonts w:eastAsia="方正仿宋简体"/>
          <w:b/>
          <w:sz w:val="32"/>
          <w:szCs w:val="32"/>
        </w:rPr>
        <w:t>2.</w:t>
      </w:r>
      <w:r>
        <w:rPr>
          <w:rFonts w:hint="eastAsia" w:eastAsia="方正仿宋简体"/>
          <w:sz w:val="32"/>
          <w:szCs w:val="32"/>
        </w:rPr>
        <w:t>预算资金来源及使用情况</w:t>
      </w:r>
    </w:p>
    <w:p>
      <w:pPr>
        <w:spacing w:line="58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2021年老干部慰问等各项目资金预算总额为39.37万元，财政拨款资金39.37万元，占比100%。</w:t>
      </w:r>
    </w:p>
    <w:p>
      <w:pPr>
        <w:spacing w:line="58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我局严格执行资金收支管理，</w:t>
      </w:r>
      <w:r>
        <w:rPr>
          <w:rFonts w:hint="eastAsia" w:eastAsia="仿宋_GB2312"/>
          <w:sz w:val="32"/>
          <w:szCs w:val="32"/>
        </w:rPr>
        <w:t>资金开支范围、标准等，支付依据合规合法</w:t>
      </w:r>
      <w:r>
        <w:rPr>
          <w:rFonts w:hint="eastAsia" w:eastAsia="仿宋_GB2312"/>
          <w:sz w:val="32"/>
          <w:szCs w:val="32"/>
          <w:lang w:eastAsia="zh-CN"/>
        </w:rPr>
        <w:t>。</w:t>
      </w:r>
      <w:r>
        <w:rPr>
          <w:rFonts w:hint="eastAsia" w:eastAsia="仿宋_GB2312"/>
          <w:sz w:val="32"/>
          <w:szCs w:val="32"/>
          <w:lang w:val="en-US" w:eastAsia="zh-CN"/>
        </w:rPr>
        <w:t>2021年，项目支出39.37万元。其中</w:t>
      </w:r>
      <w:r>
        <w:rPr>
          <w:rFonts w:hint="default" w:ascii="仿宋_GB2312" w:hAnsi="宋体" w:eastAsia="仿宋_GB2312" w:cs="仿宋_GB2312"/>
          <w:i w:val="0"/>
          <w:caps w:val="0"/>
          <w:color w:val="000000"/>
          <w:spacing w:val="0"/>
          <w:sz w:val="32"/>
          <w:szCs w:val="32"/>
        </w:rPr>
        <w:t>老干部春节慰问及日常慰问</w:t>
      </w:r>
      <w:r>
        <w:rPr>
          <w:rFonts w:hint="eastAsia" w:ascii="仿宋_GB2312" w:hAnsi="宋体" w:eastAsia="仿宋_GB2312" w:cs="仿宋_GB2312"/>
          <w:i w:val="0"/>
          <w:caps w:val="0"/>
          <w:color w:val="000000"/>
          <w:spacing w:val="0"/>
          <w:sz w:val="32"/>
          <w:szCs w:val="32"/>
          <w:lang w:val="en-US" w:eastAsia="zh-CN"/>
        </w:rPr>
        <w:t>4.75</w:t>
      </w:r>
      <w:r>
        <w:rPr>
          <w:rFonts w:hint="default" w:ascii="仿宋_GB2312" w:hAnsi="宋体" w:eastAsia="仿宋_GB2312" w:cs="仿宋_GB2312"/>
          <w:i w:val="0"/>
          <w:caps w:val="0"/>
          <w:color w:val="000000"/>
          <w:spacing w:val="0"/>
          <w:sz w:val="32"/>
          <w:szCs w:val="32"/>
        </w:rPr>
        <w:t>万元，老干部健康体检费</w:t>
      </w:r>
      <w:r>
        <w:rPr>
          <w:rFonts w:hint="eastAsia" w:ascii="仿宋_GB2312" w:hAnsi="宋体" w:eastAsia="仿宋_GB2312" w:cs="仿宋_GB2312"/>
          <w:i w:val="0"/>
          <w:caps w:val="0"/>
          <w:color w:val="000000"/>
          <w:spacing w:val="0"/>
          <w:sz w:val="32"/>
          <w:szCs w:val="32"/>
          <w:lang w:val="en-US" w:eastAsia="zh-CN"/>
        </w:rPr>
        <w:t>2.95</w:t>
      </w:r>
      <w:r>
        <w:rPr>
          <w:rFonts w:hint="default" w:ascii="仿宋_GB2312" w:hAnsi="宋体" w:eastAsia="仿宋_GB2312" w:cs="仿宋_GB2312"/>
          <w:i w:val="0"/>
          <w:caps w:val="0"/>
          <w:color w:val="000000"/>
          <w:spacing w:val="0"/>
          <w:sz w:val="32"/>
          <w:szCs w:val="32"/>
        </w:rPr>
        <w:t>万元，离退休老干部及遗孀特困帮扶及离休干部住院补助</w:t>
      </w:r>
      <w:r>
        <w:rPr>
          <w:rFonts w:hint="eastAsia" w:ascii="仿宋_GB2312" w:hAnsi="宋体" w:eastAsia="仿宋_GB2312" w:cs="仿宋_GB2312"/>
          <w:i w:val="0"/>
          <w:caps w:val="0"/>
          <w:color w:val="000000"/>
          <w:spacing w:val="0"/>
          <w:sz w:val="32"/>
          <w:szCs w:val="32"/>
          <w:lang w:val="en-US" w:eastAsia="zh-CN"/>
        </w:rPr>
        <w:t>11.4</w:t>
      </w:r>
      <w:r>
        <w:rPr>
          <w:rFonts w:hint="default" w:ascii="仿宋_GB2312" w:hAnsi="宋体" w:eastAsia="仿宋_GB2312" w:cs="仿宋_GB2312"/>
          <w:i w:val="0"/>
          <w:caps w:val="0"/>
          <w:color w:val="000000"/>
          <w:spacing w:val="0"/>
          <w:sz w:val="32"/>
          <w:szCs w:val="32"/>
        </w:rPr>
        <w:t>万元，老干部调研组开展调研经费1</w:t>
      </w:r>
      <w:r>
        <w:rPr>
          <w:rFonts w:hint="eastAsia" w:ascii="仿宋_GB2312" w:hAnsi="宋体" w:eastAsia="仿宋_GB2312" w:cs="仿宋_GB2312"/>
          <w:i w:val="0"/>
          <w:caps w:val="0"/>
          <w:color w:val="000000"/>
          <w:spacing w:val="0"/>
          <w:sz w:val="32"/>
          <w:szCs w:val="32"/>
          <w:lang w:val="en-US" w:eastAsia="zh-CN"/>
        </w:rPr>
        <w:t>.5</w:t>
      </w:r>
      <w:r>
        <w:rPr>
          <w:rFonts w:hint="default" w:ascii="仿宋_GB2312" w:hAnsi="宋体" w:eastAsia="仿宋_GB2312" w:cs="仿宋_GB2312"/>
          <w:i w:val="0"/>
          <w:caps w:val="0"/>
          <w:color w:val="000000"/>
          <w:spacing w:val="0"/>
          <w:sz w:val="32"/>
          <w:szCs w:val="32"/>
        </w:rPr>
        <w:t>万元，离退休党工委工作经费</w:t>
      </w:r>
      <w:r>
        <w:rPr>
          <w:rFonts w:hint="eastAsia" w:ascii="仿宋_GB2312" w:hAnsi="宋体" w:eastAsia="仿宋_GB2312" w:cs="仿宋_GB2312"/>
          <w:i w:val="0"/>
          <w:caps w:val="0"/>
          <w:color w:val="000000"/>
          <w:spacing w:val="0"/>
          <w:sz w:val="32"/>
          <w:szCs w:val="32"/>
          <w:lang w:val="en-US" w:eastAsia="zh-CN"/>
        </w:rPr>
        <w:t>4.09</w:t>
      </w:r>
      <w:r>
        <w:rPr>
          <w:rFonts w:hint="default" w:ascii="仿宋_GB2312" w:hAnsi="宋体" w:eastAsia="仿宋_GB2312" w:cs="仿宋_GB2312"/>
          <w:i w:val="0"/>
          <w:caps w:val="0"/>
          <w:color w:val="000000"/>
          <w:spacing w:val="0"/>
          <w:sz w:val="32"/>
          <w:szCs w:val="32"/>
        </w:rPr>
        <w:t>万元，非税征收管理收入返还经费</w:t>
      </w:r>
      <w:r>
        <w:rPr>
          <w:rFonts w:hint="eastAsia" w:ascii="仿宋_GB2312" w:hAnsi="宋体" w:eastAsia="仿宋_GB2312" w:cs="仿宋_GB2312"/>
          <w:i w:val="0"/>
          <w:caps w:val="0"/>
          <w:color w:val="000000"/>
          <w:spacing w:val="0"/>
          <w:sz w:val="32"/>
          <w:szCs w:val="32"/>
          <w:lang w:val="en-US" w:eastAsia="zh-CN"/>
        </w:rPr>
        <w:t>3.54</w:t>
      </w:r>
      <w:r>
        <w:rPr>
          <w:rFonts w:hint="default" w:ascii="仿宋_GB2312" w:hAnsi="宋体" w:eastAsia="仿宋_GB2312" w:cs="仿宋_GB2312"/>
          <w:i w:val="0"/>
          <w:caps w:val="0"/>
          <w:color w:val="000000"/>
          <w:spacing w:val="0"/>
          <w:sz w:val="32"/>
          <w:szCs w:val="32"/>
        </w:rPr>
        <w:t>万元，端午、中秋、重阳节老干部参观及过节费</w:t>
      </w:r>
      <w:r>
        <w:rPr>
          <w:rFonts w:hint="eastAsia" w:ascii="仿宋_GB2312" w:hAnsi="宋体" w:eastAsia="仿宋_GB2312" w:cs="仿宋_GB2312"/>
          <w:i w:val="0"/>
          <w:caps w:val="0"/>
          <w:color w:val="000000"/>
          <w:spacing w:val="0"/>
          <w:sz w:val="32"/>
          <w:szCs w:val="32"/>
          <w:lang w:val="en-US" w:eastAsia="zh-CN"/>
        </w:rPr>
        <w:t>1.9</w:t>
      </w:r>
      <w:r>
        <w:rPr>
          <w:rFonts w:hint="default" w:ascii="仿宋_GB2312" w:hAnsi="宋体" w:eastAsia="仿宋_GB2312" w:cs="仿宋_GB2312"/>
          <w:i w:val="0"/>
          <w:caps w:val="0"/>
          <w:color w:val="000000"/>
          <w:spacing w:val="0"/>
          <w:sz w:val="32"/>
          <w:szCs w:val="32"/>
        </w:rPr>
        <w:t>万元，老干部市、县庆七一建党节文艺演出</w:t>
      </w:r>
      <w:r>
        <w:rPr>
          <w:rFonts w:hint="eastAsia" w:ascii="仿宋_GB2312" w:hAnsi="宋体" w:eastAsia="仿宋_GB2312" w:cs="仿宋_GB2312"/>
          <w:i w:val="0"/>
          <w:caps w:val="0"/>
          <w:color w:val="000000"/>
          <w:spacing w:val="0"/>
          <w:sz w:val="32"/>
          <w:szCs w:val="32"/>
          <w:lang w:val="en-US" w:eastAsia="zh-CN"/>
        </w:rPr>
        <w:t>0.15</w:t>
      </w:r>
      <w:r>
        <w:rPr>
          <w:rFonts w:hint="default" w:ascii="仿宋_GB2312" w:hAnsi="宋体" w:eastAsia="仿宋_GB2312" w:cs="仿宋_GB2312"/>
          <w:i w:val="0"/>
          <w:caps w:val="0"/>
          <w:color w:val="000000"/>
          <w:spacing w:val="0"/>
          <w:sz w:val="32"/>
          <w:szCs w:val="32"/>
        </w:rPr>
        <w:t>万元，异地看望离休老干部</w:t>
      </w:r>
      <w:r>
        <w:rPr>
          <w:rFonts w:hint="eastAsia" w:ascii="仿宋_GB2312" w:hAnsi="宋体" w:eastAsia="仿宋_GB2312" w:cs="仿宋_GB2312"/>
          <w:i w:val="0"/>
          <w:caps w:val="0"/>
          <w:color w:val="000000"/>
          <w:spacing w:val="0"/>
          <w:sz w:val="32"/>
          <w:szCs w:val="32"/>
          <w:lang w:val="en-US" w:eastAsia="zh-CN"/>
        </w:rPr>
        <w:t>1.31</w:t>
      </w:r>
      <w:r>
        <w:rPr>
          <w:rFonts w:hint="default" w:ascii="仿宋_GB2312" w:hAnsi="宋体" w:eastAsia="仿宋_GB2312" w:cs="仿宋_GB2312"/>
          <w:i w:val="0"/>
          <w:caps w:val="0"/>
          <w:color w:val="000000"/>
          <w:spacing w:val="0"/>
          <w:sz w:val="32"/>
          <w:szCs w:val="32"/>
        </w:rPr>
        <w:t>万元，代发老干部交通费电话费</w:t>
      </w:r>
      <w:r>
        <w:rPr>
          <w:rFonts w:hint="eastAsia" w:ascii="仿宋_GB2312" w:hAnsi="宋体" w:eastAsia="仿宋_GB2312" w:cs="仿宋_GB2312"/>
          <w:i w:val="0"/>
          <w:caps w:val="0"/>
          <w:color w:val="000000"/>
          <w:spacing w:val="0"/>
          <w:sz w:val="32"/>
          <w:szCs w:val="32"/>
          <w:lang w:val="en-US" w:eastAsia="zh-CN"/>
        </w:rPr>
        <w:t>2.03</w:t>
      </w:r>
      <w:r>
        <w:rPr>
          <w:rFonts w:hint="default" w:ascii="仿宋_GB2312" w:hAnsi="宋体" w:eastAsia="仿宋_GB2312" w:cs="仿宋_GB2312"/>
          <w:i w:val="0"/>
          <w:caps w:val="0"/>
          <w:color w:val="000000"/>
          <w:spacing w:val="0"/>
          <w:sz w:val="32"/>
          <w:szCs w:val="32"/>
        </w:rPr>
        <w:t>万元，订老干部晚霞杂志及晚霞怀历</w:t>
      </w:r>
      <w:r>
        <w:rPr>
          <w:rFonts w:hint="eastAsia" w:ascii="仿宋_GB2312" w:hAnsi="宋体" w:eastAsia="仿宋_GB2312" w:cs="仿宋_GB2312"/>
          <w:i w:val="0"/>
          <w:caps w:val="0"/>
          <w:color w:val="000000"/>
          <w:spacing w:val="0"/>
          <w:sz w:val="32"/>
          <w:szCs w:val="32"/>
          <w:lang w:val="en-US" w:eastAsia="zh-CN"/>
        </w:rPr>
        <w:t>3.04</w:t>
      </w:r>
      <w:r>
        <w:rPr>
          <w:rFonts w:hint="default" w:ascii="仿宋_GB2312" w:hAnsi="宋体" w:eastAsia="仿宋_GB2312" w:cs="仿宋_GB2312"/>
          <w:i w:val="0"/>
          <w:caps w:val="0"/>
          <w:color w:val="000000"/>
          <w:spacing w:val="0"/>
          <w:sz w:val="32"/>
          <w:szCs w:val="32"/>
        </w:rPr>
        <w:t>万元</w:t>
      </w:r>
      <w:r>
        <w:rPr>
          <w:rFonts w:hint="eastAsia" w:ascii="仿宋_GB2312" w:hAnsi="宋体" w:eastAsia="仿宋_GB2312" w:cs="仿宋_GB2312"/>
          <w:i w:val="0"/>
          <w:caps w:val="0"/>
          <w:color w:val="000000"/>
          <w:spacing w:val="0"/>
          <w:sz w:val="32"/>
          <w:szCs w:val="32"/>
          <w:lang w:eastAsia="zh-CN"/>
        </w:rPr>
        <w:t>，办公楼运行经费</w:t>
      </w:r>
      <w:r>
        <w:rPr>
          <w:rFonts w:hint="eastAsia" w:ascii="仿宋_GB2312" w:hAnsi="宋体" w:eastAsia="仿宋_GB2312" w:cs="仿宋_GB2312"/>
          <w:i w:val="0"/>
          <w:caps w:val="0"/>
          <w:color w:val="000000"/>
          <w:spacing w:val="0"/>
          <w:sz w:val="32"/>
          <w:szCs w:val="32"/>
          <w:lang w:val="en-US" w:eastAsia="zh-CN"/>
        </w:rPr>
        <w:t>2.53万元，老干部运动会0.18万元</w:t>
      </w:r>
      <w:r>
        <w:rPr>
          <w:rFonts w:hint="default" w:ascii="仿宋_GB2312" w:hAnsi="宋体" w:eastAsia="仿宋_GB2312" w:cs="仿宋_GB2312"/>
          <w:i w:val="0"/>
          <w:caps w:val="0"/>
          <w:color w:val="000000"/>
          <w:spacing w:val="0"/>
          <w:sz w:val="32"/>
          <w:szCs w:val="32"/>
        </w:rPr>
        <w:t>。</w:t>
      </w:r>
    </w:p>
    <w:p>
      <w:pPr>
        <w:spacing w:line="580" w:lineRule="exact"/>
        <w:ind w:firstLine="643" w:firstLineChars="200"/>
        <w:rPr>
          <w:rFonts w:hint="eastAsia" w:eastAsia="方正仿宋简体"/>
          <w:sz w:val="32"/>
          <w:szCs w:val="32"/>
        </w:rPr>
      </w:pPr>
      <w:r>
        <w:rPr>
          <w:rFonts w:eastAsia="方正仿宋简体"/>
          <w:b/>
          <w:sz w:val="32"/>
          <w:szCs w:val="32"/>
        </w:rPr>
        <w:t>3.</w:t>
      </w:r>
      <w:r>
        <w:rPr>
          <w:rFonts w:hint="eastAsia" w:eastAsia="方正仿宋简体"/>
          <w:sz w:val="32"/>
          <w:szCs w:val="32"/>
        </w:rPr>
        <w:t>实施情况</w:t>
      </w:r>
    </w:p>
    <w:p>
      <w:pPr>
        <w:spacing w:line="590" w:lineRule="exact"/>
        <w:ind w:firstLine="640" w:firstLineChars="200"/>
        <w:rPr>
          <w:rFonts w:hint="eastAsia" w:eastAsia="方正仿宋简体"/>
          <w:sz w:val="32"/>
          <w:szCs w:val="32"/>
        </w:rPr>
      </w:pPr>
      <w:r>
        <w:rPr>
          <w:rFonts w:hint="eastAsia" w:eastAsia="仿宋_GB2312"/>
          <w:sz w:val="32"/>
          <w:szCs w:val="32"/>
        </w:rPr>
        <w:t>我局成立了老干局项目绩效管理工作领导小组，</w:t>
      </w:r>
      <w:r>
        <w:rPr>
          <w:rFonts w:hint="eastAsia" w:eastAsia="仿宋_GB2312"/>
          <w:sz w:val="32"/>
          <w:szCs w:val="32"/>
          <w:lang w:eastAsia="zh-CN"/>
        </w:rPr>
        <w:t>唐春</w:t>
      </w:r>
      <w:r>
        <w:rPr>
          <w:rFonts w:hint="eastAsia" w:eastAsia="仿宋_GB2312"/>
          <w:sz w:val="32"/>
          <w:szCs w:val="32"/>
        </w:rPr>
        <w:t>局长为组长，</w:t>
      </w:r>
      <w:r>
        <w:rPr>
          <w:rFonts w:hint="eastAsia" w:eastAsia="仿宋_GB2312"/>
          <w:sz w:val="32"/>
          <w:szCs w:val="32"/>
          <w:lang w:eastAsia="zh-CN"/>
        </w:rPr>
        <w:t>吴击浪</w:t>
      </w:r>
      <w:r>
        <w:rPr>
          <w:rFonts w:hint="eastAsia" w:eastAsia="仿宋_GB2312"/>
          <w:sz w:val="32"/>
          <w:szCs w:val="32"/>
        </w:rPr>
        <w:t>副局长为副组长，相关科室</w:t>
      </w:r>
      <w:r>
        <w:rPr>
          <w:rFonts w:hint="eastAsia" w:eastAsia="仿宋_GB2312"/>
          <w:sz w:val="32"/>
          <w:szCs w:val="32"/>
          <w:lang w:eastAsia="zh-CN"/>
        </w:rPr>
        <w:t>人员</w:t>
      </w:r>
      <w:r>
        <w:rPr>
          <w:rFonts w:hint="eastAsia" w:eastAsia="仿宋_GB2312"/>
          <w:sz w:val="32"/>
          <w:szCs w:val="32"/>
        </w:rPr>
        <w:t>为成员，负责具体项目实施，</w:t>
      </w:r>
      <w:r>
        <w:rPr>
          <w:rFonts w:hint="eastAsia" w:eastAsia="仿宋_GB2312"/>
          <w:sz w:val="32"/>
          <w:szCs w:val="32"/>
          <w:lang w:eastAsia="zh-CN"/>
        </w:rPr>
        <w:t>依托</w:t>
      </w:r>
      <w:r>
        <w:rPr>
          <w:rFonts w:hint="eastAsia" w:eastAsia="仿宋_GB2312"/>
          <w:sz w:val="32"/>
          <w:szCs w:val="32"/>
        </w:rPr>
        <w:t>办公室</w:t>
      </w:r>
      <w:r>
        <w:rPr>
          <w:rFonts w:hint="eastAsia" w:eastAsia="仿宋_GB2312"/>
          <w:sz w:val="32"/>
          <w:szCs w:val="32"/>
          <w:lang w:eastAsia="zh-CN"/>
        </w:rPr>
        <w:t>及</w:t>
      </w:r>
      <w:r>
        <w:rPr>
          <w:rFonts w:hint="eastAsia" w:eastAsia="仿宋_GB2312"/>
          <w:sz w:val="32"/>
          <w:szCs w:val="32"/>
        </w:rPr>
        <w:t>相关人员，负责进行协调、跟踪、监督、报送绩效材料等。在该项目实施过程中，我局严格对项目经费实行专款专用，按照谁主管、谁负责的原则，明确项目管理和实施的具体责任人。</w:t>
      </w:r>
    </w:p>
    <w:p>
      <w:pPr>
        <w:spacing w:line="580" w:lineRule="exact"/>
        <w:ind w:firstLine="643" w:firstLineChars="200"/>
        <w:rPr>
          <w:rFonts w:hint="eastAsia" w:eastAsia="方正仿宋简体"/>
          <w:sz w:val="32"/>
          <w:szCs w:val="32"/>
        </w:rPr>
      </w:pPr>
      <w:r>
        <w:rPr>
          <w:rFonts w:eastAsia="方正仿宋简体"/>
          <w:b/>
          <w:sz w:val="32"/>
          <w:szCs w:val="32"/>
        </w:rPr>
        <w:t>4.</w:t>
      </w:r>
      <w:r>
        <w:rPr>
          <w:rFonts w:hint="eastAsia" w:eastAsia="方正仿宋简体"/>
          <w:sz w:val="32"/>
          <w:szCs w:val="32"/>
        </w:rPr>
        <w:t>组织及管理</w:t>
      </w:r>
    </w:p>
    <w:p>
      <w:pPr>
        <w:spacing w:line="580" w:lineRule="exact"/>
        <w:ind w:firstLine="640" w:firstLineChars="200"/>
        <w:rPr>
          <w:rFonts w:hint="eastAsia" w:eastAsia="方正仿宋简体"/>
          <w:sz w:val="32"/>
          <w:szCs w:val="32"/>
        </w:rPr>
      </w:pPr>
      <w:r>
        <w:rPr>
          <w:rFonts w:hint="eastAsia" w:eastAsia="仿宋_GB2312"/>
          <w:sz w:val="32"/>
          <w:szCs w:val="32"/>
          <w:lang w:eastAsia="zh-CN"/>
        </w:rPr>
        <w:t>我局严格执行项目预算管理及收支管理，依据行政事业单位财务管理制度，及时进行</w:t>
      </w:r>
      <w:r>
        <w:rPr>
          <w:rFonts w:hint="eastAsia" w:eastAsia="仿宋_GB2312"/>
          <w:sz w:val="32"/>
          <w:szCs w:val="32"/>
        </w:rPr>
        <w:t>会计核算及账务处理</w:t>
      </w:r>
      <w:r>
        <w:rPr>
          <w:rFonts w:hint="eastAsia" w:eastAsia="仿宋_GB2312"/>
          <w:sz w:val="32"/>
          <w:szCs w:val="32"/>
          <w:lang w:eastAsia="zh-CN"/>
        </w:rPr>
        <w:t>，</w:t>
      </w:r>
      <w:r>
        <w:rPr>
          <w:rFonts w:hint="eastAsia" w:ascii="仿宋_GB2312" w:eastAsia="仿宋_GB2312"/>
          <w:sz w:val="32"/>
          <w:szCs w:val="32"/>
        </w:rPr>
        <w:t>不存在截留、挤占</w:t>
      </w:r>
      <w:r>
        <w:rPr>
          <w:rFonts w:hint="eastAsia" w:ascii="仿宋_GB2312" w:eastAsia="仿宋_GB2312"/>
          <w:sz w:val="32"/>
          <w:szCs w:val="32"/>
          <w:lang w:eastAsia="zh-CN"/>
        </w:rPr>
        <w:t>或者</w:t>
      </w:r>
      <w:r>
        <w:rPr>
          <w:rFonts w:hint="eastAsia" w:ascii="仿宋_GB2312" w:eastAsia="仿宋_GB2312"/>
          <w:sz w:val="32"/>
          <w:szCs w:val="32"/>
        </w:rPr>
        <w:t>挪用</w:t>
      </w:r>
      <w:r>
        <w:rPr>
          <w:rFonts w:hint="eastAsia" w:ascii="仿宋_GB2312" w:eastAsia="仿宋_GB2312"/>
          <w:sz w:val="32"/>
          <w:szCs w:val="32"/>
          <w:lang w:eastAsia="zh-CN"/>
        </w:rPr>
        <w:t>专项资金</w:t>
      </w:r>
      <w:r>
        <w:rPr>
          <w:rFonts w:hint="eastAsia" w:ascii="仿宋_GB2312" w:eastAsia="仿宋_GB2312"/>
          <w:sz w:val="32"/>
          <w:szCs w:val="32"/>
        </w:rPr>
        <w:t>，超预算或者无预算安排支出，虚列支出、转嫁支出</w:t>
      </w:r>
      <w:r>
        <w:rPr>
          <w:rFonts w:hint="eastAsia" w:ascii="仿宋_GB2312" w:eastAsia="仿宋_GB2312"/>
          <w:sz w:val="32"/>
          <w:szCs w:val="32"/>
          <w:lang w:eastAsia="zh-CN"/>
        </w:rPr>
        <w:t>等现状</w:t>
      </w:r>
      <w:r>
        <w:rPr>
          <w:rFonts w:hint="eastAsia" w:ascii="仿宋_GB2312" w:eastAsia="仿宋_GB2312"/>
          <w:sz w:val="32"/>
          <w:szCs w:val="32"/>
        </w:rPr>
        <w:t>，</w:t>
      </w:r>
      <w:r>
        <w:rPr>
          <w:rFonts w:hint="eastAsia" w:eastAsia="仿宋_GB2312"/>
          <w:sz w:val="32"/>
          <w:szCs w:val="32"/>
        </w:rPr>
        <w:t>对照项目资金管理办法，严格执行财务管理制度</w:t>
      </w:r>
      <w:r>
        <w:rPr>
          <w:rFonts w:hint="eastAsia" w:eastAsia="仿宋_GB2312"/>
          <w:sz w:val="32"/>
          <w:szCs w:val="32"/>
          <w:lang w:eastAsia="zh-CN"/>
        </w:rPr>
        <w:t>，</w:t>
      </w:r>
      <w:r>
        <w:rPr>
          <w:rFonts w:hint="eastAsia" w:eastAsia="仿宋_GB2312"/>
          <w:sz w:val="32"/>
          <w:szCs w:val="32"/>
        </w:rPr>
        <w:t>会计核算</w:t>
      </w:r>
      <w:r>
        <w:rPr>
          <w:rFonts w:hint="eastAsia" w:eastAsia="仿宋_GB2312"/>
          <w:sz w:val="32"/>
          <w:szCs w:val="32"/>
          <w:lang w:eastAsia="zh-CN"/>
        </w:rPr>
        <w:t>合乎</w:t>
      </w:r>
      <w:r>
        <w:rPr>
          <w:rFonts w:hint="eastAsia" w:eastAsia="仿宋_GB2312"/>
          <w:sz w:val="32"/>
          <w:szCs w:val="32"/>
        </w:rPr>
        <w:t>规范。</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590" w:lineRule="exact"/>
        <w:ind w:firstLine="643" w:firstLineChars="200"/>
        <w:rPr>
          <w:rFonts w:hint="eastAsia" w:eastAsia="楷体_GB2312"/>
          <w:b/>
          <w:sz w:val="32"/>
          <w:szCs w:val="32"/>
        </w:rPr>
      </w:pPr>
      <w:r>
        <w:rPr>
          <w:rFonts w:hint="eastAsia" w:eastAsia="楷体_GB2312"/>
          <w:b/>
          <w:sz w:val="32"/>
          <w:szCs w:val="32"/>
          <w:lang w:val="en-US" w:eastAsia="zh-CN"/>
        </w:rPr>
        <w:t>1.</w:t>
      </w:r>
      <w:r>
        <w:rPr>
          <w:rFonts w:hint="eastAsia" w:eastAsia="楷体_GB2312"/>
          <w:b/>
          <w:sz w:val="32"/>
          <w:szCs w:val="32"/>
        </w:rPr>
        <w:t>目标任务量完成情况</w:t>
      </w:r>
    </w:p>
    <w:p>
      <w:pPr>
        <w:spacing w:line="590" w:lineRule="exact"/>
        <w:ind w:firstLine="640" w:firstLineChars="200"/>
        <w:rPr>
          <w:rFonts w:hint="eastAsia" w:eastAsia="仿宋_GB2312"/>
          <w:sz w:val="32"/>
          <w:szCs w:val="32"/>
          <w:lang w:eastAsia="zh-CN"/>
        </w:rPr>
      </w:pPr>
      <w:r>
        <w:rPr>
          <w:rFonts w:hint="eastAsia" w:ascii="仿宋_GB2312" w:eastAsia="仿宋_GB2312"/>
          <w:sz w:val="32"/>
          <w:szCs w:val="32"/>
          <w:lang w:eastAsia="zh-CN"/>
        </w:rPr>
        <w:t>我局各项目管理总体上能按原计划完成，达到预期目标，各项目实际完成目标值</w:t>
      </w:r>
      <w:r>
        <w:rPr>
          <w:rFonts w:hint="eastAsia" w:ascii="仿宋_GB2312" w:eastAsia="仿宋_GB2312"/>
          <w:sz w:val="32"/>
          <w:szCs w:val="32"/>
          <w:lang w:val="en-US" w:eastAsia="zh-CN"/>
        </w:rPr>
        <w:t>100%</w:t>
      </w:r>
      <w:r>
        <w:rPr>
          <w:rFonts w:hint="eastAsia" w:ascii="仿宋_GB2312" w:eastAsia="仿宋_GB2312"/>
          <w:sz w:val="32"/>
          <w:szCs w:val="32"/>
          <w:lang w:eastAsia="zh-CN"/>
        </w:rPr>
        <w:t>。</w:t>
      </w:r>
    </w:p>
    <w:p>
      <w:pPr>
        <w:spacing w:line="590" w:lineRule="exact"/>
        <w:ind w:firstLine="643" w:firstLineChars="200"/>
        <w:rPr>
          <w:rFonts w:hint="eastAsia" w:eastAsia="楷体_GB2312"/>
          <w:b/>
          <w:sz w:val="32"/>
          <w:szCs w:val="32"/>
        </w:rPr>
      </w:pPr>
      <w:r>
        <w:rPr>
          <w:rFonts w:hint="eastAsia" w:eastAsia="楷体_GB2312"/>
          <w:b/>
          <w:sz w:val="32"/>
          <w:szCs w:val="32"/>
          <w:lang w:val="en-US" w:eastAsia="zh-CN"/>
        </w:rPr>
        <w:t>2.</w:t>
      </w:r>
      <w:r>
        <w:rPr>
          <w:rFonts w:hint="eastAsia" w:eastAsia="楷体_GB2312"/>
          <w:b/>
          <w:sz w:val="32"/>
          <w:szCs w:val="32"/>
        </w:rPr>
        <w:t>目标质量完成情况</w:t>
      </w:r>
    </w:p>
    <w:p>
      <w:pPr>
        <w:spacing w:line="590" w:lineRule="exact"/>
        <w:ind w:firstLine="640" w:firstLineChars="200"/>
        <w:rPr>
          <w:rFonts w:hint="eastAsia" w:eastAsia="仿宋_GB2312"/>
          <w:sz w:val="32"/>
          <w:szCs w:val="32"/>
          <w:lang w:eastAsia="zh-CN"/>
        </w:rPr>
      </w:pPr>
      <w:r>
        <w:rPr>
          <w:rFonts w:hint="eastAsia" w:ascii="仿宋_GB2312" w:eastAsia="仿宋_GB2312"/>
          <w:sz w:val="32"/>
          <w:szCs w:val="32"/>
          <w:lang w:eastAsia="zh-CN"/>
        </w:rPr>
        <w:t>我局</w:t>
      </w:r>
      <w:r>
        <w:rPr>
          <w:rFonts w:hint="eastAsia" w:ascii="仿宋_GB2312" w:eastAsia="仿宋_GB2312"/>
          <w:sz w:val="32"/>
          <w:szCs w:val="32"/>
        </w:rPr>
        <w:t>严格按照职责履行，各项</w:t>
      </w:r>
      <w:r>
        <w:rPr>
          <w:rFonts w:hint="eastAsia" w:ascii="仿宋_GB2312" w:eastAsia="仿宋_GB2312"/>
          <w:sz w:val="32"/>
          <w:szCs w:val="32"/>
          <w:lang w:eastAsia="zh-CN"/>
        </w:rPr>
        <w:t>目</w:t>
      </w:r>
      <w:r>
        <w:rPr>
          <w:rFonts w:hint="eastAsia" w:ascii="仿宋_GB2312" w:eastAsia="仿宋_GB2312"/>
          <w:sz w:val="32"/>
          <w:szCs w:val="32"/>
        </w:rPr>
        <w:t>支出达到服务对象满意度100%</w:t>
      </w:r>
      <w:r>
        <w:rPr>
          <w:rFonts w:hint="eastAsia" w:ascii="仿宋_GB2312" w:eastAsia="仿宋_GB2312"/>
          <w:sz w:val="32"/>
          <w:szCs w:val="32"/>
          <w:lang w:eastAsia="zh-CN"/>
        </w:rPr>
        <w:t>。</w:t>
      </w:r>
    </w:p>
    <w:p>
      <w:pPr>
        <w:spacing w:line="590" w:lineRule="exact"/>
        <w:ind w:firstLine="643" w:firstLineChars="200"/>
        <w:rPr>
          <w:rFonts w:hint="eastAsia" w:eastAsia="楷体_GB2312"/>
          <w:b/>
          <w:sz w:val="32"/>
          <w:szCs w:val="32"/>
        </w:rPr>
      </w:pPr>
      <w:r>
        <w:rPr>
          <w:rFonts w:hint="eastAsia" w:eastAsia="楷体_GB2312"/>
          <w:b/>
          <w:sz w:val="32"/>
          <w:szCs w:val="32"/>
          <w:lang w:val="en-US" w:eastAsia="zh-CN"/>
        </w:rPr>
        <w:t>3.</w:t>
      </w:r>
      <w:r>
        <w:rPr>
          <w:rFonts w:hint="eastAsia" w:eastAsia="楷体_GB2312"/>
          <w:b/>
          <w:sz w:val="32"/>
          <w:szCs w:val="32"/>
        </w:rPr>
        <w:t>目标进度完成情况</w:t>
      </w:r>
    </w:p>
    <w:p>
      <w:pPr>
        <w:spacing w:line="590" w:lineRule="exact"/>
        <w:ind w:firstLine="640" w:firstLineChars="200"/>
        <w:rPr>
          <w:rFonts w:hint="eastAsia" w:eastAsia="方正黑体简体"/>
          <w:sz w:val="32"/>
          <w:szCs w:val="32"/>
        </w:rPr>
      </w:pPr>
      <w:r>
        <w:rPr>
          <w:rFonts w:hint="eastAsia" w:eastAsia="仿宋_GB2312"/>
          <w:sz w:val="32"/>
          <w:szCs w:val="32"/>
          <w:lang w:eastAsia="zh-CN"/>
        </w:rPr>
        <w:t>根据年初项目预算</w:t>
      </w:r>
      <w:r>
        <w:rPr>
          <w:rFonts w:hint="eastAsia" w:eastAsia="仿宋_GB2312"/>
          <w:sz w:val="32"/>
          <w:szCs w:val="32"/>
        </w:rPr>
        <w:t>，</w:t>
      </w:r>
      <w:r>
        <w:rPr>
          <w:rFonts w:hint="eastAsia" w:eastAsia="仿宋_GB2312"/>
          <w:sz w:val="32"/>
          <w:szCs w:val="32"/>
          <w:lang w:eastAsia="zh-CN"/>
        </w:rPr>
        <w:t>我局</w:t>
      </w:r>
      <w:r>
        <w:rPr>
          <w:rFonts w:hint="eastAsia" w:eastAsia="仿宋_GB2312"/>
          <w:sz w:val="32"/>
          <w:szCs w:val="32"/>
          <w:lang w:val="en-US" w:eastAsia="zh-CN"/>
        </w:rPr>
        <w:t>2021年各</w:t>
      </w:r>
      <w:r>
        <w:rPr>
          <w:rFonts w:hint="eastAsia" w:eastAsia="仿宋_GB2312"/>
          <w:sz w:val="32"/>
          <w:szCs w:val="32"/>
        </w:rPr>
        <w:t>项目实际完成进度</w:t>
      </w:r>
      <w:r>
        <w:rPr>
          <w:rFonts w:hint="eastAsia" w:eastAsia="仿宋_GB2312"/>
          <w:sz w:val="32"/>
          <w:szCs w:val="32"/>
          <w:lang w:eastAsia="zh-CN"/>
        </w:rPr>
        <w:t>均达到</w:t>
      </w:r>
      <w:r>
        <w:rPr>
          <w:rFonts w:hint="eastAsia" w:eastAsia="仿宋_GB2312"/>
          <w:sz w:val="32"/>
          <w:szCs w:val="32"/>
          <w:lang w:val="en-US" w:eastAsia="zh-CN"/>
        </w:rPr>
        <w:t>100%</w:t>
      </w:r>
      <w:r>
        <w:rPr>
          <w:rFonts w:hint="eastAsia" w:eastAsia="仿宋_GB2312"/>
          <w:sz w:val="32"/>
          <w:szCs w:val="32"/>
        </w:rPr>
        <w:t>。</w:t>
      </w: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643" w:firstLineChars="200"/>
        <w:rPr>
          <w:rFonts w:hint="eastAsia" w:eastAsia="方正楷体简体"/>
          <w:b/>
          <w:sz w:val="32"/>
          <w:szCs w:val="32"/>
        </w:rPr>
      </w:pPr>
      <w:r>
        <w:rPr>
          <w:rFonts w:hint="eastAsia" w:eastAsia="方正楷体简体"/>
          <w:b/>
          <w:sz w:val="32"/>
          <w:szCs w:val="32"/>
        </w:rPr>
        <w:t>（一）自评工作组织领导</w:t>
      </w:r>
    </w:p>
    <w:p>
      <w:pPr>
        <w:spacing w:line="580" w:lineRule="exact"/>
        <w:ind w:firstLine="640" w:firstLineChars="200"/>
        <w:rPr>
          <w:rFonts w:hint="eastAsia" w:eastAsia="仿宋_GB2312"/>
          <w:b/>
          <w:sz w:val="32"/>
          <w:szCs w:val="32"/>
          <w:lang w:eastAsia="zh-CN"/>
        </w:rPr>
      </w:pPr>
      <w:r>
        <w:rPr>
          <w:rFonts w:hint="eastAsia" w:eastAsia="方正仿宋简体"/>
          <w:sz w:val="32"/>
          <w:szCs w:val="32"/>
          <w:lang w:eastAsia="zh-CN"/>
        </w:rPr>
        <w:t>我单位</w:t>
      </w:r>
      <w:r>
        <w:rPr>
          <w:rFonts w:hint="eastAsia" w:eastAsia="方正仿宋简体"/>
          <w:sz w:val="32"/>
          <w:szCs w:val="32"/>
        </w:rPr>
        <w:t>高度重视支出绩效自评工作，切实履行绩效评价主体责任，本着客观、真实、准确的原则开展部门项目支出绩效自评</w:t>
      </w:r>
      <w:r>
        <w:rPr>
          <w:rFonts w:hint="eastAsia" w:eastAsia="方正仿宋简体"/>
          <w:sz w:val="32"/>
          <w:szCs w:val="32"/>
          <w:lang w:eastAsia="zh-CN"/>
        </w:rPr>
        <w:t>。成立了以唐春局长为组长</w:t>
      </w:r>
      <w:r>
        <w:rPr>
          <w:rFonts w:hint="eastAsia" w:eastAsia="仿宋_GB2312"/>
          <w:sz w:val="32"/>
          <w:szCs w:val="32"/>
        </w:rPr>
        <w:t>，</w:t>
      </w:r>
      <w:r>
        <w:rPr>
          <w:rFonts w:hint="eastAsia" w:eastAsia="仿宋_GB2312"/>
          <w:sz w:val="32"/>
          <w:szCs w:val="32"/>
          <w:lang w:eastAsia="zh-CN"/>
        </w:rPr>
        <w:t>吴击浪</w:t>
      </w:r>
      <w:r>
        <w:rPr>
          <w:rFonts w:hint="eastAsia" w:eastAsia="仿宋_GB2312"/>
          <w:sz w:val="32"/>
          <w:szCs w:val="32"/>
        </w:rPr>
        <w:t>副局长为副组长，相关科室</w:t>
      </w:r>
      <w:r>
        <w:rPr>
          <w:rFonts w:hint="eastAsia" w:eastAsia="仿宋_GB2312"/>
          <w:sz w:val="32"/>
          <w:szCs w:val="32"/>
          <w:lang w:eastAsia="zh-CN"/>
        </w:rPr>
        <w:t>人员</w:t>
      </w:r>
      <w:r>
        <w:rPr>
          <w:rFonts w:hint="eastAsia" w:eastAsia="仿宋_GB2312"/>
          <w:sz w:val="32"/>
          <w:szCs w:val="32"/>
        </w:rPr>
        <w:t>为成员</w:t>
      </w:r>
      <w:r>
        <w:rPr>
          <w:rFonts w:hint="eastAsia" w:eastAsia="仿宋_GB2312"/>
          <w:sz w:val="32"/>
          <w:szCs w:val="32"/>
          <w:lang w:eastAsia="zh-CN"/>
        </w:rPr>
        <w:t>的财政支出绩效自评小组。</w:t>
      </w:r>
    </w:p>
    <w:p>
      <w:pPr>
        <w:spacing w:line="580" w:lineRule="exact"/>
        <w:ind w:firstLine="643" w:firstLineChars="200"/>
        <w:rPr>
          <w:rFonts w:hint="eastAsia" w:eastAsia="方正楷体简体"/>
          <w:b/>
          <w:sz w:val="32"/>
          <w:szCs w:val="32"/>
        </w:rPr>
      </w:pPr>
      <w:r>
        <w:rPr>
          <w:rFonts w:hint="eastAsia" w:eastAsia="方正楷体简体"/>
          <w:b/>
          <w:sz w:val="32"/>
          <w:szCs w:val="32"/>
        </w:rPr>
        <w:t>（二）自评方式、方法、重点等</w:t>
      </w:r>
    </w:p>
    <w:p>
      <w:pPr>
        <w:spacing w:line="580" w:lineRule="exact"/>
        <w:ind w:firstLine="640" w:firstLineChars="200"/>
        <w:rPr>
          <w:rFonts w:hint="eastAsia" w:ascii="方正仿宋简体" w:hAnsi="方正仿宋简体" w:eastAsia="方正仿宋简体" w:cs="方正仿宋简体"/>
          <w:b w:val="0"/>
          <w:bCs/>
          <w:sz w:val="32"/>
          <w:szCs w:val="32"/>
          <w:lang w:eastAsia="zh-CN"/>
        </w:rPr>
      </w:pPr>
      <w:r>
        <w:rPr>
          <w:rFonts w:hint="eastAsia" w:ascii="方正仿宋简体" w:hAnsi="方正仿宋简体" w:eastAsia="方正仿宋简体" w:cs="方正仿宋简体"/>
          <w:b w:val="0"/>
          <w:bCs/>
          <w:sz w:val="32"/>
          <w:szCs w:val="32"/>
          <w:lang w:eastAsia="zh-CN"/>
        </w:rPr>
        <w:t>我局项目支出自评，采用比较法，通过成立自评小组，收集相关项目资料等，经局务会对本年离退休老干部活动经费项目（如：</w:t>
      </w:r>
      <w:r>
        <w:rPr>
          <w:rFonts w:hint="eastAsia" w:eastAsia="方正仿宋简体"/>
          <w:sz w:val="32"/>
          <w:szCs w:val="32"/>
        </w:rPr>
        <w:t>订阅晚霞杂志、老干部活动中心的管理及后勤服务、特困离退休干部及遗孀补助、“630”人员门诊医疗费、离退休老干部健康体检费</w:t>
      </w:r>
      <w:r>
        <w:rPr>
          <w:rFonts w:hint="eastAsia" w:eastAsia="方正仿宋简体"/>
          <w:sz w:val="32"/>
          <w:szCs w:val="32"/>
          <w:lang w:eastAsia="zh-CN"/>
        </w:rPr>
        <w:t>等）重点</w:t>
      </w:r>
      <w:r>
        <w:rPr>
          <w:rFonts w:hint="eastAsia" w:ascii="方正仿宋简体" w:hAnsi="方正仿宋简体" w:eastAsia="方正仿宋简体" w:cs="方正仿宋简体"/>
          <w:b w:val="0"/>
          <w:bCs/>
          <w:sz w:val="32"/>
          <w:szCs w:val="32"/>
          <w:lang w:eastAsia="zh-CN"/>
        </w:rPr>
        <w:t>研究，最终形成项目自评材料，开展自评工作。</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spacing w:line="580" w:lineRule="exact"/>
        <w:ind w:firstLine="640" w:firstLineChars="200"/>
        <w:rPr>
          <w:rFonts w:eastAsia="方正仿宋简体"/>
          <w:sz w:val="32"/>
          <w:szCs w:val="32"/>
        </w:rPr>
      </w:pPr>
      <w:r>
        <w:rPr>
          <w:rFonts w:hint="eastAsia" w:eastAsia="方正仿宋简体"/>
          <w:sz w:val="32"/>
          <w:szCs w:val="32"/>
          <w:lang w:eastAsia="zh-CN"/>
        </w:rPr>
        <w:t>离退休老干部活动经费项目符合国家政策，与实际需求高度相关。在项目实施过程中，我局</w:t>
      </w:r>
      <w:r>
        <w:rPr>
          <w:rFonts w:hint="eastAsia" w:eastAsia="仿宋_GB2312"/>
          <w:sz w:val="32"/>
          <w:szCs w:val="32"/>
          <w:lang w:eastAsia="zh-CN"/>
        </w:rPr>
        <w:t>严格执行项目预算管理及收支管理，依据行政事业单位财务管理制度，及时进行</w:t>
      </w:r>
      <w:r>
        <w:rPr>
          <w:rFonts w:hint="eastAsia" w:eastAsia="仿宋_GB2312"/>
          <w:sz w:val="32"/>
          <w:szCs w:val="32"/>
        </w:rPr>
        <w:t>会计核算及账务处理</w:t>
      </w:r>
      <w:r>
        <w:rPr>
          <w:rFonts w:hint="eastAsia" w:eastAsia="仿宋_GB2312"/>
          <w:sz w:val="32"/>
          <w:szCs w:val="32"/>
          <w:lang w:eastAsia="zh-CN"/>
        </w:rPr>
        <w:t>，</w:t>
      </w:r>
      <w:r>
        <w:rPr>
          <w:rFonts w:hint="eastAsia" w:ascii="仿宋_GB2312" w:eastAsia="仿宋_GB2312"/>
          <w:sz w:val="32"/>
          <w:szCs w:val="32"/>
        </w:rPr>
        <w:t>不存在截留、挤占</w:t>
      </w:r>
      <w:r>
        <w:rPr>
          <w:rFonts w:hint="eastAsia" w:ascii="仿宋_GB2312" w:eastAsia="仿宋_GB2312"/>
          <w:sz w:val="32"/>
          <w:szCs w:val="32"/>
          <w:lang w:eastAsia="zh-CN"/>
        </w:rPr>
        <w:t>或者</w:t>
      </w:r>
      <w:r>
        <w:rPr>
          <w:rFonts w:hint="eastAsia" w:ascii="仿宋_GB2312" w:eastAsia="仿宋_GB2312"/>
          <w:sz w:val="32"/>
          <w:szCs w:val="32"/>
        </w:rPr>
        <w:t>挪用</w:t>
      </w:r>
      <w:r>
        <w:rPr>
          <w:rFonts w:hint="eastAsia" w:ascii="仿宋_GB2312" w:eastAsia="仿宋_GB2312"/>
          <w:sz w:val="32"/>
          <w:szCs w:val="32"/>
          <w:lang w:eastAsia="zh-CN"/>
        </w:rPr>
        <w:t>专项资金</w:t>
      </w:r>
      <w:r>
        <w:rPr>
          <w:rFonts w:hint="eastAsia" w:ascii="仿宋_GB2312" w:eastAsia="仿宋_GB2312"/>
          <w:sz w:val="32"/>
          <w:szCs w:val="32"/>
        </w:rPr>
        <w:t>，超预算或者无预算安排支出，虚列支出、转嫁支出</w:t>
      </w:r>
      <w:r>
        <w:rPr>
          <w:rFonts w:hint="eastAsia" w:ascii="仿宋_GB2312" w:eastAsia="仿宋_GB2312"/>
          <w:sz w:val="32"/>
          <w:szCs w:val="32"/>
          <w:lang w:eastAsia="zh-CN"/>
        </w:rPr>
        <w:t>等现状</w:t>
      </w:r>
      <w:r>
        <w:rPr>
          <w:rFonts w:hint="eastAsia" w:ascii="仿宋_GB2312" w:eastAsia="仿宋_GB2312"/>
          <w:sz w:val="32"/>
          <w:szCs w:val="32"/>
        </w:rPr>
        <w:t>，</w:t>
      </w:r>
      <w:r>
        <w:rPr>
          <w:rFonts w:hint="eastAsia" w:eastAsia="仿宋_GB2312"/>
          <w:sz w:val="32"/>
          <w:szCs w:val="32"/>
        </w:rPr>
        <w:t>对照项目资金管理办法，严格执行财务管理制度</w:t>
      </w:r>
      <w:r>
        <w:rPr>
          <w:rFonts w:hint="eastAsia" w:eastAsia="仿宋_GB2312"/>
          <w:sz w:val="32"/>
          <w:szCs w:val="32"/>
          <w:lang w:eastAsia="zh-CN"/>
        </w:rPr>
        <w:t>，</w:t>
      </w:r>
      <w:r>
        <w:rPr>
          <w:rFonts w:hint="eastAsia" w:eastAsia="仿宋_GB2312"/>
          <w:sz w:val="32"/>
          <w:szCs w:val="32"/>
        </w:rPr>
        <w:t>会计核算</w:t>
      </w:r>
      <w:r>
        <w:rPr>
          <w:rFonts w:hint="eastAsia" w:eastAsia="仿宋_GB2312"/>
          <w:sz w:val="32"/>
          <w:szCs w:val="32"/>
          <w:lang w:eastAsia="zh-CN"/>
        </w:rPr>
        <w:t>合乎</w:t>
      </w:r>
      <w:r>
        <w:rPr>
          <w:rFonts w:hint="eastAsia" w:eastAsia="仿宋_GB2312"/>
          <w:sz w:val="32"/>
          <w:szCs w:val="32"/>
        </w:rPr>
        <w:t>规范。</w:t>
      </w:r>
      <w:r>
        <w:rPr>
          <w:rFonts w:hint="eastAsia" w:eastAsia="方正仿宋简体"/>
          <w:sz w:val="32"/>
          <w:szCs w:val="32"/>
        </w:rPr>
        <w:t>依据《乐至县财政支出绩效评价管理办法》规定</w:t>
      </w:r>
      <w:r>
        <w:rPr>
          <w:rFonts w:hint="eastAsia" w:eastAsia="方正仿宋简体"/>
          <w:sz w:val="32"/>
          <w:szCs w:val="32"/>
          <w:lang w:eastAsia="zh-CN"/>
        </w:rPr>
        <w:t>自评</w:t>
      </w:r>
      <w:r>
        <w:rPr>
          <w:rFonts w:hint="eastAsia" w:eastAsia="方正仿宋简体"/>
          <w:sz w:val="32"/>
          <w:szCs w:val="32"/>
        </w:rPr>
        <w:t>绩效等级</w:t>
      </w:r>
      <w:r>
        <w:rPr>
          <w:rFonts w:hint="eastAsia" w:eastAsia="方正仿宋简体"/>
          <w:sz w:val="32"/>
          <w:szCs w:val="32"/>
          <w:lang w:eastAsia="zh-CN"/>
        </w:rPr>
        <w:t>为优</w:t>
      </w:r>
      <w:r>
        <w:rPr>
          <w:rFonts w:hint="eastAsia" w:eastAsia="方正仿宋简体"/>
          <w:sz w:val="32"/>
          <w:szCs w:val="32"/>
        </w:rPr>
        <w:t>。</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spacing w:line="580" w:lineRule="exact"/>
        <w:ind w:firstLine="640" w:firstLineChars="200"/>
        <w:rPr>
          <w:rFonts w:hint="eastAsia" w:eastAsia="方正仿宋简体"/>
          <w:sz w:val="32"/>
          <w:szCs w:val="32"/>
          <w:lang w:val="en-US" w:eastAsia="zh-CN"/>
        </w:rPr>
      </w:pPr>
      <w:r>
        <w:rPr>
          <w:rFonts w:hint="eastAsia" w:eastAsia="方正仿宋简体"/>
          <w:sz w:val="32"/>
          <w:szCs w:val="32"/>
          <w:lang w:val="en-US" w:eastAsia="zh-CN"/>
        </w:rPr>
        <w:t>2021年项目完成100%。</w:t>
      </w:r>
    </w:p>
    <w:p>
      <w:pPr>
        <w:spacing w:line="580" w:lineRule="exact"/>
        <w:ind w:firstLine="640" w:firstLineChars="200"/>
        <w:rPr>
          <w:rFonts w:hint="eastAsia" w:eastAsia="方正仿宋简体"/>
          <w:sz w:val="32"/>
          <w:szCs w:val="32"/>
          <w:lang w:val="en-US" w:eastAsia="zh-CN"/>
        </w:rPr>
      </w:pPr>
      <w:r>
        <w:rPr>
          <w:rFonts w:hint="eastAsia" w:eastAsia="方正仿宋简体"/>
          <w:sz w:val="32"/>
          <w:szCs w:val="32"/>
          <w:lang w:val="en-US" w:eastAsia="zh-CN"/>
        </w:rPr>
        <w:t>2021年我局离退休老干部活动经费项目预算资金40.01万元，实际支出39.37万元，完成率98.4%，差异原因主要是个别老干部离世。</w:t>
      </w:r>
    </w:p>
    <w:p>
      <w:pPr>
        <w:spacing w:line="580" w:lineRule="exact"/>
        <w:ind w:firstLine="640" w:firstLineChars="200"/>
        <w:rPr>
          <w:rFonts w:hint="eastAsia" w:eastAsia="方正仿宋简体"/>
          <w:sz w:val="32"/>
          <w:szCs w:val="32"/>
          <w:lang w:val="en-US" w:eastAsia="zh-CN"/>
        </w:rPr>
      </w:pPr>
      <w:r>
        <w:rPr>
          <w:rFonts w:hint="eastAsia" w:eastAsia="方正仿宋简体"/>
          <w:sz w:val="32"/>
          <w:szCs w:val="32"/>
          <w:lang w:val="en-US" w:eastAsia="zh-CN"/>
        </w:rPr>
        <w:t>项目实施对经济和社会的影响主要是落实保障了离退休老干部“两项待遇”，加强组织建设，建好离退休基层党组织，充分发挥了老干部经验优势和正能量作用，积极引导老干部参与社区基层治理，作用发挥大，社会反应强烈。</w:t>
      </w:r>
    </w:p>
    <w:p>
      <w:pPr>
        <w:spacing w:line="580" w:lineRule="exact"/>
        <w:ind w:firstLine="640" w:firstLineChars="200"/>
        <w:rPr>
          <w:rFonts w:hint="eastAsia" w:eastAsia="方正仿宋简体"/>
          <w:sz w:val="32"/>
          <w:szCs w:val="32"/>
          <w:lang w:val="en-US" w:eastAsia="zh-CN"/>
        </w:rPr>
      </w:pPr>
      <w:r>
        <w:rPr>
          <w:rFonts w:hint="eastAsia" w:eastAsia="方正仿宋简体"/>
          <w:sz w:val="32"/>
          <w:szCs w:val="32"/>
          <w:lang w:val="en-US" w:eastAsia="zh-CN"/>
        </w:rPr>
        <w:t>项目满意度评价。项目的实施充分保障了老干部的各项待遇，促进了老干部身心健康，服务对象满意度达95%以上。</w:t>
      </w:r>
    </w:p>
    <w:p>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pPr>
        <w:spacing w:line="580" w:lineRule="exact"/>
        <w:ind w:firstLine="643" w:firstLineChars="200"/>
        <w:rPr>
          <w:rFonts w:hint="eastAsia" w:eastAsia="方正楷体简体"/>
          <w:b/>
          <w:sz w:val="32"/>
          <w:szCs w:val="32"/>
        </w:rPr>
      </w:pPr>
      <w:r>
        <w:rPr>
          <w:rFonts w:hint="eastAsia" w:eastAsia="方正楷体简体"/>
          <w:b/>
          <w:sz w:val="32"/>
          <w:szCs w:val="32"/>
        </w:rPr>
        <w:t>（一）主要经验及做法</w:t>
      </w:r>
    </w:p>
    <w:p>
      <w:pPr>
        <w:spacing w:line="580" w:lineRule="exact"/>
        <w:ind w:firstLine="640" w:firstLineChars="200"/>
        <w:rPr>
          <w:rFonts w:hint="eastAsia" w:ascii="方正仿宋简体" w:hAnsi="方正仿宋简体" w:eastAsia="方正仿宋简体" w:cs="方正仿宋简体"/>
          <w:b w:val="0"/>
          <w:bCs/>
          <w:sz w:val="32"/>
          <w:szCs w:val="32"/>
          <w:lang w:eastAsia="zh-CN"/>
        </w:rPr>
      </w:pPr>
      <w:r>
        <w:rPr>
          <w:rFonts w:hint="eastAsia" w:ascii="方正仿宋简体" w:hAnsi="方正仿宋简体" w:eastAsia="方正仿宋简体" w:cs="方正仿宋简体"/>
          <w:b w:val="0"/>
          <w:bCs/>
          <w:sz w:val="32"/>
          <w:szCs w:val="32"/>
          <w:lang w:eastAsia="zh-CN"/>
        </w:rPr>
        <w:t>一是领导重视，成立了以局长为组长的绩效自评工作小组；二是严格遵守财经纪律，依据相关财经制度加强对项目的管理；三是加强学习，组织干部职工学习《乐至县财政支出绩效评价管理办法》《乐至县预算绩效目标管理办法》《乐至县预算绩效运行监控管理办法》等，加强干部职工业务素质。</w:t>
      </w:r>
    </w:p>
    <w:p>
      <w:pPr>
        <w:spacing w:line="580" w:lineRule="exact"/>
        <w:ind w:firstLine="643" w:firstLineChars="200"/>
        <w:rPr>
          <w:rFonts w:hint="eastAsia" w:eastAsia="方正楷体简体"/>
          <w:b/>
          <w:sz w:val="32"/>
          <w:szCs w:val="32"/>
        </w:rPr>
      </w:pPr>
      <w:r>
        <w:rPr>
          <w:rFonts w:hint="eastAsia" w:eastAsia="方正楷体简体"/>
          <w:b/>
          <w:sz w:val="32"/>
          <w:szCs w:val="32"/>
        </w:rPr>
        <w:t>（二）存在的问题</w:t>
      </w:r>
    </w:p>
    <w:p>
      <w:pPr>
        <w:spacing w:line="590" w:lineRule="exact"/>
        <w:ind w:firstLine="640" w:firstLineChars="200"/>
        <w:rPr>
          <w:rFonts w:hint="eastAsia" w:eastAsia="方正楷体简体"/>
          <w:b/>
          <w:sz w:val="32"/>
          <w:szCs w:val="32"/>
        </w:rPr>
      </w:pPr>
      <w:r>
        <w:rPr>
          <w:rFonts w:hint="eastAsia" w:eastAsia="仿宋_GB2312"/>
          <w:sz w:val="32"/>
          <w:szCs w:val="32"/>
          <w:lang w:val="en-US" w:eastAsia="zh-CN"/>
        </w:rPr>
        <w:t>部分老干部经费未纳入年初预算。</w:t>
      </w:r>
    </w:p>
    <w:p>
      <w:pPr>
        <w:spacing w:line="580" w:lineRule="exact"/>
        <w:ind w:firstLine="643" w:firstLineChars="200"/>
        <w:rPr>
          <w:rFonts w:hint="eastAsia" w:eastAsia="方正楷体简体"/>
          <w:b/>
          <w:sz w:val="32"/>
          <w:szCs w:val="32"/>
        </w:rPr>
      </w:pPr>
      <w:r>
        <w:rPr>
          <w:rFonts w:hint="eastAsia" w:eastAsia="方正楷体简体"/>
          <w:b/>
          <w:sz w:val="32"/>
          <w:szCs w:val="32"/>
        </w:rPr>
        <w:t>（三）建议和改进措施</w:t>
      </w:r>
    </w:p>
    <w:p>
      <w:pPr>
        <w:spacing w:line="590" w:lineRule="exact"/>
        <w:ind w:firstLine="640" w:firstLineChars="200"/>
        <w:rPr>
          <w:rFonts w:hint="eastAsia" w:eastAsia="仿宋_GB2312"/>
          <w:sz w:val="32"/>
          <w:szCs w:val="32"/>
        </w:rPr>
      </w:pPr>
      <w:r>
        <w:rPr>
          <w:rFonts w:hint="eastAsia" w:eastAsia="仿宋_GB2312"/>
          <w:sz w:val="32"/>
          <w:szCs w:val="32"/>
          <w:lang w:eastAsia="zh-CN"/>
        </w:rPr>
        <w:t>建议将相关老干部经费纳入年初预算</w:t>
      </w:r>
      <w:r>
        <w:rPr>
          <w:rFonts w:hint="eastAsia" w:eastAsia="仿宋_GB2312"/>
          <w:sz w:val="32"/>
          <w:szCs w:val="32"/>
        </w:rPr>
        <w:t>。</w:t>
      </w:r>
    </w:p>
    <w:p>
      <w:pPr>
        <w:spacing w:line="580" w:lineRule="exact"/>
        <w:ind w:firstLine="643" w:firstLineChars="200"/>
        <w:rPr>
          <w:rFonts w:hint="eastAsia" w:eastAsia="方正楷体简体"/>
          <w:b/>
          <w:sz w:val="32"/>
          <w:szCs w:val="32"/>
        </w:rPr>
      </w:pPr>
    </w:p>
    <w:p>
      <w:pPr>
        <w:spacing w:line="580" w:lineRule="exact"/>
        <w:ind w:firstLine="640" w:firstLineChars="200"/>
        <w:rPr>
          <w:rFonts w:eastAsia="方正仿宋简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20" w:lineRule="exact"/>
        <w:jc w:val="left"/>
        <w:rPr>
          <w:rFonts w:ascii="宋体"/>
          <w:sz w:val="32"/>
          <w:szCs w:val="32"/>
        </w:rPr>
      </w:pPr>
    </w:p>
    <w:p>
      <w:pPr>
        <w:spacing w:line="620" w:lineRule="exact"/>
        <w:jc w:val="center"/>
        <w:rPr>
          <w:rFonts w:eastAsia="方正小标宋简体"/>
          <w:bCs/>
          <w:kern w:val="0"/>
          <w:sz w:val="44"/>
          <w:szCs w:val="44"/>
        </w:rPr>
      </w:pPr>
      <w:r>
        <w:rPr>
          <w:rFonts w:eastAsia="方正小标宋简体"/>
          <w:bCs/>
          <w:kern w:val="0"/>
          <w:sz w:val="44"/>
          <w:szCs w:val="44"/>
        </w:rPr>
        <w:t>2021</w:t>
      </w:r>
      <w:r>
        <w:rPr>
          <w:rFonts w:hint="eastAsia" w:eastAsia="方正小标宋简体"/>
          <w:bCs/>
          <w:kern w:val="0"/>
          <w:sz w:val="44"/>
          <w:szCs w:val="44"/>
        </w:rPr>
        <w:t>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bCs/>
          <w:kern w:val="0"/>
          <w:sz w:val="32"/>
          <w:szCs w:val="32"/>
          <w:lang w:eastAsia="zh-CN"/>
        </w:rPr>
        <w:t>离退休干部专项经费</w:t>
      </w:r>
      <w:r>
        <w:rPr>
          <w:rFonts w:hint="eastAsia" w:eastAsia="方正楷体简体"/>
          <w:b/>
          <w:bCs/>
          <w:kern w:val="0"/>
          <w:sz w:val="32"/>
          <w:szCs w:val="32"/>
        </w:rPr>
        <w:t>）</w:t>
      </w:r>
    </w:p>
    <w:p>
      <w:pPr>
        <w:spacing w:line="620" w:lineRule="exact"/>
        <w:rPr>
          <w:rFonts w:hint="eastAsia" w:eastAsia="宋体"/>
          <w:sz w:val="24"/>
          <w:lang w:eastAsia="zh-CN"/>
        </w:rPr>
      </w:pPr>
      <w:r>
        <w:rPr>
          <w:rFonts w:hint="eastAsia"/>
          <w:bCs/>
          <w:kern w:val="0"/>
          <w:sz w:val="24"/>
        </w:rPr>
        <w:t>预算单位名称：</w:t>
      </w:r>
      <w:r>
        <w:rPr>
          <w:bCs/>
          <w:kern w:val="0"/>
          <w:sz w:val="24"/>
        </w:rPr>
        <w:t xml:space="preserve">                 </w:t>
      </w:r>
      <w:r>
        <w:rPr>
          <w:rFonts w:hint="eastAsia"/>
          <w:bCs/>
          <w:kern w:val="0"/>
          <w:sz w:val="24"/>
        </w:rPr>
        <w:t>预算单位编码：</w:t>
      </w:r>
      <w:r>
        <w:rPr>
          <w:bCs/>
          <w:kern w:val="0"/>
          <w:sz w:val="24"/>
        </w:rPr>
        <w:t xml:space="preserve">                 </w:t>
      </w:r>
      <w:r>
        <w:rPr>
          <w:rFonts w:hint="eastAsia"/>
          <w:bCs/>
          <w:kern w:val="0"/>
          <w:sz w:val="24"/>
        </w:rPr>
        <w:t>自评等级：</w:t>
      </w:r>
      <w:r>
        <w:rPr>
          <w:rFonts w:hint="eastAsia"/>
          <w:bCs/>
          <w:kern w:val="0"/>
          <w:sz w:val="24"/>
          <w:lang w:eastAsia="zh-CN"/>
        </w:rPr>
        <w:t>优</w:t>
      </w:r>
    </w:p>
    <w:tbl>
      <w:tblPr>
        <w:tblStyle w:val="15"/>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714"/>
        <w:gridCol w:w="702"/>
        <w:gridCol w:w="851"/>
        <w:gridCol w:w="1700"/>
        <w:gridCol w:w="3539"/>
        <w:gridCol w:w="707"/>
        <w:gridCol w:w="90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39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8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67"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3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94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88"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49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88" w:type="pct"/>
            <w:noWrap/>
            <w:vAlign w:val="center"/>
          </w:tcPr>
          <w:p>
            <w:pPr>
              <w:widowControl/>
              <w:tabs>
                <w:tab w:val="left" w:pos="341"/>
              </w:tabs>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eastAsia="zh-CN"/>
              </w:rPr>
              <w:tab/>
            </w:r>
            <w:r>
              <w:rPr>
                <w:rFonts w:hint="eastAsia"/>
                <w:kern w:val="0"/>
                <w:szCs w:val="21"/>
                <w:lang w:val="en-US" w:eastAsia="zh-CN"/>
              </w:rPr>
              <w:t>5</w:t>
            </w:r>
          </w:p>
        </w:tc>
        <w:tc>
          <w:tcPr>
            <w:tcW w:w="493" w:type="pct"/>
            <w:noWrap/>
            <w:vAlign w:val="center"/>
          </w:tcPr>
          <w:p>
            <w:pPr>
              <w:widowControl/>
              <w:spacing w:line="240" w:lineRule="exact"/>
              <w:jc w:val="left"/>
              <w:rPr>
                <w:rFonts w:hint="eastAsia"/>
                <w:kern w:val="0"/>
                <w:szCs w:val="21"/>
                <w:lang w:eastAsia="zh-CN"/>
              </w:rPr>
            </w:pPr>
            <w:r>
              <w:rPr>
                <w:rFonts w:hint="eastAsia"/>
                <w:kern w:val="0"/>
                <w:szCs w:val="21"/>
                <w:lang w:eastAsia="zh-CN"/>
              </w:rPr>
              <w:t>相关文件</w:t>
            </w:r>
          </w:p>
          <w:p>
            <w:pPr>
              <w:widowControl/>
              <w:spacing w:line="240" w:lineRule="exact"/>
              <w:jc w:val="left"/>
              <w:rPr>
                <w:rFonts w:hint="eastAsia"/>
                <w:kern w:val="0"/>
                <w:szCs w:val="21"/>
                <w:lang w:eastAsia="zh-CN"/>
              </w:rPr>
            </w:pPr>
            <w:r>
              <w:rPr>
                <w:rFonts w:hint="eastAsia"/>
                <w:kern w:val="0"/>
                <w:szCs w:val="21"/>
                <w:lang w:eastAsia="zh-CN"/>
              </w:rPr>
              <w:t>及惯例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rFonts w:hint="eastAsia"/>
                <w:kern w:val="0"/>
                <w:szCs w:val="21"/>
                <w:lang w:eastAsia="zh-CN"/>
              </w:rPr>
            </w:pPr>
            <w:r>
              <w:rPr>
                <w:rFonts w:hint="eastAsia"/>
                <w:kern w:val="0"/>
                <w:szCs w:val="21"/>
                <w:lang w:eastAsia="zh-CN"/>
              </w:rPr>
              <w:t>相关文件</w:t>
            </w:r>
          </w:p>
          <w:p>
            <w:pPr>
              <w:widowControl/>
              <w:spacing w:line="240" w:lineRule="exact"/>
              <w:jc w:val="left"/>
              <w:rPr>
                <w:rFonts w:hint="eastAsia"/>
                <w:kern w:val="0"/>
                <w:szCs w:val="21"/>
                <w:lang w:eastAsia="zh-CN"/>
              </w:rPr>
            </w:pPr>
            <w:r>
              <w:rPr>
                <w:rFonts w:hint="eastAsia"/>
                <w:kern w:val="0"/>
                <w:szCs w:val="21"/>
                <w:lang w:eastAsia="zh-CN"/>
              </w:rPr>
              <w:t>及惯例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left"/>
              <w:rPr>
                <w:rFonts w:hint="eastAsia"/>
                <w:kern w:val="0"/>
                <w:szCs w:val="21"/>
                <w:lang w:eastAsia="zh-CN"/>
              </w:rPr>
            </w:pPr>
            <w:r>
              <w:rPr>
                <w:rFonts w:hint="eastAsia"/>
                <w:kern w:val="0"/>
                <w:szCs w:val="21"/>
                <w:lang w:eastAsia="zh-CN"/>
              </w:rPr>
              <w:t>绩效目标</w:t>
            </w:r>
          </w:p>
          <w:p>
            <w:pPr>
              <w:widowControl/>
              <w:spacing w:line="240" w:lineRule="exact"/>
              <w:jc w:val="left"/>
              <w:rPr>
                <w:rFonts w:hint="eastAsia"/>
                <w:kern w:val="0"/>
                <w:szCs w:val="21"/>
                <w:lang w:eastAsia="zh-CN"/>
              </w:rPr>
            </w:pPr>
            <w:r>
              <w:rPr>
                <w:rFonts w:hint="eastAsia"/>
                <w:kern w:val="0"/>
                <w:szCs w:val="21"/>
                <w:lang w:eastAsia="zh-CN"/>
              </w:rPr>
              <w:t>设置清晰</w:t>
            </w:r>
          </w:p>
          <w:p>
            <w:pPr>
              <w:widowControl/>
              <w:spacing w:line="240" w:lineRule="exact"/>
              <w:jc w:val="left"/>
              <w:rPr>
                <w:rFonts w:hint="eastAsia"/>
                <w:kern w:val="0"/>
                <w:szCs w:val="21"/>
                <w:lang w:eastAsia="zh-CN"/>
              </w:rPr>
            </w:pPr>
            <w:r>
              <w:rPr>
                <w:rFonts w:hint="eastAsia"/>
                <w:kern w:val="0"/>
                <w:szCs w:val="21"/>
                <w:lang w:eastAsia="zh-CN"/>
              </w:rPr>
              <w:t>细化、可</w:t>
            </w:r>
          </w:p>
          <w:p>
            <w:pPr>
              <w:widowControl/>
              <w:spacing w:line="240" w:lineRule="exact"/>
              <w:jc w:val="left"/>
              <w:rPr>
                <w:rFonts w:hint="eastAsia"/>
                <w:kern w:val="0"/>
                <w:szCs w:val="21"/>
                <w:lang w:eastAsia="zh-CN"/>
              </w:rPr>
            </w:pPr>
            <w:r>
              <w:rPr>
                <w:rFonts w:hint="eastAsia"/>
                <w:kern w:val="0"/>
                <w:szCs w:val="21"/>
                <w:lang w:eastAsia="zh-CN"/>
              </w:rPr>
              <w:t>衡量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eastAsia"/>
                <w:kern w:val="0"/>
                <w:szCs w:val="21"/>
                <w:lang w:eastAsia="zh-CN"/>
              </w:rPr>
            </w:pPr>
            <w:r>
              <w:rPr>
                <w:rFonts w:hint="eastAsia"/>
                <w:kern w:val="0"/>
                <w:szCs w:val="21"/>
                <w:lang w:eastAsia="zh-CN"/>
              </w:rPr>
              <w:t>资金到位</w:t>
            </w:r>
          </w:p>
          <w:p>
            <w:pPr>
              <w:widowControl/>
              <w:spacing w:line="240" w:lineRule="exact"/>
              <w:jc w:val="left"/>
              <w:rPr>
                <w:rFonts w:hint="default"/>
                <w:kern w:val="0"/>
                <w:szCs w:val="21"/>
                <w:lang w:val="en-US" w:eastAsia="zh-CN"/>
              </w:rPr>
            </w:pPr>
            <w:r>
              <w:rPr>
                <w:rFonts w:hint="eastAsia"/>
                <w:kern w:val="0"/>
                <w:szCs w:val="21"/>
                <w:lang w:val="en-US" w:eastAsia="zh-CN"/>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eastAsia" w:eastAsia="宋体"/>
                <w:kern w:val="0"/>
                <w:szCs w:val="21"/>
                <w:lang w:eastAsia="zh-CN"/>
              </w:rPr>
            </w:pPr>
            <w:r>
              <w:rPr>
                <w:rFonts w:hint="eastAsia"/>
                <w:kern w:val="0"/>
                <w:szCs w:val="21"/>
                <w:lang w:eastAsia="zh-CN"/>
              </w:rPr>
              <w:t>及时到位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92"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60" w:lineRule="exact"/>
              <w:jc w:val="left"/>
              <w:rPr>
                <w:rFonts w:hint="eastAsia"/>
                <w:kern w:val="0"/>
                <w:szCs w:val="21"/>
                <w:lang w:eastAsia="zh-CN"/>
              </w:rPr>
            </w:pPr>
            <w:r>
              <w:rPr>
                <w:rFonts w:hint="eastAsia"/>
                <w:kern w:val="0"/>
                <w:szCs w:val="21"/>
                <w:lang w:eastAsia="zh-CN"/>
              </w:rPr>
              <w:t>相应制度</w:t>
            </w:r>
          </w:p>
          <w:p>
            <w:pPr>
              <w:widowControl/>
              <w:spacing w:line="260" w:lineRule="exact"/>
              <w:jc w:val="left"/>
              <w:rPr>
                <w:rFonts w:hint="eastAsia"/>
                <w:kern w:val="0"/>
                <w:szCs w:val="21"/>
                <w:lang w:eastAsia="zh-CN"/>
              </w:rPr>
            </w:pPr>
            <w:r>
              <w:rPr>
                <w:rFonts w:hint="eastAsia"/>
                <w:kern w:val="0"/>
                <w:szCs w:val="21"/>
                <w:lang w:eastAsia="zh-CN"/>
              </w:rPr>
              <w:t>健全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60" w:lineRule="exact"/>
              <w:jc w:val="left"/>
              <w:rPr>
                <w:rFonts w:hint="eastAsia"/>
                <w:kern w:val="0"/>
                <w:szCs w:val="21"/>
                <w:lang w:eastAsia="zh-CN"/>
              </w:rPr>
            </w:pPr>
            <w:r>
              <w:rPr>
                <w:rFonts w:hint="eastAsia"/>
                <w:kern w:val="0"/>
                <w:szCs w:val="21"/>
                <w:lang w:eastAsia="zh-CN"/>
              </w:rPr>
              <w:t>依制度执</w:t>
            </w:r>
          </w:p>
          <w:p>
            <w:pPr>
              <w:widowControl/>
              <w:spacing w:line="260" w:lineRule="exact"/>
              <w:jc w:val="left"/>
              <w:rPr>
                <w:rFonts w:hint="eastAsia"/>
                <w:kern w:val="0"/>
                <w:szCs w:val="21"/>
                <w:lang w:eastAsia="zh-CN"/>
              </w:rPr>
            </w:pPr>
            <w:r>
              <w:rPr>
                <w:rFonts w:hint="eastAsia"/>
                <w:kern w:val="0"/>
                <w:szCs w:val="21"/>
                <w:lang w:eastAsia="zh-CN"/>
              </w:rPr>
              <w:t>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rFonts w:hint="eastAsia"/>
                <w:kern w:val="0"/>
                <w:szCs w:val="21"/>
                <w:lang w:eastAsia="zh-CN"/>
              </w:rPr>
            </w:pPr>
            <w:r>
              <w:rPr>
                <w:rFonts w:hint="eastAsia"/>
                <w:kern w:val="0"/>
                <w:szCs w:val="21"/>
                <w:lang w:eastAsia="zh-CN"/>
              </w:rPr>
              <w:t>制度健全</w:t>
            </w:r>
          </w:p>
          <w:p>
            <w:pPr>
              <w:widowControl/>
              <w:spacing w:line="260" w:lineRule="exact"/>
              <w:jc w:val="left"/>
              <w:rPr>
                <w:rFonts w:hint="eastAsia"/>
                <w:kern w:val="0"/>
                <w:szCs w:val="21"/>
                <w:lang w:eastAsia="zh-CN"/>
              </w:rPr>
            </w:pPr>
            <w:r>
              <w:rPr>
                <w:rFonts w:hint="eastAsia"/>
                <w:kern w:val="0"/>
                <w:szCs w:val="21"/>
                <w:lang w:eastAsia="zh-CN"/>
              </w:rPr>
              <w:t>符合财务</w:t>
            </w:r>
          </w:p>
          <w:p>
            <w:pPr>
              <w:widowControl/>
              <w:spacing w:line="260" w:lineRule="exact"/>
              <w:jc w:val="left"/>
              <w:rPr>
                <w:rFonts w:hint="eastAsia"/>
                <w:kern w:val="0"/>
                <w:szCs w:val="21"/>
                <w:lang w:eastAsia="zh-CN"/>
              </w:rPr>
            </w:pPr>
            <w:r>
              <w:rPr>
                <w:rFonts w:hint="eastAsia"/>
                <w:kern w:val="0"/>
                <w:szCs w:val="21"/>
                <w:lang w:eastAsia="zh-CN"/>
              </w:rPr>
              <w:t>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7</w:t>
            </w:r>
          </w:p>
        </w:tc>
        <w:tc>
          <w:tcPr>
            <w:tcW w:w="493" w:type="pct"/>
            <w:noWrap/>
            <w:vAlign w:val="center"/>
          </w:tcPr>
          <w:p>
            <w:pPr>
              <w:widowControl/>
              <w:spacing w:line="260" w:lineRule="exact"/>
              <w:jc w:val="left"/>
              <w:rPr>
                <w:rFonts w:hint="eastAsia"/>
                <w:kern w:val="0"/>
                <w:szCs w:val="21"/>
                <w:lang w:eastAsia="zh-CN"/>
              </w:rPr>
            </w:pPr>
            <w:r>
              <w:rPr>
                <w:rFonts w:hint="eastAsia"/>
                <w:kern w:val="0"/>
                <w:szCs w:val="21"/>
                <w:lang w:eastAsia="zh-CN"/>
              </w:rPr>
              <w:t>资金拨付</w:t>
            </w:r>
          </w:p>
          <w:p>
            <w:pPr>
              <w:widowControl/>
              <w:spacing w:line="260" w:lineRule="exact"/>
              <w:jc w:val="left"/>
              <w:rPr>
                <w:rFonts w:hint="eastAsia"/>
                <w:kern w:val="0"/>
                <w:szCs w:val="21"/>
                <w:lang w:eastAsia="zh-CN"/>
              </w:rPr>
            </w:pPr>
            <w:r>
              <w:rPr>
                <w:rFonts w:hint="eastAsia"/>
                <w:kern w:val="0"/>
                <w:szCs w:val="21"/>
                <w:lang w:eastAsia="zh-CN"/>
              </w:rPr>
              <w:t>使用符合</w:t>
            </w:r>
          </w:p>
          <w:p>
            <w:pPr>
              <w:widowControl/>
              <w:spacing w:line="260" w:lineRule="exact"/>
              <w:jc w:val="left"/>
              <w:rPr>
                <w:rFonts w:hint="eastAsia"/>
                <w:kern w:val="0"/>
                <w:szCs w:val="21"/>
                <w:lang w:val="en-US" w:eastAsia="zh-CN"/>
              </w:rPr>
            </w:pPr>
            <w:r>
              <w:rPr>
                <w:rFonts w:hint="eastAsia"/>
                <w:kern w:val="0"/>
                <w:szCs w:val="21"/>
                <w:lang w:eastAsia="zh-CN"/>
              </w:rPr>
              <w:t>相关财务</w:t>
            </w:r>
            <w:r>
              <w:rPr>
                <w:rFonts w:hint="eastAsia"/>
                <w:kern w:val="0"/>
                <w:szCs w:val="21"/>
                <w:lang w:val="en-US" w:eastAsia="zh-CN"/>
              </w:rPr>
              <w:t xml:space="preserve">    </w:t>
            </w:r>
          </w:p>
          <w:p>
            <w:pPr>
              <w:widowControl/>
              <w:spacing w:line="260" w:lineRule="exact"/>
              <w:jc w:val="left"/>
              <w:rPr>
                <w:rFonts w:hint="default"/>
                <w:kern w:val="0"/>
                <w:szCs w:val="21"/>
                <w:lang w:val="en-US" w:eastAsia="zh-CN"/>
              </w:rPr>
            </w:pPr>
            <w:r>
              <w:rPr>
                <w:rFonts w:hint="eastAsia"/>
                <w:kern w:val="0"/>
                <w:szCs w:val="21"/>
                <w:lang w:val="en-US" w:eastAsia="zh-CN"/>
              </w:rPr>
              <w:t>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2</w:t>
            </w:r>
          </w:p>
        </w:tc>
        <w:tc>
          <w:tcPr>
            <w:tcW w:w="493" w:type="pct"/>
            <w:noWrap/>
            <w:vAlign w:val="center"/>
          </w:tcPr>
          <w:p>
            <w:pPr>
              <w:widowControl/>
              <w:spacing w:line="260" w:lineRule="exact"/>
              <w:jc w:val="left"/>
              <w:rPr>
                <w:rFonts w:hint="eastAsia"/>
                <w:kern w:val="0"/>
                <w:szCs w:val="21"/>
                <w:lang w:eastAsia="zh-CN"/>
              </w:rPr>
            </w:pPr>
            <w:r>
              <w:rPr>
                <w:rFonts w:hint="eastAsia"/>
                <w:kern w:val="0"/>
                <w:szCs w:val="21"/>
                <w:lang w:eastAsia="zh-CN"/>
              </w:rPr>
              <w:t>有必要监</w:t>
            </w:r>
          </w:p>
          <w:p>
            <w:pPr>
              <w:widowControl/>
              <w:spacing w:line="260" w:lineRule="exact"/>
              <w:jc w:val="left"/>
              <w:rPr>
                <w:rFonts w:hint="eastAsia"/>
                <w:kern w:val="0"/>
                <w:szCs w:val="21"/>
                <w:lang w:eastAsia="zh-CN"/>
              </w:rPr>
            </w:pPr>
            <w:r>
              <w:rPr>
                <w:rFonts w:hint="eastAsia"/>
                <w:kern w:val="0"/>
                <w:szCs w:val="21"/>
                <w:lang w:eastAsia="zh-CN"/>
              </w:rPr>
              <w:t>控机制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42"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rFonts w:hint="eastAsia"/>
                <w:kern w:val="0"/>
                <w:szCs w:val="21"/>
                <w:lang w:eastAsia="zh-CN"/>
              </w:rPr>
            </w:pPr>
            <w:r>
              <w:rPr>
                <w:rFonts w:hint="eastAsia"/>
                <w:kern w:val="0"/>
                <w:szCs w:val="21"/>
                <w:lang w:eastAsia="zh-CN"/>
              </w:rPr>
              <w:t>完成率</w:t>
            </w:r>
          </w:p>
          <w:p>
            <w:pPr>
              <w:widowControl/>
              <w:spacing w:line="240" w:lineRule="exact"/>
              <w:jc w:val="left"/>
              <w:rPr>
                <w:rFonts w:hint="default" w:eastAsia="宋体"/>
                <w:kern w:val="0"/>
                <w:szCs w:val="21"/>
                <w:lang w:val="en-US" w:eastAsia="zh-CN"/>
              </w:rPr>
            </w:pPr>
            <w:r>
              <w:rPr>
                <w:rFonts w:hint="eastAsia"/>
                <w:kern w:val="0"/>
                <w:szCs w:val="21"/>
                <w:lang w:val="en-US" w:eastAsia="zh-CN"/>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left"/>
              <w:rPr>
                <w:rFonts w:hint="eastAsia" w:eastAsia="宋体"/>
                <w:kern w:val="0"/>
                <w:szCs w:val="21"/>
                <w:lang w:eastAsia="zh-CN"/>
              </w:rPr>
            </w:pPr>
            <w:r>
              <w:rPr>
                <w:rFonts w:hint="eastAsia"/>
                <w:kern w:val="0"/>
                <w:szCs w:val="21"/>
                <w:lang w:eastAsia="zh-CN"/>
              </w:rPr>
              <w:t>及时完成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eastAsia"/>
                <w:kern w:val="0"/>
                <w:szCs w:val="21"/>
                <w:lang w:eastAsia="zh-CN"/>
              </w:rPr>
            </w:pPr>
            <w:r>
              <w:rPr>
                <w:rFonts w:hint="eastAsia"/>
                <w:kern w:val="0"/>
                <w:szCs w:val="21"/>
                <w:lang w:eastAsia="zh-CN"/>
              </w:rPr>
              <w:t>项目完成</w:t>
            </w:r>
          </w:p>
          <w:p>
            <w:pPr>
              <w:widowControl/>
              <w:spacing w:line="240" w:lineRule="exact"/>
              <w:jc w:val="left"/>
              <w:rPr>
                <w:rFonts w:hint="eastAsia"/>
                <w:kern w:val="0"/>
                <w:szCs w:val="21"/>
                <w:lang w:eastAsia="zh-CN"/>
              </w:rPr>
            </w:pPr>
            <w:r>
              <w:rPr>
                <w:rFonts w:hint="eastAsia"/>
                <w:kern w:val="0"/>
                <w:szCs w:val="21"/>
                <w:lang w:eastAsia="zh-CN"/>
              </w:rPr>
              <w:t>质量达标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eastAsia"/>
                <w:kern w:val="0"/>
                <w:szCs w:val="21"/>
                <w:lang w:eastAsia="zh-CN"/>
              </w:rPr>
            </w:pPr>
            <w:r>
              <w:rPr>
                <w:rFonts w:hint="eastAsia"/>
                <w:kern w:val="0"/>
                <w:szCs w:val="21"/>
                <w:lang w:eastAsia="zh-CN"/>
              </w:rPr>
              <w:t>项目支出</w:t>
            </w:r>
          </w:p>
          <w:p>
            <w:pPr>
              <w:widowControl/>
              <w:spacing w:line="240" w:lineRule="exact"/>
              <w:jc w:val="left"/>
              <w:rPr>
                <w:rFonts w:hint="eastAsia"/>
                <w:kern w:val="0"/>
                <w:szCs w:val="21"/>
                <w:lang w:eastAsia="zh-CN"/>
              </w:rPr>
            </w:pPr>
            <w:r>
              <w:rPr>
                <w:rFonts w:hint="eastAsia"/>
                <w:kern w:val="0"/>
                <w:szCs w:val="21"/>
                <w:lang w:eastAsia="zh-CN"/>
              </w:rPr>
              <w:t>与预算相</w:t>
            </w:r>
          </w:p>
          <w:p>
            <w:pPr>
              <w:widowControl/>
              <w:spacing w:line="240" w:lineRule="exact"/>
              <w:jc w:val="left"/>
              <w:rPr>
                <w:rFonts w:hint="eastAsia"/>
                <w:kern w:val="0"/>
                <w:szCs w:val="21"/>
                <w:lang w:eastAsia="zh-CN"/>
              </w:rPr>
            </w:pPr>
            <w:r>
              <w:rPr>
                <w:rFonts w:hint="eastAsia"/>
                <w:kern w:val="0"/>
                <w:szCs w:val="21"/>
                <w:lang w:eastAsia="zh-CN"/>
              </w:rPr>
              <w:t>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942"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88" w:type="pct"/>
            <w:noWrap/>
            <w:vAlign w:val="center"/>
          </w:tcPr>
          <w:p>
            <w:pPr>
              <w:widowControl/>
              <w:spacing w:line="240" w:lineRule="exact"/>
              <w:jc w:val="left"/>
              <w:rPr>
                <w:kern w:val="0"/>
                <w:szCs w:val="21"/>
              </w:rPr>
            </w:pPr>
            <w:r>
              <w:rPr>
                <w:rFonts w:hint="eastAsia"/>
                <w:kern w:val="0"/>
                <w:szCs w:val="21"/>
              </w:rPr>
              <w:t>　</w:t>
            </w:r>
          </w:p>
        </w:tc>
        <w:tc>
          <w:tcPr>
            <w:tcW w:w="493" w:type="pct"/>
            <w:noWrap/>
            <w:vAlign w:val="center"/>
          </w:tcPr>
          <w:p>
            <w:pPr>
              <w:widowControl/>
              <w:spacing w:line="240" w:lineRule="exact"/>
              <w:jc w:val="left"/>
              <w:rPr>
                <w:rFonts w:hint="eastAsia" w:eastAsia="宋体"/>
                <w:kern w:val="0"/>
                <w:szCs w:val="21"/>
                <w:lang w:eastAsia="zh-CN"/>
              </w:rPr>
            </w:pPr>
            <w:r>
              <w:rPr>
                <w:rFonts w:hint="eastAsia"/>
                <w:kern w:val="0"/>
                <w:szCs w:val="21"/>
              </w:rPr>
              <w:t>　</w:t>
            </w:r>
            <w:r>
              <w:rPr>
                <w:rFonts w:hint="eastAsia"/>
                <w:kern w:val="0"/>
                <w:szCs w:val="21"/>
                <w:lang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88"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10</w:t>
            </w:r>
          </w:p>
        </w:tc>
        <w:tc>
          <w:tcPr>
            <w:tcW w:w="493" w:type="pct"/>
            <w:noWrap/>
            <w:vAlign w:val="center"/>
          </w:tcPr>
          <w:p>
            <w:pPr>
              <w:widowControl/>
              <w:spacing w:line="240" w:lineRule="exact"/>
              <w:jc w:val="left"/>
              <w:rPr>
                <w:rFonts w:hint="eastAsia"/>
                <w:kern w:val="0"/>
                <w:szCs w:val="21"/>
                <w:lang w:eastAsia="zh-CN"/>
              </w:rPr>
            </w:pPr>
            <w:r>
              <w:rPr>
                <w:rFonts w:hint="eastAsia"/>
                <w:kern w:val="0"/>
                <w:szCs w:val="21"/>
                <w:lang w:eastAsia="zh-CN"/>
              </w:rPr>
              <w:t>满意度</w:t>
            </w:r>
          </w:p>
          <w:p>
            <w:pPr>
              <w:widowControl/>
              <w:spacing w:line="240" w:lineRule="exact"/>
              <w:jc w:val="left"/>
              <w:rPr>
                <w:rFonts w:hint="default"/>
                <w:kern w:val="0"/>
                <w:szCs w:val="21"/>
                <w:lang w:val="en-US" w:eastAsia="zh-CN"/>
              </w:rPr>
            </w:pPr>
            <w:r>
              <w:rPr>
                <w:rFonts w:hint="default" w:ascii="Arial" w:hAnsi="Arial" w:cs="Arial"/>
                <w:kern w:val="0"/>
                <w:szCs w:val="21"/>
                <w:lang w:val="en-US" w:eastAsia="zh-CN"/>
              </w:rPr>
              <w:t>≥</w:t>
            </w:r>
            <w:r>
              <w:rPr>
                <w:rFonts w:hint="eastAsia"/>
                <w:kern w:val="0"/>
                <w:szCs w:val="21"/>
                <w:lang w:val="en-US" w:eastAsia="zh-CN"/>
              </w:rPr>
              <w:t>95%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118"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88"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95</w:t>
            </w:r>
          </w:p>
        </w:tc>
        <w:tc>
          <w:tcPr>
            <w:tcW w:w="493"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footerReference r:id="rId3" w:type="default"/>
          <w:footerReference r:id="rId4" w:type="even"/>
          <w:pgSz w:w="11907" w:h="16840"/>
          <w:pgMar w:top="2098" w:right="1474" w:bottom="1928" w:left="1588" w:header="851" w:footer="992" w:gutter="0"/>
          <w:cols w:space="720"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4-2</w:t>
      </w: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2021</w:t>
      </w:r>
      <w:r>
        <w:rPr>
          <w:rFonts w:hint="eastAsia" w:eastAsia="方正小标宋简体"/>
          <w:color w:val="000000"/>
          <w:spacing w:val="-12"/>
          <w:kern w:val="0"/>
          <w:sz w:val="44"/>
          <w:szCs w:val="44"/>
        </w:rPr>
        <w:t>年度乐至县项目支出绩效目标完成情况表</w:t>
      </w:r>
    </w:p>
    <w:p>
      <w:pPr>
        <w:pStyle w:val="2"/>
        <w:spacing w:after="0" w:line="240" w:lineRule="exact"/>
        <w:rPr>
          <w:rFonts w:ascii="宋体"/>
        </w:rPr>
      </w:pPr>
    </w:p>
    <w:tbl>
      <w:tblPr>
        <w:tblStyle w:val="15"/>
        <w:tblW w:w="960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87"/>
        <w:gridCol w:w="1061"/>
        <w:gridCol w:w="796"/>
        <w:gridCol w:w="796"/>
        <w:gridCol w:w="1519"/>
        <w:gridCol w:w="1997"/>
        <w:gridCol w:w="255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8720" w:type="dxa"/>
            <w:gridSpan w:val="6"/>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lang w:eastAsia="zh-CN"/>
              </w:rPr>
              <w:t>离退休干部专项经费</w:t>
            </w: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1061" w:type="dxa"/>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796" w:type="dxa"/>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2315" w:type="dxa"/>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4548" w:type="dxa"/>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noWrap/>
            <w:vAlign w:val="center"/>
          </w:tcPr>
          <w:p>
            <w:pPr>
              <w:widowControl/>
              <w:spacing w:line="240" w:lineRule="exact"/>
              <w:jc w:val="center"/>
              <w:rPr>
                <w:color w:val="000000"/>
                <w:kern w:val="0"/>
                <w:szCs w:val="21"/>
              </w:rPr>
            </w:pPr>
            <w:r>
              <w:rPr>
                <w:rFonts w:hint="eastAsia"/>
                <w:color w:val="000000"/>
                <w:kern w:val="0"/>
                <w:szCs w:val="21"/>
              </w:rPr>
              <w:t>□</w:t>
            </w:r>
          </w:p>
        </w:tc>
        <w:tc>
          <w:tcPr>
            <w:tcW w:w="796" w:type="dxa"/>
            <w:noWrap/>
            <w:vAlign w:val="center"/>
          </w:tcPr>
          <w:p>
            <w:pPr>
              <w:spacing w:line="240" w:lineRule="exact"/>
              <w:jc w:val="center"/>
              <w:rPr>
                <w:rFonts w:hint="eastAsia" w:eastAsia="宋体"/>
                <w:szCs w:val="21"/>
                <w:lang w:eastAsia="zh-CN"/>
              </w:rPr>
            </w:pPr>
            <w:r>
              <w:rPr>
                <w:rFonts w:hint="eastAsia"/>
                <w:color w:val="000000"/>
                <w:kern w:val="0"/>
                <w:szCs w:val="21"/>
                <w:lang w:eastAsia="zh-CN"/>
              </w:rPr>
              <w:t>☑</w:t>
            </w:r>
          </w:p>
        </w:tc>
        <w:tc>
          <w:tcPr>
            <w:tcW w:w="2315" w:type="dxa"/>
            <w:gridSpan w:val="2"/>
            <w:noWrap/>
            <w:vAlign w:val="center"/>
          </w:tcPr>
          <w:p>
            <w:pPr>
              <w:spacing w:line="240" w:lineRule="exact"/>
              <w:jc w:val="center"/>
              <w:rPr>
                <w:szCs w:val="21"/>
              </w:rPr>
            </w:pPr>
            <w:r>
              <w:rPr>
                <w:rFonts w:hint="eastAsia"/>
                <w:color w:val="000000"/>
                <w:kern w:val="0"/>
                <w:szCs w:val="21"/>
              </w:rPr>
              <w:t>□</w:t>
            </w:r>
          </w:p>
        </w:tc>
        <w:tc>
          <w:tcPr>
            <w:tcW w:w="4548" w:type="dxa"/>
            <w:gridSpan w:val="2"/>
            <w:noWrap/>
            <w:vAlign w:val="center"/>
          </w:tcPr>
          <w:p>
            <w:pPr>
              <w:spacing w:line="240" w:lineRule="exact"/>
              <w:jc w:val="center"/>
              <w:rPr>
                <w:szCs w:val="21"/>
              </w:rPr>
            </w:pPr>
            <w:r>
              <w:rPr>
                <w:rFonts w:hint="eastAsia"/>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4172" w:type="dxa"/>
            <w:gridSpan w:val="4"/>
            <w:noWrap/>
            <w:vAlign w:val="center"/>
          </w:tcPr>
          <w:p>
            <w:pPr>
              <w:widowControl/>
              <w:spacing w:line="240" w:lineRule="exact"/>
              <w:jc w:val="center"/>
              <w:rPr>
                <w:color w:val="000000"/>
                <w:kern w:val="0"/>
                <w:szCs w:val="21"/>
              </w:rPr>
            </w:pPr>
            <w:r>
              <w:rPr>
                <w:rFonts w:hint="eastAsia"/>
                <w:color w:val="000000"/>
                <w:kern w:val="0"/>
                <w:szCs w:val="21"/>
                <w:lang w:eastAsia="zh-CN"/>
              </w:rPr>
              <w:t>中共乐至县委老干部局</w:t>
            </w:r>
            <w:r>
              <w:rPr>
                <w:rFonts w:hint="eastAsia"/>
                <w:color w:val="000000"/>
                <w:kern w:val="0"/>
                <w:szCs w:val="21"/>
              </w:rPr>
              <w:t>　</w:t>
            </w:r>
          </w:p>
        </w:tc>
        <w:tc>
          <w:tcPr>
            <w:tcW w:w="1997" w:type="dxa"/>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2551"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115101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887" w:type="dxa"/>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1061"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796" w:type="dxa"/>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百元</w:t>
            </w:r>
            <w:r>
              <w:rPr>
                <w:color w:val="000000"/>
                <w:kern w:val="0"/>
                <w:szCs w:val="21"/>
              </w:rPr>
              <w:t>)</w:t>
            </w:r>
          </w:p>
        </w:tc>
        <w:tc>
          <w:tcPr>
            <w:tcW w:w="796" w:type="dxa"/>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百元</w:t>
            </w:r>
            <w:r>
              <w:rPr>
                <w:color w:val="000000"/>
                <w:kern w:val="0"/>
                <w:szCs w:val="21"/>
              </w:rPr>
              <w:t>)</w:t>
            </w:r>
          </w:p>
        </w:tc>
        <w:tc>
          <w:tcPr>
            <w:tcW w:w="1519"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1997"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2551"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79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4001.3</w:t>
            </w:r>
          </w:p>
        </w:tc>
        <w:tc>
          <w:tcPr>
            <w:tcW w:w="79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3937.39</w:t>
            </w:r>
          </w:p>
        </w:tc>
        <w:tc>
          <w:tcPr>
            <w:tcW w:w="1519"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63.91</w:t>
            </w:r>
          </w:p>
        </w:tc>
        <w:tc>
          <w:tcPr>
            <w:tcW w:w="1997"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1.6</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79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4001.3</w:t>
            </w:r>
          </w:p>
        </w:tc>
        <w:tc>
          <w:tcPr>
            <w:tcW w:w="79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3937.39</w:t>
            </w:r>
          </w:p>
        </w:tc>
        <w:tc>
          <w:tcPr>
            <w:tcW w:w="1519"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63.91</w:t>
            </w:r>
          </w:p>
        </w:tc>
        <w:tc>
          <w:tcPr>
            <w:tcW w:w="1997"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1.6</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79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9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887" w:type="dxa"/>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1061"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796" w:type="dxa"/>
            <w:noWrap/>
            <w:vAlign w:val="center"/>
          </w:tcPr>
          <w:p>
            <w:pPr>
              <w:widowControl/>
              <w:spacing w:line="240" w:lineRule="exact"/>
              <w:jc w:val="center"/>
              <w:rPr>
                <w:color w:val="000000"/>
                <w:kern w:val="0"/>
                <w:szCs w:val="21"/>
              </w:rPr>
            </w:pPr>
            <w:r>
              <w:rPr>
                <w:rFonts w:hint="eastAsia"/>
                <w:color w:val="000000"/>
                <w:kern w:val="0"/>
                <w:szCs w:val="21"/>
              </w:rPr>
              <w:t>合计</w:t>
            </w:r>
          </w:p>
        </w:tc>
        <w:tc>
          <w:tcPr>
            <w:tcW w:w="796" w:type="dxa"/>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1519" w:type="dxa"/>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1997" w:type="dxa"/>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2551" w:type="dxa"/>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百元</w:t>
            </w:r>
            <w:r>
              <w:rPr>
                <w:color w:val="000000"/>
                <w:kern w:val="0"/>
                <w:szCs w:val="21"/>
              </w:rPr>
              <w:t>)</w:t>
            </w:r>
          </w:p>
        </w:tc>
        <w:tc>
          <w:tcPr>
            <w:tcW w:w="79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4001.3</w:t>
            </w:r>
          </w:p>
        </w:tc>
        <w:tc>
          <w:tcPr>
            <w:tcW w:w="79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4001.3</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百元</w:t>
            </w:r>
            <w:r>
              <w:rPr>
                <w:color w:val="000000"/>
                <w:kern w:val="0"/>
                <w:szCs w:val="21"/>
              </w:rPr>
              <w:t>)</w:t>
            </w:r>
          </w:p>
        </w:tc>
        <w:tc>
          <w:tcPr>
            <w:tcW w:w="79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3937.39</w:t>
            </w:r>
          </w:p>
        </w:tc>
        <w:tc>
          <w:tcPr>
            <w:tcW w:w="79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3937.39</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79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63.91</w:t>
            </w:r>
          </w:p>
        </w:tc>
        <w:tc>
          <w:tcPr>
            <w:tcW w:w="79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63.91</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79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1.6</w:t>
            </w:r>
          </w:p>
        </w:tc>
        <w:tc>
          <w:tcPr>
            <w:tcW w:w="79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1.6</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79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9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887" w:type="dxa"/>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1857"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2315"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4548"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857" w:type="dxa"/>
            <w:gridSpan w:val="2"/>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目标</w:t>
            </w:r>
            <w:r>
              <w:rPr>
                <w:color w:val="000000"/>
                <w:kern w:val="0"/>
                <w:szCs w:val="21"/>
              </w:rPr>
              <w:t>1:</w:t>
            </w:r>
            <w:r>
              <w:rPr>
                <w:rFonts w:hint="eastAsia"/>
                <w:color w:val="000000"/>
                <w:kern w:val="0"/>
                <w:szCs w:val="21"/>
                <w:lang w:eastAsia="zh-CN"/>
              </w:rPr>
              <w:t>落实离退休老干部“两项待遇”，，做好老干部服务保障</w:t>
            </w:r>
          </w:p>
        </w:tc>
        <w:tc>
          <w:tcPr>
            <w:tcW w:w="2315" w:type="dxa"/>
            <w:gridSpan w:val="2"/>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eastAsia="zh-CN"/>
              </w:rPr>
              <w:t>老干部满意度</w:t>
            </w:r>
            <w:r>
              <w:rPr>
                <w:rFonts w:hint="default" w:ascii="Arial" w:hAnsi="Arial" w:cs="Arial"/>
                <w:color w:val="000000"/>
                <w:kern w:val="0"/>
                <w:szCs w:val="21"/>
                <w:lang w:eastAsia="zh-CN"/>
              </w:rPr>
              <w:t>≥</w:t>
            </w:r>
            <w:r>
              <w:rPr>
                <w:rFonts w:hint="eastAsia"/>
                <w:color w:val="000000"/>
                <w:kern w:val="0"/>
                <w:szCs w:val="21"/>
                <w:lang w:val="en-US" w:eastAsia="zh-CN"/>
              </w:rPr>
              <w:t>95%</w:t>
            </w:r>
          </w:p>
        </w:tc>
        <w:tc>
          <w:tcPr>
            <w:tcW w:w="4548"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857" w:type="dxa"/>
            <w:gridSpan w:val="2"/>
            <w:noWrap/>
            <w:vAlign w:val="center"/>
          </w:tcPr>
          <w:p>
            <w:pPr>
              <w:widowControl/>
              <w:spacing w:line="240" w:lineRule="exact"/>
              <w:jc w:val="left"/>
              <w:rPr>
                <w:color w:val="000000"/>
                <w:kern w:val="0"/>
                <w:szCs w:val="21"/>
              </w:rPr>
            </w:pPr>
            <w:r>
              <w:rPr>
                <w:rFonts w:hint="eastAsia"/>
                <w:color w:val="000000"/>
                <w:kern w:val="0"/>
                <w:szCs w:val="21"/>
              </w:rPr>
              <w:t>目标</w:t>
            </w:r>
            <w:r>
              <w:rPr>
                <w:color w:val="000000"/>
                <w:kern w:val="0"/>
                <w:szCs w:val="21"/>
              </w:rPr>
              <w:t>2:</w:t>
            </w:r>
            <w:r>
              <w:rPr>
                <w:rFonts w:hint="eastAsia"/>
                <w:color w:val="000000"/>
                <w:kern w:val="0"/>
                <w:szCs w:val="21"/>
              </w:rPr>
              <w:t>………</w:t>
            </w:r>
            <w:r>
              <w:rPr>
                <w:color w:val="000000"/>
                <w:kern w:val="0"/>
                <w:szCs w:val="21"/>
              </w:rPr>
              <w:t>.</w:t>
            </w:r>
          </w:p>
        </w:tc>
        <w:tc>
          <w:tcPr>
            <w:tcW w:w="2315"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4548"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857" w:type="dxa"/>
            <w:gridSpan w:val="2"/>
            <w:noWrap/>
            <w:vAlign w:val="center"/>
          </w:tcPr>
          <w:p>
            <w:pPr>
              <w:widowControl/>
              <w:spacing w:line="240" w:lineRule="exact"/>
              <w:jc w:val="left"/>
              <w:rPr>
                <w:color w:val="000000"/>
                <w:kern w:val="0"/>
                <w:szCs w:val="21"/>
              </w:rPr>
            </w:pPr>
            <w:r>
              <w:rPr>
                <w:rFonts w:hint="eastAsia"/>
                <w:color w:val="000000"/>
                <w:kern w:val="0"/>
                <w:szCs w:val="21"/>
              </w:rPr>
              <w:t>目标</w:t>
            </w:r>
            <w:r>
              <w:rPr>
                <w:color w:val="000000"/>
                <w:kern w:val="0"/>
                <w:szCs w:val="21"/>
              </w:rPr>
              <w:t>3:</w:t>
            </w:r>
            <w:r>
              <w:rPr>
                <w:rFonts w:hint="eastAsia"/>
                <w:color w:val="000000"/>
                <w:kern w:val="0"/>
                <w:szCs w:val="21"/>
              </w:rPr>
              <w:t>………</w:t>
            </w:r>
            <w:r>
              <w:rPr>
                <w:color w:val="000000"/>
                <w:kern w:val="0"/>
                <w:szCs w:val="21"/>
              </w:rPr>
              <w:t>.</w:t>
            </w:r>
          </w:p>
        </w:tc>
        <w:tc>
          <w:tcPr>
            <w:tcW w:w="2315"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4548"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857" w:type="dxa"/>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2315"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4548"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857" w:type="dxa"/>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2315"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4548"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887" w:type="dxa"/>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1061" w:type="dxa"/>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796" w:type="dxa"/>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796" w:type="dxa"/>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1519" w:type="dxa"/>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997" w:type="dxa"/>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2551" w:type="dxa"/>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796" w:type="dxa"/>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796" w:type="dxa"/>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服务老干部人数</w:t>
            </w:r>
          </w:p>
        </w:tc>
        <w:tc>
          <w:tcPr>
            <w:tcW w:w="1519"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default" w:ascii="Arial" w:hAnsi="Arial" w:cs="Arial"/>
                <w:color w:val="000000"/>
                <w:kern w:val="0"/>
                <w:szCs w:val="21"/>
              </w:rPr>
              <w:t>≥</w:t>
            </w:r>
            <w:r>
              <w:rPr>
                <w:rFonts w:hint="eastAsia"/>
                <w:color w:val="000000"/>
                <w:kern w:val="0"/>
                <w:szCs w:val="21"/>
                <w:lang w:val="en-US" w:eastAsia="zh-CN"/>
              </w:rPr>
              <w:t>152人</w:t>
            </w:r>
          </w:p>
        </w:tc>
        <w:tc>
          <w:tcPr>
            <w:tcW w:w="1997"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default" w:ascii="Arial" w:hAnsi="Arial" w:cs="Arial"/>
                <w:color w:val="000000"/>
                <w:kern w:val="0"/>
                <w:szCs w:val="21"/>
              </w:rPr>
              <w:t>≥</w:t>
            </w:r>
            <w:r>
              <w:rPr>
                <w:rFonts w:hint="eastAsia"/>
                <w:color w:val="000000"/>
                <w:kern w:val="0"/>
                <w:szCs w:val="21"/>
                <w:lang w:val="en-US" w:eastAsia="zh-CN"/>
              </w:rPr>
              <w:t>144人</w:t>
            </w:r>
          </w:p>
        </w:tc>
        <w:tc>
          <w:tcPr>
            <w:tcW w:w="2551" w:type="dxa"/>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人员离世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vMerge w:val="continue"/>
            <w:noWrap w:val="0"/>
            <w:vAlign w:val="center"/>
          </w:tcPr>
          <w:p>
            <w:pPr>
              <w:widowControl/>
              <w:spacing w:line="240" w:lineRule="exact"/>
              <w:jc w:val="left"/>
              <w:rPr>
                <w:color w:val="000000"/>
                <w:kern w:val="0"/>
                <w:szCs w:val="21"/>
              </w:rPr>
            </w:pPr>
          </w:p>
        </w:tc>
        <w:tc>
          <w:tcPr>
            <w:tcW w:w="796" w:type="dxa"/>
            <w:vMerge w:val="continue"/>
            <w:noWrap w:val="0"/>
            <w:vAlign w:val="center"/>
          </w:tcPr>
          <w:p>
            <w:pPr>
              <w:widowControl/>
              <w:spacing w:line="240" w:lineRule="exact"/>
              <w:jc w:val="left"/>
              <w:rPr>
                <w:color w:val="000000"/>
                <w:kern w:val="0"/>
                <w:szCs w:val="21"/>
              </w:rPr>
            </w:pPr>
          </w:p>
        </w:tc>
        <w:tc>
          <w:tcPr>
            <w:tcW w:w="79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vMerge w:val="continue"/>
            <w:noWrap w:val="0"/>
            <w:vAlign w:val="center"/>
          </w:tcPr>
          <w:p>
            <w:pPr>
              <w:widowControl/>
              <w:spacing w:line="240" w:lineRule="exact"/>
              <w:jc w:val="left"/>
              <w:rPr>
                <w:color w:val="000000"/>
                <w:kern w:val="0"/>
                <w:szCs w:val="21"/>
              </w:rPr>
            </w:pPr>
          </w:p>
        </w:tc>
        <w:tc>
          <w:tcPr>
            <w:tcW w:w="796" w:type="dxa"/>
            <w:vMerge w:val="continue"/>
            <w:noWrap w:val="0"/>
            <w:vAlign w:val="center"/>
          </w:tcPr>
          <w:p>
            <w:pPr>
              <w:widowControl/>
              <w:spacing w:line="240" w:lineRule="exact"/>
              <w:jc w:val="left"/>
              <w:rPr>
                <w:color w:val="000000"/>
                <w:kern w:val="0"/>
                <w:szCs w:val="21"/>
              </w:rPr>
            </w:pPr>
          </w:p>
        </w:tc>
        <w:tc>
          <w:tcPr>
            <w:tcW w:w="796"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vMerge w:val="continue"/>
            <w:noWrap w:val="0"/>
            <w:vAlign w:val="center"/>
          </w:tcPr>
          <w:p>
            <w:pPr>
              <w:widowControl/>
              <w:spacing w:line="240" w:lineRule="exact"/>
              <w:jc w:val="left"/>
              <w:rPr>
                <w:color w:val="000000"/>
                <w:kern w:val="0"/>
                <w:szCs w:val="21"/>
              </w:rPr>
            </w:pPr>
          </w:p>
        </w:tc>
        <w:tc>
          <w:tcPr>
            <w:tcW w:w="796" w:type="dxa"/>
            <w:vMerge w:val="restart"/>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79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vMerge w:val="continue"/>
            <w:noWrap w:val="0"/>
            <w:vAlign w:val="center"/>
          </w:tcPr>
          <w:p>
            <w:pPr>
              <w:widowControl/>
              <w:spacing w:line="240" w:lineRule="exact"/>
              <w:jc w:val="left"/>
              <w:rPr>
                <w:color w:val="000000"/>
                <w:kern w:val="0"/>
                <w:szCs w:val="21"/>
              </w:rPr>
            </w:pPr>
          </w:p>
        </w:tc>
        <w:tc>
          <w:tcPr>
            <w:tcW w:w="796" w:type="dxa"/>
            <w:vMerge w:val="continue"/>
            <w:noWrap w:val="0"/>
            <w:vAlign w:val="center"/>
          </w:tcPr>
          <w:p>
            <w:pPr>
              <w:widowControl/>
              <w:spacing w:line="240" w:lineRule="exact"/>
              <w:jc w:val="left"/>
              <w:rPr>
                <w:color w:val="000000"/>
                <w:kern w:val="0"/>
                <w:szCs w:val="21"/>
              </w:rPr>
            </w:pPr>
          </w:p>
        </w:tc>
        <w:tc>
          <w:tcPr>
            <w:tcW w:w="79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vMerge w:val="continue"/>
            <w:noWrap w:val="0"/>
            <w:vAlign w:val="center"/>
          </w:tcPr>
          <w:p>
            <w:pPr>
              <w:widowControl/>
              <w:spacing w:line="240" w:lineRule="exact"/>
              <w:jc w:val="left"/>
              <w:rPr>
                <w:color w:val="000000"/>
                <w:kern w:val="0"/>
                <w:szCs w:val="21"/>
              </w:rPr>
            </w:pPr>
          </w:p>
        </w:tc>
        <w:tc>
          <w:tcPr>
            <w:tcW w:w="796" w:type="dxa"/>
            <w:vMerge w:val="continue"/>
            <w:noWrap w:val="0"/>
            <w:vAlign w:val="center"/>
          </w:tcPr>
          <w:p>
            <w:pPr>
              <w:widowControl/>
              <w:spacing w:line="240" w:lineRule="exact"/>
              <w:jc w:val="left"/>
              <w:rPr>
                <w:color w:val="000000"/>
                <w:kern w:val="0"/>
                <w:szCs w:val="21"/>
              </w:rPr>
            </w:pPr>
          </w:p>
        </w:tc>
        <w:tc>
          <w:tcPr>
            <w:tcW w:w="796"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vMerge w:val="continue"/>
            <w:noWrap w:val="0"/>
            <w:vAlign w:val="center"/>
          </w:tcPr>
          <w:p>
            <w:pPr>
              <w:widowControl/>
              <w:spacing w:line="240" w:lineRule="exact"/>
              <w:jc w:val="left"/>
              <w:rPr>
                <w:color w:val="000000"/>
                <w:kern w:val="0"/>
                <w:szCs w:val="21"/>
              </w:rPr>
            </w:pPr>
          </w:p>
        </w:tc>
        <w:tc>
          <w:tcPr>
            <w:tcW w:w="796" w:type="dxa"/>
            <w:vMerge w:val="restart"/>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796" w:type="dxa"/>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项目完成时间</w:t>
            </w:r>
          </w:p>
        </w:tc>
        <w:tc>
          <w:tcPr>
            <w:tcW w:w="1519"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2021年</w:t>
            </w:r>
          </w:p>
        </w:tc>
        <w:tc>
          <w:tcPr>
            <w:tcW w:w="1997"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2021年完成</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vMerge w:val="continue"/>
            <w:noWrap w:val="0"/>
            <w:vAlign w:val="center"/>
          </w:tcPr>
          <w:p>
            <w:pPr>
              <w:widowControl/>
              <w:spacing w:line="240" w:lineRule="exact"/>
              <w:jc w:val="left"/>
              <w:rPr>
                <w:color w:val="000000"/>
                <w:kern w:val="0"/>
                <w:szCs w:val="21"/>
              </w:rPr>
            </w:pPr>
          </w:p>
        </w:tc>
        <w:tc>
          <w:tcPr>
            <w:tcW w:w="796" w:type="dxa"/>
            <w:vMerge w:val="continue"/>
            <w:noWrap w:val="0"/>
            <w:vAlign w:val="center"/>
          </w:tcPr>
          <w:p>
            <w:pPr>
              <w:widowControl/>
              <w:spacing w:line="240" w:lineRule="exact"/>
              <w:jc w:val="left"/>
              <w:rPr>
                <w:color w:val="000000"/>
                <w:kern w:val="0"/>
                <w:szCs w:val="21"/>
              </w:rPr>
            </w:pPr>
          </w:p>
        </w:tc>
        <w:tc>
          <w:tcPr>
            <w:tcW w:w="79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vMerge w:val="continue"/>
            <w:noWrap w:val="0"/>
            <w:vAlign w:val="center"/>
          </w:tcPr>
          <w:p>
            <w:pPr>
              <w:widowControl/>
              <w:spacing w:line="240" w:lineRule="exact"/>
              <w:jc w:val="left"/>
              <w:rPr>
                <w:color w:val="000000"/>
                <w:kern w:val="0"/>
                <w:szCs w:val="21"/>
              </w:rPr>
            </w:pPr>
          </w:p>
        </w:tc>
        <w:tc>
          <w:tcPr>
            <w:tcW w:w="796" w:type="dxa"/>
            <w:vMerge w:val="continue"/>
            <w:noWrap w:val="0"/>
            <w:vAlign w:val="center"/>
          </w:tcPr>
          <w:p>
            <w:pPr>
              <w:widowControl/>
              <w:spacing w:line="240" w:lineRule="exact"/>
              <w:jc w:val="left"/>
              <w:rPr>
                <w:color w:val="000000"/>
                <w:kern w:val="0"/>
                <w:szCs w:val="21"/>
              </w:rPr>
            </w:pPr>
          </w:p>
        </w:tc>
        <w:tc>
          <w:tcPr>
            <w:tcW w:w="796"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vMerge w:val="continue"/>
            <w:noWrap w:val="0"/>
            <w:vAlign w:val="center"/>
          </w:tcPr>
          <w:p>
            <w:pPr>
              <w:widowControl/>
              <w:spacing w:line="240" w:lineRule="exact"/>
              <w:jc w:val="left"/>
              <w:rPr>
                <w:color w:val="000000"/>
                <w:kern w:val="0"/>
                <w:szCs w:val="21"/>
              </w:rPr>
            </w:pPr>
          </w:p>
        </w:tc>
        <w:tc>
          <w:tcPr>
            <w:tcW w:w="796" w:type="dxa"/>
            <w:vMerge w:val="restart"/>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796" w:type="dxa"/>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项目预算资金</w:t>
            </w:r>
          </w:p>
        </w:tc>
        <w:tc>
          <w:tcPr>
            <w:tcW w:w="1519"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40.01万元</w:t>
            </w:r>
          </w:p>
        </w:tc>
        <w:tc>
          <w:tcPr>
            <w:tcW w:w="1997"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39.37万元</w:t>
            </w:r>
          </w:p>
        </w:tc>
        <w:tc>
          <w:tcPr>
            <w:tcW w:w="2551"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eastAsia="zh-CN"/>
              </w:rPr>
              <w:t>差额</w:t>
            </w:r>
            <w:r>
              <w:rPr>
                <w:rFonts w:hint="eastAsia"/>
                <w:color w:val="000000"/>
                <w:kern w:val="0"/>
                <w:szCs w:val="21"/>
                <w:lang w:val="en-US" w:eastAsia="zh-CN"/>
              </w:rPr>
              <w:t>0.64万元，主要为老干部运动会及文艺演出等结余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vMerge w:val="continue"/>
            <w:noWrap w:val="0"/>
            <w:vAlign w:val="center"/>
          </w:tcPr>
          <w:p>
            <w:pPr>
              <w:widowControl/>
              <w:spacing w:line="240" w:lineRule="exact"/>
              <w:jc w:val="left"/>
              <w:rPr>
                <w:color w:val="000000"/>
                <w:kern w:val="0"/>
                <w:szCs w:val="21"/>
              </w:rPr>
            </w:pPr>
          </w:p>
        </w:tc>
        <w:tc>
          <w:tcPr>
            <w:tcW w:w="796" w:type="dxa"/>
            <w:vMerge w:val="continue"/>
            <w:noWrap w:val="0"/>
            <w:vAlign w:val="center"/>
          </w:tcPr>
          <w:p>
            <w:pPr>
              <w:widowControl/>
              <w:spacing w:line="240" w:lineRule="exact"/>
              <w:jc w:val="left"/>
              <w:rPr>
                <w:color w:val="000000"/>
                <w:kern w:val="0"/>
                <w:szCs w:val="21"/>
              </w:rPr>
            </w:pPr>
          </w:p>
        </w:tc>
        <w:tc>
          <w:tcPr>
            <w:tcW w:w="79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vMerge w:val="continue"/>
            <w:noWrap w:val="0"/>
            <w:vAlign w:val="center"/>
          </w:tcPr>
          <w:p>
            <w:pPr>
              <w:widowControl/>
              <w:spacing w:line="240" w:lineRule="exact"/>
              <w:jc w:val="left"/>
              <w:rPr>
                <w:color w:val="000000"/>
                <w:kern w:val="0"/>
                <w:szCs w:val="21"/>
              </w:rPr>
            </w:pPr>
          </w:p>
        </w:tc>
        <w:tc>
          <w:tcPr>
            <w:tcW w:w="796" w:type="dxa"/>
            <w:vMerge w:val="continue"/>
            <w:noWrap w:val="0"/>
            <w:vAlign w:val="center"/>
          </w:tcPr>
          <w:p>
            <w:pPr>
              <w:widowControl/>
              <w:spacing w:line="240" w:lineRule="exact"/>
              <w:jc w:val="left"/>
              <w:rPr>
                <w:color w:val="000000"/>
                <w:kern w:val="0"/>
                <w:szCs w:val="21"/>
              </w:rPr>
            </w:pPr>
          </w:p>
        </w:tc>
        <w:tc>
          <w:tcPr>
            <w:tcW w:w="796"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vMerge w:val="continue"/>
            <w:noWrap w:val="0"/>
            <w:vAlign w:val="center"/>
          </w:tcPr>
          <w:p>
            <w:pPr>
              <w:widowControl/>
              <w:spacing w:line="240" w:lineRule="exact"/>
              <w:jc w:val="left"/>
              <w:rPr>
                <w:color w:val="000000"/>
                <w:kern w:val="0"/>
                <w:szCs w:val="21"/>
              </w:rPr>
            </w:pPr>
          </w:p>
        </w:tc>
        <w:tc>
          <w:tcPr>
            <w:tcW w:w="796"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79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restart"/>
            <w:noWrap w:val="0"/>
            <w:vAlign w:val="center"/>
          </w:tcPr>
          <w:p>
            <w:pPr>
              <w:spacing w:line="240" w:lineRule="exact"/>
              <w:jc w:val="center"/>
              <w:rPr>
                <w:color w:val="000000"/>
                <w:kern w:val="0"/>
                <w:szCs w:val="21"/>
              </w:rPr>
            </w:pPr>
            <w:r>
              <w:rPr>
                <w:rFonts w:hint="eastAsia"/>
                <w:color w:val="000000"/>
                <w:kern w:val="0"/>
                <w:szCs w:val="21"/>
              </w:rPr>
              <w:t>年度绩效指标</w:t>
            </w:r>
          </w:p>
        </w:tc>
        <w:tc>
          <w:tcPr>
            <w:tcW w:w="1061"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效益</w:t>
            </w:r>
          </w:p>
        </w:tc>
        <w:tc>
          <w:tcPr>
            <w:tcW w:w="796" w:type="dxa"/>
            <w:vMerge w:val="restart"/>
            <w:noWrap/>
            <w:vAlign w:val="center"/>
          </w:tcPr>
          <w:p>
            <w:pPr>
              <w:widowControl/>
              <w:spacing w:line="240" w:lineRule="exact"/>
              <w:jc w:val="center"/>
              <w:rPr>
                <w:color w:val="000000"/>
                <w:kern w:val="0"/>
                <w:szCs w:val="21"/>
              </w:rPr>
            </w:pPr>
            <w:r>
              <w:rPr>
                <w:rFonts w:hint="eastAsia"/>
                <w:color w:val="000000"/>
                <w:kern w:val="0"/>
                <w:szCs w:val="21"/>
              </w:rPr>
              <w:t>经济效益指标</w:t>
            </w:r>
          </w:p>
        </w:tc>
        <w:tc>
          <w:tcPr>
            <w:tcW w:w="79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vMerge w:val="continue"/>
            <w:noWrap w:val="0"/>
            <w:vAlign w:val="center"/>
          </w:tcPr>
          <w:p>
            <w:pPr>
              <w:widowControl/>
              <w:spacing w:line="240" w:lineRule="exact"/>
              <w:jc w:val="left"/>
              <w:rPr>
                <w:color w:val="000000"/>
                <w:kern w:val="0"/>
                <w:szCs w:val="21"/>
              </w:rPr>
            </w:pPr>
          </w:p>
        </w:tc>
        <w:tc>
          <w:tcPr>
            <w:tcW w:w="796" w:type="dxa"/>
            <w:vMerge w:val="continue"/>
            <w:noWrap w:val="0"/>
            <w:vAlign w:val="center"/>
          </w:tcPr>
          <w:p>
            <w:pPr>
              <w:widowControl/>
              <w:spacing w:line="240" w:lineRule="exact"/>
              <w:jc w:val="left"/>
              <w:rPr>
                <w:color w:val="000000"/>
                <w:kern w:val="0"/>
                <w:szCs w:val="21"/>
              </w:rPr>
            </w:pPr>
          </w:p>
        </w:tc>
        <w:tc>
          <w:tcPr>
            <w:tcW w:w="79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vMerge w:val="continue"/>
            <w:noWrap w:val="0"/>
            <w:vAlign w:val="center"/>
          </w:tcPr>
          <w:p>
            <w:pPr>
              <w:widowControl/>
              <w:spacing w:line="240" w:lineRule="exact"/>
              <w:jc w:val="left"/>
              <w:rPr>
                <w:color w:val="000000"/>
                <w:kern w:val="0"/>
                <w:szCs w:val="21"/>
              </w:rPr>
            </w:pPr>
          </w:p>
        </w:tc>
        <w:tc>
          <w:tcPr>
            <w:tcW w:w="796" w:type="dxa"/>
            <w:vMerge w:val="continue"/>
            <w:noWrap w:val="0"/>
            <w:vAlign w:val="center"/>
          </w:tcPr>
          <w:p>
            <w:pPr>
              <w:widowControl/>
              <w:spacing w:line="240" w:lineRule="exact"/>
              <w:jc w:val="left"/>
              <w:rPr>
                <w:color w:val="000000"/>
                <w:kern w:val="0"/>
                <w:szCs w:val="21"/>
              </w:rPr>
            </w:pPr>
          </w:p>
        </w:tc>
        <w:tc>
          <w:tcPr>
            <w:tcW w:w="796"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vMerge w:val="continue"/>
            <w:noWrap w:val="0"/>
            <w:vAlign w:val="center"/>
          </w:tcPr>
          <w:p>
            <w:pPr>
              <w:widowControl/>
              <w:spacing w:line="240" w:lineRule="exact"/>
              <w:jc w:val="left"/>
              <w:rPr>
                <w:color w:val="000000"/>
                <w:kern w:val="0"/>
                <w:szCs w:val="21"/>
              </w:rPr>
            </w:pPr>
          </w:p>
        </w:tc>
        <w:tc>
          <w:tcPr>
            <w:tcW w:w="796" w:type="dxa"/>
            <w:vMerge w:val="restart"/>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796" w:type="dxa"/>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引导离退休老干部正能量发挥</w:t>
            </w:r>
          </w:p>
        </w:tc>
        <w:tc>
          <w:tcPr>
            <w:tcW w:w="1519" w:type="dxa"/>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作用发挥好</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eastAsia="zh-CN"/>
              </w:rPr>
              <w:t>作用发挥好</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vMerge w:val="continue"/>
            <w:noWrap w:val="0"/>
            <w:vAlign w:val="center"/>
          </w:tcPr>
          <w:p>
            <w:pPr>
              <w:widowControl/>
              <w:spacing w:line="240" w:lineRule="exact"/>
              <w:jc w:val="left"/>
              <w:rPr>
                <w:color w:val="000000"/>
                <w:kern w:val="0"/>
                <w:szCs w:val="21"/>
              </w:rPr>
            </w:pPr>
          </w:p>
        </w:tc>
        <w:tc>
          <w:tcPr>
            <w:tcW w:w="796" w:type="dxa"/>
            <w:vMerge w:val="continue"/>
            <w:noWrap w:val="0"/>
            <w:vAlign w:val="center"/>
          </w:tcPr>
          <w:p>
            <w:pPr>
              <w:widowControl/>
              <w:spacing w:line="240" w:lineRule="exact"/>
              <w:jc w:val="left"/>
              <w:rPr>
                <w:color w:val="000000"/>
                <w:kern w:val="0"/>
                <w:szCs w:val="21"/>
              </w:rPr>
            </w:pPr>
          </w:p>
        </w:tc>
        <w:tc>
          <w:tcPr>
            <w:tcW w:w="79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vMerge w:val="continue"/>
            <w:noWrap w:val="0"/>
            <w:vAlign w:val="center"/>
          </w:tcPr>
          <w:p>
            <w:pPr>
              <w:widowControl/>
              <w:spacing w:line="240" w:lineRule="exact"/>
              <w:jc w:val="left"/>
              <w:rPr>
                <w:color w:val="000000"/>
                <w:kern w:val="0"/>
                <w:szCs w:val="21"/>
              </w:rPr>
            </w:pPr>
          </w:p>
        </w:tc>
        <w:tc>
          <w:tcPr>
            <w:tcW w:w="796" w:type="dxa"/>
            <w:vMerge w:val="continue"/>
            <w:noWrap w:val="0"/>
            <w:vAlign w:val="center"/>
          </w:tcPr>
          <w:p>
            <w:pPr>
              <w:widowControl/>
              <w:spacing w:line="240" w:lineRule="exact"/>
              <w:jc w:val="left"/>
              <w:rPr>
                <w:color w:val="000000"/>
                <w:kern w:val="0"/>
                <w:szCs w:val="21"/>
              </w:rPr>
            </w:pPr>
          </w:p>
        </w:tc>
        <w:tc>
          <w:tcPr>
            <w:tcW w:w="796"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vMerge w:val="continue"/>
            <w:noWrap w:val="0"/>
            <w:vAlign w:val="center"/>
          </w:tcPr>
          <w:p>
            <w:pPr>
              <w:widowControl/>
              <w:spacing w:line="240" w:lineRule="exact"/>
              <w:jc w:val="left"/>
              <w:rPr>
                <w:color w:val="000000"/>
                <w:kern w:val="0"/>
                <w:szCs w:val="21"/>
              </w:rPr>
            </w:pPr>
          </w:p>
        </w:tc>
        <w:tc>
          <w:tcPr>
            <w:tcW w:w="796" w:type="dxa"/>
            <w:vMerge w:val="restart"/>
            <w:noWrap/>
            <w:vAlign w:val="center"/>
          </w:tcPr>
          <w:p>
            <w:pPr>
              <w:widowControl/>
              <w:spacing w:line="240" w:lineRule="exact"/>
              <w:jc w:val="center"/>
              <w:rPr>
                <w:color w:val="000000"/>
                <w:kern w:val="0"/>
                <w:szCs w:val="21"/>
              </w:rPr>
            </w:pPr>
            <w:r>
              <w:rPr>
                <w:rFonts w:hint="eastAsia"/>
                <w:color w:val="000000"/>
                <w:kern w:val="0"/>
                <w:szCs w:val="21"/>
              </w:rPr>
              <w:t>生态效益指标</w:t>
            </w:r>
          </w:p>
        </w:tc>
        <w:tc>
          <w:tcPr>
            <w:tcW w:w="79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vMerge w:val="continue"/>
            <w:noWrap w:val="0"/>
            <w:vAlign w:val="center"/>
          </w:tcPr>
          <w:p>
            <w:pPr>
              <w:widowControl/>
              <w:spacing w:line="240" w:lineRule="exact"/>
              <w:jc w:val="left"/>
              <w:rPr>
                <w:color w:val="000000"/>
                <w:kern w:val="0"/>
                <w:szCs w:val="21"/>
              </w:rPr>
            </w:pPr>
          </w:p>
        </w:tc>
        <w:tc>
          <w:tcPr>
            <w:tcW w:w="796" w:type="dxa"/>
            <w:vMerge w:val="continue"/>
            <w:noWrap w:val="0"/>
            <w:vAlign w:val="center"/>
          </w:tcPr>
          <w:p>
            <w:pPr>
              <w:widowControl/>
              <w:spacing w:line="240" w:lineRule="exact"/>
              <w:jc w:val="left"/>
              <w:rPr>
                <w:color w:val="000000"/>
                <w:kern w:val="0"/>
                <w:szCs w:val="21"/>
              </w:rPr>
            </w:pPr>
          </w:p>
        </w:tc>
        <w:tc>
          <w:tcPr>
            <w:tcW w:w="79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vMerge w:val="continue"/>
            <w:noWrap w:val="0"/>
            <w:vAlign w:val="center"/>
          </w:tcPr>
          <w:p>
            <w:pPr>
              <w:widowControl/>
              <w:spacing w:line="240" w:lineRule="exact"/>
              <w:jc w:val="left"/>
              <w:rPr>
                <w:color w:val="000000"/>
                <w:kern w:val="0"/>
                <w:szCs w:val="21"/>
              </w:rPr>
            </w:pPr>
          </w:p>
        </w:tc>
        <w:tc>
          <w:tcPr>
            <w:tcW w:w="796" w:type="dxa"/>
            <w:vMerge w:val="continue"/>
            <w:noWrap w:val="0"/>
            <w:vAlign w:val="center"/>
          </w:tcPr>
          <w:p>
            <w:pPr>
              <w:widowControl/>
              <w:spacing w:line="240" w:lineRule="exact"/>
              <w:jc w:val="left"/>
              <w:rPr>
                <w:color w:val="000000"/>
                <w:kern w:val="0"/>
                <w:szCs w:val="21"/>
              </w:rPr>
            </w:pPr>
          </w:p>
        </w:tc>
        <w:tc>
          <w:tcPr>
            <w:tcW w:w="796"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vMerge w:val="continue"/>
            <w:noWrap w:val="0"/>
            <w:vAlign w:val="center"/>
          </w:tcPr>
          <w:p>
            <w:pPr>
              <w:widowControl/>
              <w:spacing w:line="240" w:lineRule="exact"/>
              <w:jc w:val="left"/>
              <w:rPr>
                <w:color w:val="000000"/>
                <w:kern w:val="0"/>
                <w:szCs w:val="21"/>
              </w:rPr>
            </w:pPr>
          </w:p>
        </w:tc>
        <w:tc>
          <w:tcPr>
            <w:tcW w:w="796" w:type="dxa"/>
            <w:vMerge w:val="restart"/>
            <w:noWrap/>
            <w:vAlign w:val="center"/>
          </w:tcPr>
          <w:p>
            <w:pPr>
              <w:widowControl/>
              <w:spacing w:line="240" w:lineRule="exact"/>
              <w:jc w:val="center"/>
              <w:rPr>
                <w:color w:val="000000"/>
                <w:kern w:val="0"/>
                <w:szCs w:val="21"/>
              </w:rPr>
            </w:pPr>
            <w:r>
              <w:rPr>
                <w:rFonts w:hint="eastAsia"/>
                <w:color w:val="000000"/>
                <w:kern w:val="0"/>
                <w:szCs w:val="21"/>
              </w:rPr>
              <w:t>可持续影响指标</w:t>
            </w:r>
          </w:p>
        </w:tc>
        <w:tc>
          <w:tcPr>
            <w:tcW w:w="79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vMerge w:val="continue"/>
            <w:noWrap w:val="0"/>
            <w:vAlign w:val="center"/>
          </w:tcPr>
          <w:p>
            <w:pPr>
              <w:widowControl/>
              <w:spacing w:line="240" w:lineRule="exact"/>
              <w:jc w:val="left"/>
              <w:rPr>
                <w:color w:val="000000"/>
                <w:kern w:val="0"/>
                <w:szCs w:val="21"/>
              </w:rPr>
            </w:pPr>
          </w:p>
        </w:tc>
        <w:tc>
          <w:tcPr>
            <w:tcW w:w="796" w:type="dxa"/>
            <w:vMerge w:val="continue"/>
            <w:noWrap w:val="0"/>
            <w:vAlign w:val="center"/>
          </w:tcPr>
          <w:p>
            <w:pPr>
              <w:widowControl/>
              <w:spacing w:line="240" w:lineRule="exact"/>
              <w:jc w:val="left"/>
              <w:rPr>
                <w:color w:val="000000"/>
                <w:kern w:val="0"/>
                <w:szCs w:val="21"/>
              </w:rPr>
            </w:pPr>
          </w:p>
        </w:tc>
        <w:tc>
          <w:tcPr>
            <w:tcW w:w="79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vMerge w:val="continue"/>
            <w:noWrap w:val="0"/>
            <w:vAlign w:val="center"/>
          </w:tcPr>
          <w:p>
            <w:pPr>
              <w:widowControl/>
              <w:spacing w:line="240" w:lineRule="exact"/>
              <w:jc w:val="left"/>
              <w:rPr>
                <w:color w:val="000000"/>
                <w:kern w:val="0"/>
                <w:szCs w:val="21"/>
              </w:rPr>
            </w:pPr>
          </w:p>
        </w:tc>
        <w:tc>
          <w:tcPr>
            <w:tcW w:w="796" w:type="dxa"/>
            <w:vMerge w:val="continue"/>
            <w:noWrap w:val="0"/>
            <w:vAlign w:val="center"/>
          </w:tcPr>
          <w:p>
            <w:pPr>
              <w:widowControl/>
              <w:spacing w:line="240" w:lineRule="exact"/>
              <w:jc w:val="left"/>
              <w:rPr>
                <w:color w:val="000000"/>
                <w:kern w:val="0"/>
                <w:szCs w:val="21"/>
              </w:rPr>
            </w:pPr>
          </w:p>
        </w:tc>
        <w:tc>
          <w:tcPr>
            <w:tcW w:w="796"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vMerge w:val="continue"/>
            <w:noWrap w:val="0"/>
            <w:vAlign w:val="center"/>
          </w:tcPr>
          <w:p>
            <w:pPr>
              <w:widowControl/>
              <w:spacing w:line="240" w:lineRule="exact"/>
              <w:jc w:val="left"/>
              <w:rPr>
                <w:color w:val="000000"/>
                <w:kern w:val="0"/>
                <w:szCs w:val="21"/>
              </w:rPr>
            </w:pPr>
          </w:p>
        </w:tc>
        <w:tc>
          <w:tcPr>
            <w:tcW w:w="796"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79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vMerge w:val="restart"/>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796" w:type="dxa"/>
            <w:vMerge w:val="restart"/>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796" w:type="dxa"/>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服务对象满意度</w:t>
            </w:r>
          </w:p>
        </w:tc>
        <w:tc>
          <w:tcPr>
            <w:tcW w:w="1519"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default" w:ascii="Arial" w:hAnsi="Arial" w:cs="Arial"/>
                <w:color w:val="000000"/>
                <w:kern w:val="0"/>
                <w:szCs w:val="21"/>
              </w:rPr>
              <w:t>≥</w:t>
            </w:r>
            <w:r>
              <w:rPr>
                <w:rFonts w:hint="eastAsia"/>
                <w:color w:val="000000"/>
                <w:kern w:val="0"/>
                <w:szCs w:val="21"/>
                <w:lang w:val="en-US" w:eastAsia="zh-CN"/>
              </w:rPr>
              <w:t>95%</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r>
              <w:rPr>
                <w:rFonts w:hint="default" w:ascii="Arial" w:hAnsi="Arial" w:cs="Arial"/>
                <w:color w:val="000000"/>
                <w:kern w:val="0"/>
                <w:szCs w:val="21"/>
              </w:rPr>
              <w:t>≥</w:t>
            </w:r>
            <w:r>
              <w:rPr>
                <w:rFonts w:hint="eastAsia"/>
                <w:color w:val="000000"/>
                <w:kern w:val="0"/>
                <w:szCs w:val="21"/>
                <w:lang w:val="en-US" w:eastAsia="zh-CN"/>
              </w:rPr>
              <w:t>95%</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vMerge w:val="continue"/>
            <w:noWrap w:val="0"/>
            <w:vAlign w:val="center"/>
          </w:tcPr>
          <w:p>
            <w:pPr>
              <w:widowControl/>
              <w:spacing w:line="240" w:lineRule="exact"/>
              <w:jc w:val="left"/>
              <w:rPr>
                <w:color w:val="000000"/>
                <w:kern w:val="0"/>
                <w:szCs w:val="21"/>
              </w:rPr>
            </w:pPr>
          </w:p>
        </w:tc>
        <w:tc>
          <w:tcPr>
            <w:tcW w:w="796" w:type="dxa"/>
            <w:vMerge w:val="continue"/>
            <w:noWrap w:val="0"/>
            <w:vAlign w:val="center"/>
          </w:tcPr>
          <w:p>
            <w:pPr>
              <w:widowControl/>
              <w:spacing w:line="240" w:lineRule="exact"/>
              <w:jc w:val="left"/>
              <w:rPr>
                <w:color w:val="000000"/>
                <w:kern w:val="0"/>
                <w:szCs w:val="21"/>
              </w:rPr>
            </w:pPr>
          </w:p>
        </w:tc>
        <w:tc>
          <w:tcPr>
            <w:tcW w:w="79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noWrap w:val="0"/>
            <w:vAlign w:val="center"/>
          </w:tcPr>
          <w:p>
            <w:pPr>
              <w:widowControl/>
              <w:spacing w:line="240" w:lineRule="exact"/>
              <w:jc w:val="left"/>
              <w:rPr>
                <w:color w:val="000000"/>
                <w:kern w:val="0"/>
                <w:szCs w:val="21"/>
              </w:rPr>
            </w:pPr>
          </w:p>
        </w:tc>
        <w:tc>
          <w:tcPr>
            <w:tcW w:w="1061" w:type="dxa"/>
            <w:vMerge w:val="continue"/>
            <w:noWrap w:val="0"/>
            <w:vAlign w:val="center"/>
          </w:tcPr>
          <w:p>
            <w:pPr>
              <w:widowControl/>
              <w:spacing w:line="240" w:lineRule="exact"/>
              <w:jc w:val="left"/>
              <w:rPr>
                <w:color w:val="000000"/>
                <w:kern w:val="0"/>
                <w:szCs w:val="21"/>
              </w:rPr>
            </w:pPr>
          </w:p>
        </w:tc>
        <w:tc>
          <w:tcPr>
            <w:tcW w:w="796" w:type="dxa"/>
            <w:vMerge w:val="continue"/>
            <w:noWrap w:val="0"/>
            <w:vAlign w:val="center"/>
          </w:tcPr>
          <w:p>
            <w:pPr>
              <w:widowControl/>
              <w:spacing w:line="240" w:lineRule="exact"/>
              <w:jc w:val="left"/>
              <w:rPr>
                <w:color w:val="000000"/>
                <w:kern w:val="0"/>
                <w:szCs w:val="21"/>
              </w:rPr>
            </w:pPr>
          </w:p>
        </w:tc>
        <w:tc>
          <w:tcPr>
            <w:tcW w:w="796"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51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7" w:type="dxa"/>
            <w:vMerge w:val="continue"/>
            <w:tcBorders>
              <w:bottom w:val="single" w:color="auto" w:sz="12" w:space="0"/>
            </w:tcBorders>
            <w:noWrap w:val="0"/>
            <w:vAlign w:val="center"/>
          </w:tcPr>
          <w:p>
            <w:pPr>
              <w:widowControl/>
              <w:spacing w:line="240" w:lineRule="exact"/>
              <w:jc w:val="left"/>
              <w:rPr>
                <w:color w:val="000000"/>
                <w:kern w:val="0"/>
                <w:szCs w:val="21"/>
              </w:rPr>
            </w:pPr>
          </w:p>
        </w:tc>
        <w:tc>
          <w:tcPr>
            <w:tcW w:w="1061" w:type="dxa"/>
            <w:vMerge w:val="continue"/>
            <w:tcBorders>
              <w:bottom w:val="single" w:color="auto" w:sz="12" w:space="0"/>
            </w:tcBorders>
            <w:noWrap w:val="0"/>
            <w:vAlign w:val="center"/>
          </w:tcPr>
          <w:p>
            <w:pPr>
              <w:widowControl/>
              <w:spacing w:line="240" w:lineRule="exact"/>
              <w:jc w:val="left"/>
              <w:rPr>
                <w:color w:val="000000"/>
                <w:kern w:val="0"/>
                <w:szCs w:val="21"/>
              </w:rPr>
            </w:pPr>
          </w:p>
        </w:tc>
        <w:tc>
          <w:tcPr>
            <w:tcW w:w="796"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796"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1519"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1997"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2551"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r>
    </w:tbl>
    <w:p>
      <w:pPr>
        <w:spacing w:line="20" w:lineRule="exact"/>
        <w:jc w:val="left"/>
        <w:rPr>
          <w:rFonts w:ascii="宋体"/>
          <w:sz w:val="32"/>
          <w:szCs w:val="32"/>
        </w:rPr>
      </w:pPr>
    </w:p>
    <w:p>
      <w:pPr>
        <w:spacing w:line="580" w:lineRule="exact"/>
        <w:jc w:val="both"/>
        <w:rPr>
          <w:rFonts w:hint="eastAsia" w:ascii="黑体" w:hAnsi="黑体" w:eastAsia="黑体" w:cs="黑体"/>
          <w:sz w:val="32"/>
          <w:szCs w:val="32"/>
          <w:lang w:val="en-US" w:eastAsia="zh-CN"/>
        </w:rPr>
      </w:pPr>
    </w:p>
    <w:p>
      <w:pPr>
        <w:pStyle w:val="2"/>
        <w:spacing w:before="93"/>
      </w:pPr>
    </w:p>
    <w:p>
      <w:pPr>
        <w:pStyle w:val="2"/>
        <w:spacing w:before="93"/>
      </w:pPr>
    </w:p>
    <w:p>
      <w:pPr>
        <w:pStyle w:val="2"/>
        <w:spacing w:before="93"/>
      </w:pPr>
    </w:p>
    <w:p>
      <w:pPr>
        <w:pStyle w:val="2"/>
        <w:spacing w:before="93"/>
      </w:pPr>
    </w:p>
    <w:p>
      <w:pPr>
        <w:pStyle w:val="2"/>
        <w:spacing w:before="93"/>
      </w:pPr>
      <w:bookmarkStart w:id="74" w:name="_GoBack"/>
      <w:bookmarkEnd w:id="74"/>
    </w:p>
    <w:p>
      <w:pPr>
        <w:pStyle w:val="2"/>
        <w:spacing w:before="93"/>
        <w:rPr>
          <w:rFonts w:hint="eastAsia"/>
        </w:rPr>
      </w:pPr>
    </w:p>
    <w:p>
      <w:pPr>
        <w:spacing w:line="600" w:lineRule="exact"/>
        <w:jc w:val="center"/>
        <w:outlineLvl w:val="0"/>
        <w:rPr>
          <w:rFonts w:ascii="仿宋" w:hAnsi="仿宋" w:eastAsia="仿宋"/>
        </w:rPr>
      </w:pPr>
      <w:bookmarkStart w:id="60" w:name="_Toc15396618"/>
      <w:r>
        <w:rPr>
          <w:rFonts w:hint="eastAsia" w:ascii="黑体" w:hAnsi="黑体" w:eastAsia="黑体"/>
          <w:sz w:val="44"/>
          <w:szCs w:val="44"/>
        </w:rPr>
        <w:t>第</w:t>
      </w:r>
      <w:r>
        <w:rPr>
          <w:rStyle w:val="29"/>
          <w:rFonts w:hint="eastAsia" w:ascii="黑体" w:hAnsi="黑体" w:eastAsia="黑体"/>
          <w:b w:val="0"/>
        </w:rPr>
        <w:t>五部分 附表</w:t>
      </w:r>
      <w:bookmarkEnd w:id="58"/>
      <w:bookmarkEnd w:id="60"/>
      <w:bookmarkStart w:id="61" w:name="_Toc15396619"/>
    </w:p>
    <w:p>
      <w:pPr>
        <w:pStyle w:val="4"/>
        <w:rPr>
          <w:rFonts w:ascii="仿宋" w:hAnsi="仿宋" w:eastAsia="仿宋"/>
        </w:rPr>
      </w:pPr>
      <w:r>
        <w:rPr>
          <w:rFonts w:hint="eastAsia" w:ascii="仿宋" w:hAnsi="仿宋" w:eastAsia="仿宋"/>
          <w:b w:val="0"/>
        </w:rPr>
        <w:t>一、收</w:t>
      </w:r>
      <w:r>
        <w:rPr>
          <w:rStyle w:val="30"/>
          <w:rFonts w:hint="eastAsia" w:ascii="仿宋" w:hAnsi="仿宋" w:eastAsia="仿宋"/>
          <w:b w:val="0"/>
          <w:bCs w:val="0"/>
        </w:rPr>
        <w:t>入支出决算总表</w:t>
      </w:r>
      <w:bookmarkEnd w:id="61"/>
    </w:p>
    <w:p>
      <w:pPr>
        <w:pStyle w:val="4"/>
        <w:rPr>
          <w:rFonts w:ascii="仿宋" w:hAnsi="仿宋" w:eastAsia="仿宋"/>
        </w:rPr>
      </w:pPr>
      <w:bookmarkStart w:id="62" w:name="_Toc15396620"/>
      <w:r>
        <w:rPr>
          <w:rFonts w:hint="eastAsia" w:ascii="仿宋" w:hAnsi="仿宋" w:eastAsia="仿宋"/>
          <w:b w:val="0"/>
        </w:rPr>
        <w:t>二、收</w:t>
      </w:r>
      <w:r>
        <w:rPr>
          <w:rStyle w:val="30"/>
          <w:rFonts w:hint="eastAsia" w:ascii="仿宋" w:hAnsi="仿宋" w:eastAsia="仿宋"/>
          <w:b w:val="0"/>
          <w:bCs w:val="0"/>
        </w:rPr>
        <w:t>入决算表</w:t>
      </w:r>
      <w:bookmarkEnd w:id="62"/>
    </w:p>
    <w:p>
      <w:pPr>
        <w:pStyle w:val="4"/>
        <w:rPr>
          <w:rFonts w:ascii="仿宋" w:hAnsi="仿宋" w:eastAsia="仿宋"/>
        </w:rPr>
      </w:pPr>
      <w:bookmarkStart w:id="63" w:name="_Toc15396621"/>
      <w:r>
        <w:rPr>
          <w:rStyle w:val="30"/>
          <w:rFonts w:hint="eastAsia" w:ascii="仿宋" w:hAnsi="仿宋" w:eastAsia="仿宋"/>
          <w:b w:val="0"/>
          <w:bCs w:val="0"/>
        </w:rPr>
        <w:t>三、</w:t>
      </w:r>
      <w:r>
        <w:rPr>
          <w:rFonts w:hint="eastAsia" w:ascii="仿宋" w:hAnsi="仿宋" w:eastAsia="仿宋"/>
          <w:b w:val="0"/>
        </w:rPr>
        <w:t>支</w:t>
      </w:r>
      <w:r>
        <w:rPr>
          <w:rStyle w:val="30"/>
          <w:rFonts w:hint="eastAsia" w:ascii="仿宋" w:hAnsi="仿宋" w:eastAsia="仿宋"/>
          <w:b w:val="0"/>
          <w:bCs w:val="0"/>
        </w:rPr>
        <w:t>出决算表</w:t>
      </w:r>
      <w:bookmarkEnd w:id="63"/>
    </w:p>
    <w:p>
      <w:pPr>
        <w:pStyle w:val="4"/>
        <w:rPr>
          <w:rFonts w:ascii="仿宋" w:hAnsi="仿宋" w:eastAsia="仿宋"/>
          <w:b w:val="0"/>
        </w:rPr>
      </w:pPr>
      <w:bookmarkStart w:id="64" w:name="_Toc15396622"/>
      <w:r>
        <w:rPr>
          <w:rStyle w:val="30"/>
          <w:rFonts w:hint="eastAsia" w:ascii="仿宋" w:hAnsi="仿宋" w:eastAsia="仿宋"/>
          <w:b w:val="0"/>
          <w:bCs w:val="0"/>
        </w:rPr>
        <w:t>四、</w:t>
      </w:r>
      <w:r>
        <w:rPr>
          <w:rFonts w:hint="eastAsia" w:ascii="仿宋" w:hAnsi="仿宋" w:eastAsia="仿宋"/>
          <w:b w:val="0"/>
        </w:rPr>
        <w:t>财</w:t>
      </w:r>
      <w:r>
        <w:rPr>
          <w:rStyle w:val="30"/>
          <w:rFonts w:hint="eastAsia" w:ascii="仿宋" w:hAnsi="仿宋" w:eastAsia="仿宋"/>
          <w:b w:val="0"/>
          <w:bCs w:val="0"/>
        </w:rPr>
        <w:t>政拨款收入支出决算总表</w:t>
      </w:r>
      <w:bookmarkEnd w:id="64"/>
    </w:p>
    <w:p>
      <w:pPr>
        <w:pStyle w:val="4"/>
        <w:rPr>
          <w:rStyle w:val="30"/>
          <w:rFonts w:ascii="仿宋" w:hAnsi="仿宋" w:eastAsia="仿宋"/>
          <w:b w:val="0"/>
          <w:bCs w:val="0"/>
        </w:rPr>
      </w:pPr>
      <w:bookmarkStart w:id="65" w:name="_Toc15396623"/>
      <w:r>
        <w:rPr>
          <w:rStyle w:val="30"/>
          <w:rFonts w:hint="eastAsia" w:ascii="仿宋" w:hAnsi="仿宋" w:eastAsia="仿宋"/>
          <w:b w:val="0"/>
          <w:bCs w:val="0"/>
        </w:rPr>
        <w:t>五、</w:t>
      </w:r>
      <w:r>
        <w:rPr>
          <w:rFonts w:hint="eastAsia" w:ascii="仿宋" w:hAnsi="仿宋" w:eastAsia="仿宋"/>
          <w:b w:val="0"/>
        </w:rPr>
        <w:t>财</w:t>
      </w:r>
      <w:r>
        <w:rPr>
          <w:rStyle w:val="30"/>
          <w:rFonts w:hint="eastAsia" w:ascii="仿宋" w:hAnsi="仿宋" w:eastAsia="仿宋"/>
          <w:b w:val="0"/>
          <w:bCs w:val="0"/>
        </w:rPr>
        <w:t>政拨款支出决算明细表</w:t>
      </w:r>
      <w:bookmarkEnd w:id="65"/>
      <w:bookmarkStart w:id="66" w:name="_Toc15396624"/>
    </w:p>
    <w:p>
      <w:pPr>
        <w:pStyle w:val="4"/>
        <w:rPr>
          <w:rFonts w:ascii="仿宋" w:hAnsi="仿宋" w:eastAsia="仿宋"/>
        </w:rPr>
      </w:pPr>
      <w:r>
        <w:rPr>
          <w:rStyle w:val="30"/>
          <w:rFonts w:hint="eastAsia" w:ascii="仿宋" w:hAnsi="仿宋" w:eastAsia="仿宋"/>
          <w:b w:val="0"/>
          <w:bCs w:val="0"/>
        </w:rPr>
        <w:t>六、</w:t>
      </w:r>
      <w:r>
        <w:rPr>
          <w:rFonts w:hint="eastAsia" w:ascii="仿宋" w:hAnsi="仿宋" w:eastAsia="仿宋"/>
          <w:b w:val="0"/>
        </w:rPr>
        <w:t>一</w:t>
      </w:r>
      <w:r>
        <w:rPr>
          <w:rStyle w:val="30"/>
          <w:rFonts w:hint="eastAsia" w:ascii="仿宋" w:hAnsi="仿宋" w:eastAsia="仿宋"/>
          <w:b w:val="0"/>
          <w:bCs w:val="0"/>
        </w:rPr>
        <w:t>般公共预算财政拨款支出决算表</w:t>
      </w:r>
      <w:bookmarkEnd w:id="66"/>
    </w:p>
    <w:p>
      <w:pPr>
        <w:pStyle w:val="4"/>
        <w:rPr>
          <w:rFonts w:ascii="仿宋" w:hAnsi="仿宋" w:eastAsia="仿宋"/>
        </w:rPr>
      </w:pPr>
      <w:bookmarkStart w:id="67" w:name="_Toc15396625"/>
      <w:r>
        <w:rPr>
          <w:rStyle w:val="30"/>
          <w:rFonts w:hint="eastAsia" w:ascii="仿宋" w:hAnsi="仿宋" w:eastAsia="仿宋"/>
          <w:b w:val="0"/>
          <w:bCs w:val="0"/>
        </w:rPr>
        <w:t>七、</w:t>
      </w:r>
      <w:r>
        <w:rPr>
          <w:rFonts w:hint="eastAsia" w:ascii="仿宋" w:hAnsi="仿宋" w:eastAsia="仿宋"/>
          <w:b w:val="0"/>
        </w:rPr>
        <w:t>一</w:t>
      </w:r>
      <w:r>
        <w:rPr>
          <w:rStyle w:val="30"/>
          <w:rFonts w:hint="eastAsia" w:ascii="仿宋" w:hAnsi="仿宋" w:eastAsia="仿宋"/>
          <w:b w:val="0"/>
          <w:bCs w:val="0"/>
        </w:rPr>
        <w:t>般公共预算财政拨款支出决算明细表</w:t>
      </w:r>
      <w:bookmarkEnd w:id="67"/>
    </w:p>
    <w:p>
      <w:pPr>
        <w:pStyle w:val="4"/>
        <w:rPr>
          <w:rFonts w:ascii="仿宋" w:hAnsi="仿宋" w:eastAsia="仿宋"/>
        </w:rPr>
      </w:pPr>
      <w:bookmarkStart w:id="68" w:name="_Toc15396626"/>
      <w:r>
        <w:rPr>
          <w:rStyle w:val="30"/>
          <w:rFonts w:hint="eastAsia" w:ascii="仿宋" w:hAnsi="仿宋" w:eastAsia="仿宋"/>
          <w:b w:val="0"/>
          <w:bCs w:val="0"/>
        </w:rPr>
        <w:t>八、</w:t>
      </w:r>
      <w:r>
        <w:rPr>
          <w:rFonts w:hint="eastAsia" w:ascii="仿宋" w:hAnsi="仿宋" w:eastAsia="仿宋"/>
          <w:b w:val="0"/>
        </w:rPr>
        <w:t>一</w:t>
      </w:r>
      <w:r>
        <w:rPr>
          <w:rStyle w:val="30"/>
          <w:rFonts w:hint="eastAsia" w:ascii="仿宋" w:hAnsi="仿宋" w:eastAsia="仿宋"/>
          <w:b w:val="0"/>
          <w:bCs w:val="0"/>
        </w:rPr>
        <w:t>般公共预算财政拨款基本支出决算表</w:t>
      </w:r>
      <w:bookmarkEnd w:id="68"/>
    </w:p>
    <w:p>
      <w:pPr>
        <w:pStyle w:val="4"/>
        <w:rPr>
          <w:rFonts w:ascii="仿宋" w:hAnsi="仿宋" w:eastAsia="仿宋"/>
        </w:rPr>
      </w:pPr>
      <w:bookmarkStart w:id="69" w:name="_Toc15396627"/>
      <w:r>
        <w:rPr>
          <w:rStyle w:val="30"/>
          <w:rFonts w:hint="eastAsia" w:ascii="仿宋" w:hAnsi="仿宋" w:eastAsia="仿宋"/>
          <w:b w:val="0"/>
          <w:bCs w:val="0"/>
        </w:rPr>
        <w:t>九、</w:t>
      </w:r>
      <w:r>
        <w:rPr>
          <w:rFonts w:hint="eastAsia" w:ascii="仿宋" w:hAnsi="仿宋" w:eastAsia="仿宋"/>
          <w:b w:val="0"/>
        </w:rPr>
        <w:t>一</w:t>
      </w:r>
      <w:r>
        <w:rPr>
          <w:rStyle w:val="30"/>
          <w:rFonts w:hint="eastAsia" w:ascii="仿宋" w:hAnsi="仿宋" w:eastAsia="仿宋"/>
          <w:b w:val="0"/>
          <w:bCs w:val="0"/>
        </w:rPr>
        <w:t>般公共预算财政拨款项目支出决算表</w:t>
      </w:r>
      <w:bookmarkEnd w:id="69"/>
    </w:p>
    <w:p>
      <w:pPr>
        <w:pStyle w:val="4"/>
        <w:rPr>
          <w:rFonts w:ascii="仿宋" w:hAnsi="仿宋" w:eastAsia="仿宋"/>
        </w:rPr>
      </w:pPr>
      <w:bookmarkStart w:id="70" w:name="_Toc15396628"/>
      <w:r>
        <w:rPr>
          <w:rStyle w:val="30"/>
          <w:rFonts w:hint="eastAsia" w:ascii="仿宋" w:hAnsi="仿宋" w:eastAsia="仿宋"/>
          <w:b w:val="0"/>
          <w:bCs w:val="0"/>
        </w:rPr>
        <w:t>十、</w:t>
      </w:r>
      <w:bookmarkEnd w:id="70"/>
      <w:r>
        <w:rPr>
          <w:rFonts w:hint="eastAsia" w:ascii="仿宋" w:hAnsi="仿宋" w:eastAsia="仿宋"/>
          <w:b w:val="0"/>
        </w:rPr>
        <w:t>政</w:t>
      </w:r>
      <w:r>
        <w:rPr>
          <w:rStyle w:val="30"/>
          <w:rFonts w:hint="eastAsia" w:ascii="仿宋" w:hAnsi="仿宋" w:eastAsia="仿宋"/>
          <w:b w:val="0"/>
          <w:bCs w:val="0"/>
        </w:rPr>
        <w:t>府性基金预算财政拨款收入支出决算表</w:t>
      </w:r>
    </w:p>
    <w:p>
      <w:pPr>
        <w:pStyle w:val="4"/>
        <w:rPr>
          <w:rFonts w:ascii="仿宋" w:hAnsi="仿宋" w:eastAsia="仿宋"/>
        </w:rPr>
      </w:pPr>
      <w:bookmarkStart w:id="71" w:name="_Toc15396629"/>
      <w:r>
        <w:rPr>
          <w:rStyle w:val="30"/>
          <w:rFonts w:hint="eastAsia" w:ascii="仿宋" w:hAnsi="仿宋" w:eastAsia="仿宋"/>
          <w:b w:val="0"/>
          <w:bCs w:val="0"/>
        </w:rPr>
        <w:t>十一、</w:t>
      </w:r>
      <w:bookmarkEnd w:id="71"/>
      <w:r>
        <w:rPr>
          <w:rFonts w:hint="eastAsia" w:ascii="仿宋" w:hAnsi="仿宋" w:eastAsia="仿宋"/>
          <w:b w:val="0"/>
        </w:rPr>
        <w:t>国</w:t>
      </w:r>
      <w:r>
        <w:rPr>
          <w:rStyle w:val="30"/>
          <w:rFonts w:hint="eastAsia" w:ascii="仿宋" w:hAnsi="仿宋" w:eastAsia="仿宋"/>
          <w:b w:val="0"/>
          <w:bCs w:val="0"/>
        </w:rPr>
        <w:t>有资本经营预算财政拨款收入支出决算表</w:t>
      </w:r>
    </w:p>
    <w:p>
      <w:pPr>
        <w:pStyle w:val="4"/>
        <w:rPr>
          <w:rFonts w:ascii="仿宋" w:hAnsi="仿宋" w:eastAsia="仿宋"/>
        </w:rPr>
      </w:pPr>
      <w:bookmarkStart w:id="72" w:name="_Toc15396630"/>
      <w:r>
        <w:rPr>
          <w:rStyle w:val="30"/>
          <w:rFonts w:hint="eastAsia" w:ascii="仿宋" w:hAnsi="仿宋" w:eastAsia="仿宋"/>
          <w:b w:val="0"/>
          <w:bCs w:val="0"/>
        </w:rPr>
        <w:t>十二、</w:t>
      </w:r>
      <w:bookmarkEnd w:id="72"/>
      <w:r>
        <w:rPr>
          <w:rStyle w:val="30"/>
          <w:rFonts w:hint="eastAsia" w:ascii="仿宋" w:hAnsi="仿宋" w:eastAsia="仿宋"/>
          <w:b w:val="0"/>
          <w:bCs w:val="0"/>
        </w:rPr>
        <w:t>国有资本经营预算财政拨款支出决算表</w:t>
      </w:r>
    </w:p>
    <w:p>
      <w:pPr>
        <w:pStyle w:val="4"/>
        <w:rPr>
          <w:rFonts w:eastAsia="仿宋"/>
        </w:rPr>
      </w:pPr>
      <w:bookmarkStart w:id="73" w:name="_Toc15396631"/>
      <w:r>
        <w:rPr>
          <w:rStyle w:val="30"/>
          <w:rFonts w:hint="eastAsia" w:ascii="仿宋" w:hAnsi="仿宋" w:eastAsia="仿宋"/>
          <w:b w:val="0"/>
          <w:bCs w:val="0"/>
        </w:rPr>
        <w:t>十三、</w:t>
      </w:r>
      <w:bookmarkEnd w:id="73"/>
      <w:r>
        <w:rPr>
          <w:rStyle w:val="30"/>
          <w:rFonts w:hint="eastAsia" w:ascii="仿宋" w:hAnsi="仿宋" w:eastAsia="仿宋"/>
          <w:b w:val="0"/>
          <w:bCs w:val="0"/>
        </w:rPr>
        <w:t>财政拨款“三公”经费支出决算表</w:t>
      </w:r>
    </w:p>
    <w:sectPr>
      <w:headerReference r:id="rId5" w:type="default"/>
      <w:footerReference r:id="rId6"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方正仿宋简体">
    <w:panose1 w:val="02010601030101010101"/>
    <w:charset w:val="86"/>
    <w:family w:val="script"/>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方正黑体简体">
    <w:altName w:val="微软雅黑"/>
    <w:panose1 w:val="02010601030101010101"/>
    <w:charset w:val="86"/>
    <w:family w:val="auto"/>
    <w:pitch w:val="default"/>
    <w:sig w:usb0="00000000" w:usb1="00000000" w:usb2="00000000" w:usb3="00000000" w:csb0="00040000" w:csb1="00000000"/>
  </w:font>
  <w:font w:name="方正楷体简体">
    <w:altName w:val="宋体"/>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outside" w:y="1"/>
      <w:jc w:val="center"/>
      <w:rPr>
        <w:rStyle w:val="18"/>
        <w:sz w:val="28"/>
        <w:szCs w:val="28"/>
      </w:rPr>
    </w:pPr>
    <w:r>
      <w:rPr>
        <w:rStyle w:val="18"/>
        <w:sz w:val="28"/>
        <w:szCs w:val="28"/>
      </w:rPr>
      <w:t xml:space="preserve">— </w:t>
    </w:r>
    <w:r>
      <w:rPr>
        <w:rStyle w:val="18"/>
        <w:sz w:val="28"/>
        <w:szCs w:val="28"/>
      </w:rPr>
      <w:fldChar w:fldCharType="begin"/>
    </w:r>
    <w:r>
      <w:rPr>
        <w:rStyle w:val="18"/>
        <w:sz w:val="28"/>
        <w:szCs w:val="28"/>
      </w:rPr>
      <w:instrText xml:space="preserve">PAGE  </w:instrText>
    </w:r>
    <w:r>
      <w:rPr>
        <w:rStyle w:val="18"/>
        <w:sz w:val="28"/>
        <w:szCs w:val="28"/>
      </w:rPr>
      <w:fldChar w:fldCharType="separate"/>
    </w:r>
    <w:r>
      <w:rPr>
        <w:rStyle w:val="18"/>
        <w:sz w:val="28"/>
        <w:szCs w:val="28"/>
      </w:rPr>
      <w:t>13</w:t>
    </w:r>
    <w:r>
      <w:rPr>
        <w:rStyle w:val="18"/>
        <w:sz w:val="28"/>
        <w:szCs w:val="28"/>
      </w:rPr>
      <w:fldChar w:fldCharType="end"/>
    </w:r>
    <w:r>
      <w:rPr>
        <w:rStyle w:val="18"/>
        <w:sz w:val="28"/>
        <w:szCs w:val="28"/>
      </w:rPr>
      <w:t xml:space="preserve"> —</w:t>
    </w:r>
  </w:p>
  <w:p>
    <w:pPr>
      <w:pStyle w:val="10"/>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outside" w:y="1"/>
      <w:jc w:val="center"/>
      <w:rPr>
        <w:rStyle w:val="18"/>
        <w:sz w:val="28"/>
        <w:szCs w:val="28"/>
      </w:rPr>
    </w:pPr>
    <w:r>
      <w:rPr>
        <w:rStyle w:val="18"/>
        <w:sz w:val="28"/>
        <w:szCs w:val="28"/>
      </w:rPr>
      <w:t xml:space="preserve">— </w:t>
    </w:r>
    <w:r>
      <w:rPr>
        <w:rStyle w:val="18"/>
        <w:sz w:val="28"/>
        <w:szCs w:val="28"/>
      </w:rPr>
      <w:fldChar w:fldCharType="begin"/>
    </w:r>
    <w:r>
      <w:rPr>
        <w:rStyle w:val="18"/>
        <w:sz w:val="28"/>
        <w:szCs w:val="28"/>
      </w:rPr>
      <w:instrText xml:space="preserve">PAGE  </w:instrText>
    </w:r>
    <w:r>
      <w:rPr>
        <w:rStyle w:val="18"/>
        <w:sz w:val="28"/>
        <w:szCs w:val="28"/>
      </w:rPr>
      <w:fldChar w:fldCharType="separate"/>
    </w:r>
    <w:r>
      <w:rPr>
        <w:rStyle w:val="18"/>
        <w:sz w:val="28"/>
        <w:szCs w:val="28"/>
      </w:rPr>
      <w:t>12</w:t>
    </w:r>
    <w:r>
      <w:rPr>
        <w:rStyle w:val="18"/>
        <w:sz w:val="28"/>
        <w:szCs w:val="28"/>
      </w:rPr>
      <w:fldChar w:fldCharType="end"/>
    </w:r>
    <w:r>
      <w:rPr>
        <w:rStyle w:val="18"/>
        <w:sz w:val="28"/>
        <w:szCs w:val="28"/>
      </w:rPr>
      <w:t xml:space="preserve"> —</w:t>
    </w:r>
  </w:p>
  <w:p>
    <w:pPr>
      <w:pStyle w:val="10"/>
      <w:ind w:right="360" w:firstLine="360"/>
      <w:jc w:val="center"/>
      <w:rPr>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2621CDC"/>
    <w:multiLevelType w:val="multilevel"/>
    <w:tmpl w:val="62621CDC"/>
    <w:lvl w:ilvl="0" w:tentative="0">
      <w:start w:val="1"/>
      <w:numFmt w:val="decimal"/>
      <w:lvlText w:val="%1."/>
      <w:lvlJc w:val="left"/>
      <w:pPr>
        <w:ind w:left="1152" w:hanging="480"/>
      </w:pPr>
      <w:rPr>
        <w:rFonts w:hint="default"/>
      </w:rPr>
    </w:lvl>
    <w:lvl w:ilvl="1" w:tentative="0">
      <w:start w:val="1"/>
      <w:numFmt w:val="lowerLetter"/>
      <w:lvlText w:val="%2)"/>
      <w:lvlJc w:val="left"/>
      <w:pPr>
        <w:ind w:left="1512" w:hanging="420"/>
      </w:pPr>
    </w:lvl>
    <w:lvl w:ilvl="2" w:tentative="0">
      <w:start w:val="1"/>
      <w:numFmt w:val="lowerRoman"/>
      <w:lvlText w:val="%3."/>
      <w:lvlJc w:val="right"/>
      <w:pPr>
        <w:ind w:left="1932" w:hanging="420"/>
      </w:pPr>
    </w:lvl>
    <w:lvl w:ilvl="3" w:tentative="0">
      <w:start w:val="1"/>
      <w:numFmt w:val="decimal"/>
      <w:lvlText w:val="%4."/>
      <w:lvlJc w:val="left"/>
      <w:pPr>
        <w:ind w:left="2352" w:hanging="420"/>
      </w:pPr>
    </w:lvl>
    <w:lvl w:ilvl="4" w:tentative="0">
      <w:start w:val="1"/>
      <w:numFmt w:val="lowerLetter"/>
      <w:lvlText w:val="%5)"/>
      <w:lvlJc w:val="left"/>
      <w:pPr>
        <w:ind w:left="2772" w:hanging="420"/>
      </w:pPr>
    </w:lvl>
    <w:lvl w:ilvl="5" w:tentative="0">
      <w:start w:val="1"/>
      <w:numFmt w:val="lowerRoman"/>
      <w:lvlText w:val="%6."/>
      <w:lvlJc w:val="right"/>
      <w:pPr>
        <w:ind w:left="3192" w:hanging="420"/>
      </w:pPr>
    </w:lvl>
    <w:lvl w:ilvl="6" w:tentative="0">
      <w:start w:val="1"/>
      <w:numFmt w:val="decimal"/>
      <w:lvlText w:val="%7."/>
      <w:lvlJc w:val="left"/>
      <w:pPr>
        <w:ind w:left="3612" w:hanging="420"/>
      </w:pPr>
    </w:lvl>
    <w:lvl w:ilvl="7" w:tentative="0">
      <w:start w:val="1"/>
      <w:numFmt w:val="lowerLetter"/>
      <w:lvlText w:val="%8)"/>
      <w:lvlJc w:val="left"/>
      <w:pPr>
        <w:ind w:left="4032" w:hanging="420"/>
      </w:pPr>
    </w:lvl>
    <w:lvl w:ilvl="8" w:tentative="0">
      <w:start w:val="1"/>
      <w:numFmt w:val="lowerRoman"/>
      <w:lvlText w:val="%9."/>
      <w:lvlJc w:val="right"/>
      <w:pPr>
        <w:ind w:left="4452"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7B7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C2F09"/>
    <w:rsid w:val="004E0A2D"/>
    <w:rsid w:val="004E206B"/>
    <w:rsid w:val="004E6DF7"/>
    <w:rsid w:val="004F0FBD"/>
    <w:rsid w:val="00505A47"/>
    <w:rsid w:val="00512FDA"/>
    <w:rsid w:val="00520DA0"/>
    <w:rsid w:val="005516C4"/>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90F30"/>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A026C"/>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24C7"/>
    <w:rsid w:val="008B768C"/>
    <w:rsid w:val="008C4DB1"/>
    <w:rsid w:val="008C4EAF"/>
    <w:rsid w:val="008C5176"/>
    <w:rsid w:val="008C7FD0"/>
    <w:rsid w:val="008E1DE7"/>
    <w:rsid w:val="008E707C"/>
    <w:rsid w:val="008F3C39"/>
    <w:rsid w:val="008F6DF2"/>
    <w:rsid w:val="00900B08"/>
    <w:rsid w:val="00902155"/>
    <w:rsid w:val="00902FA3"/>
    <w:rsid w:val="00923564"/>
    <w:rsid w:val="0092392E"/>
    <w:rsid w:val="009315F9"/>
    <w:rsid w:val="00933499"/>
    <w:rsid w:val="00935C98"/>
    <w:rsid w:val="00946945"/>
    <w:rsid w:val="00951248"/>
    <w:rsid w:val="0095152F"/>
    <w:rsid w:val="00954C49"/>
    <w:rsid w:val="00955E37"/>
    <w:rsid w:val="00956BA6"/>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1678"/>
    <w:rsid w:val="00A422EB"/>
    <w:rsid w:val="00A45BB7"/>
    <w:rsid w:val="00A56DF2"/>
    <w:rsid w:val="00A56E6E"/>
    <w:rsid w:val="00A67AB5"/>
    <w:rsid w:val="00A733B2"/>
    <w:rsid w:val="00A741C2"/>
    <w:rsid w:val="00A91760"/>
    <w:rsid w:val="00A93B00"/>
    <w:rsid w:val="00A93C21"/>
    <w:rsid w:val="00AA609D"/>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E164C"/>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1547"/>
    <w:rsid w:val="00CE44F6"/>
    <w:rsid w:val="00CE49DA"/>
    <w:rsid w:val="00CE7B61"/>
    <w:rsid w:val="00D00095"/>
    <w:rsid w:val="00D114F0"/>
    <w:rsid w:val="00D20620"/>
    <w:rsid w:val="00D2523B"/>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3B3F"/>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E7D16"/>
    <w:rsid w:val="00EF4C34"/>
    <w:rsid w:val="00EF77C6"/>
    <w:rsid w:val="00F05438"/>
    <w:rsid w:val="00F1361C"/>
    <w:rsid w:val="00F156F0"/>
    <w:rsid w:val="00F160C7"/>
    <w:rsid w:val="00F2408F"/>
    <w:rsid w:val="00F240E9"/>
    <w:rsid w:val="00F36D8F"/>
    <w:rsid w:val="00F417B1"/>
    <w:rsid w:val="00F45853"/>
    <w:rsid w:val="00F5047E"/>
    <w:rsid w:val="00F602DF"/>
    <w:rsid w:val="00F754A1"/>
    <w:rsid w:val="00F81FD9"/>
    <w:rsid w:val="00F841AA"/>
    <w:rsid w:val="00F84A94"/>
    <w:rsid w:val="00F87E96"/>
    <w:rsid w:val="00FA23E8"/>
    <w:rsid w:val="00FD3CC1"/>
    <w:rsid w:val="00FF1E02"/>
    <w:rsid w:val="00FF30B4"/>
    <w:rsid w:val="015975B8"/>
    <w:rsid w:val="02143E91"/>
    <w:rsid w:val="047D2D7C"/>
    <w:rsid w:val="066E0107"/>
    <w:rsid w:val="07996F6E"/>
    <w:rsid w:val="09EF5765"/>
    <w:rsid w:val="0A2032A3"/>
    <w:rsid w:val="0A7A3898"/>
    <w:rsid w:val="0AD57BDB"/>
    <w:rsid w:val="0F98263C"/>
    <w:rsid w:val="101860EC"/>
    <w:rsid w:val="10C055FF"/>
    <w:rsid w:val="118107EC"/>
    <w:rsid w:val="13D50BC4"/>
    <w:rsid w:val="15BD0804"/>
    <w:rsid w:val="16BB723D"/>
    <w:rsid w:val="18A81978"/>
    <w:rsid w:val="18FA6362"/>
    <w:rsid w:val="1BE8440E"/>
    <w:rsid w:val="1D155CEE"/>
    <w:rsid w:val="1FF35744"/>
    <w:rsid w:val="231A0546"/>
    <w:rsid w:val="23860B96"/>
    <w:rsid w:val="240371BF"/>
    <w:rsid w:val="29FD04D3"/>
    <w:rsid w:val="2C8A61B5"/>
    <w:rsid w:val="2DF04E50"/>
    <w:rsid w:val="2F040D46"/>
    <w:rsid w:val="319F7F4E"/>
    <w:rsid w:val="3304709D"/>
    <w:rsid w:val="36AA5135"/>
    <w:rsid w:val="376D39B2"/>
    <w:rsid w:val="37E16F03"/>
    <w:rsid w:val="38D469F0"/>
    <w:rsid w:val="3AAF4BD2"/>
    <w:rsid w:val="3D98207C"/>
    <w:rsid w:val="3E78745D"/>
    <w:rsid w:val="44E268DA"/>
    <w:rsid w:val="4A627F82"/>
    <w:rsid w:val="4B0E749A"/>
    <w:rsid w:val="4B4F25DA"/>
    <w:rsid w:val="4BE068DB"/>
    <w:rsid w:val="4D577224"/>
    <w:rsid w:val="4E3C22CF"/>
    <w:rsid w:val="4EAB630A"/>
    <w:rsid w:val="4ECE2238"/>
    <w:rsid w:val="516D4B8F"/>
    <w:rsid w:val="537E6D0A"/>
    <w:rsid w:val="5AF92295"/>
    <w:rsid w:val="5BEB0358"/>
    <w:rsid w:val="5CB25DB2"/>
    <w:rsid w:val="5CD71FC4"/>
    <w:rsid w:val="5D281613"/>
    <w:rsid w:val="5EFD158C"/>
    <w:rsid w:val="601E1AFE"/>
    <w:rsid w:val="63964579"/>
    <w:rsid w:val="66C534D0"/>
    <w:rsid w:val="6802574F"/>
    <w:rsid w:val="6C4A05C8"/>
    <w:rsid w:val="6E7E3605"/>
    <w:rsid w:val="6FF5CC65"/>
    <w:rsid w:val="706305CE"/>
    <w:rsid w:val="715C0E4B"/>
    <w:rsid w:val="72734D90"/>
    <w:rsid w:val="73AD73D5"/>
    <w:rsid w:val="73B6EB34"/>
    <w:rsid w:val="744731E5"/>
    <w:rsid w:val="76E3355F"/>
    <w:rsid w:val="778769C8"/>
    <w:rsid w:val="79EE5BA4"/>
    <w:rsid w:val="7A894339"/>
    <w:rsid w:val="7B070BE4"/>
    <w:rsid w:val="7B764923"/>
    <w:rsid w:val="7D0D3A78"/>
    <w:rsid w:val="7EEF11D3"/>
    <w:rsid w:val="7FA30C79"/>
    <w:rsid w:val="7FB7269E"/>
    <w:rsid w:val="7FC96657"/>
    <w:rsid w:val="D8D6DB89"/>
    <w:rsid w:val="DB6F4CAB"/>
    <w:rsid w:val="DF6F978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2">
    <w:name w:val="Body Text"/>
    <w:basedOn w:val="1"/>
    <w:next w:val="1"/>
    <w:link w:val="26"/>
    <w:qFormat/>
    <w:uiPriority w:val="99"/>
    <w:pPr>
      <w:spacing w:beforeLines="30"/>
    </w:pPr>
    <w:rPr>
      <w:rFonts w:ascii="仿宋_GB2312" w:eastAsia="仿宋_GB2312"/>
      <w:kern w:val="0"/>
      <w:sz w:val="30"/>
    </w:rPr>
  </w:style>
  <w:style w:type="paragraph" w:styleId="6">
    <w:name w:val="annotation text"/>
    <w:basedOn w:val="1"/>
    <w:semiHidden/>
    <w:unhideWhenUsed/>
    <w:uiPriority w:val="99"/>
    <w:pPr>
      <w:jc w:val="left"/>
    </w:pPr>
  </w:style>
  <w:style w:type="paragraph" w:styleId="7">
    <w:name w:val="Body Text Indent"/>
    <w:basedOn w:val="1"/>
    <w:qFormat/>
    <w:uiPriority w:val="0"/>
    <w:pPr>
      <w:spacing w:after="120"/>
      <w:ind w:left="200"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2"/>
    <w:semiHidden/>
    <w:unhideWhenUsed/>
    <w:qFormat/>
    <w:uiPriority w:val="99"/>
    <w:rPr>
      <w:sz w:val="18"/>
      <w:szCs w:val="18"/>
    </w:rPr>
  </w:style>
  <w:style w:type="paragraph" w:styleId="10">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Body Text First Indent 2"/>
    <w:basedOn w:val="7"/>
    <w:unhideWhenUsed/>
    <w:qFormat/>
    <w:uiPriority w:val="99"/>
    <w:pPr>
      <w:ind w:firstLine="420" w:firstLineChars="200"/>
    </w:pPr>
  </w:style>
  <w:style w:type="character" w:styleId="17">
    <w:name w:val="Strong"/>
    <w:basedOn w:val="16"/>
    <w:qFormat/>
    <w:uiPriority w:val="99"/>
    <w:rPr>
      <w:b/>
    </w:rPr>
  </w:style>
  <w:style w:type="character" w:styleId="18">
    <w:name w:val="page number"/>
    <w:basedOn w:val="16"/>
    <w:uiPriority w:val="0"/>
    <w:rPr>
      <w:rFonts w:cs="Times New Roman"/>
    </w:rPr>
  </w:style>
  <w:style w:type="character" w:styleId="19">
    <w:name w:val="Hyperlink"/>
    <w:basedOn w:val="16"/>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1">
    <w:name w:val="Header Char"/>
    <w:basedOn w:val="16"/>
    <w:semiHidden/>
    <w:qFormat/>
    <w:uiPriority w:val="99"/>
    <w:rPr>
      <w:rFonts w:ascii="Times New Roman" w:hAnsi="Times New Roman"/>
      <w:sz w:val="18"/>
      <w:szCs w:val="18"/>
    </w:rPr>
  </w:style>
  <w:style w:type="character" w:customStyle="1" w:styleId="22">
    <w:name w:val="页眉 字符"/>
    <w:link w:val="11"/>
    <w:semiHidden/>
    <w:qFormat/>
    <w:locked/>
    <w:uiPriority w:val="99"/>
    <w:rPr>
      <w:sz w:val="18"/>
    </w:rPr>
  </w:style>
  <w:style w:type="character" w:customStyle="1" w:styleId="23">
    <w:name w:val="Footer Char"/>
    <w:basedOn w:val="16"/>
    <w:semiHidden/>
    <w:qFormat/>
    <w:uiPriority w:val="99"/>
    <w:rPr>
      <w:rFonts w:ascii="Times New Roman" w:hAnsi="Times New Roman"/>
      <w:sz w:val="18"/>
      <w:szCs w:val="18"/>
    </w:rPr>
  </w:style>
  <w:style w:type="character" w:customStyle="1" w:styleId="24">
    <w:name w:val="页脚 字符"/>
    <w:link w:val="10"/>
    <w:qFormat/>
    <w:locked/>
    <w:uiPriority w:val="99"/>
    <w:rPr>
      <w:sz w:val="18"/>
    </w:rPr>
  </w:style>
  <w:style w:type="character" w:customStyle="1" w:styleId="25">
    <w:name w:val="Body Text Char"/>
    <w:basedOn w:val="16"/>
    <w:semiHidden/>
    <w:qFormat/>
    <w:uiPriority w:val="99"/>
    <w:rPr>
      <w:rFonts w:ascii="Times New Roman" w:hAnsi="Times New Roman"/>
      <w:szCs w:val="24"/>
    </w:rPr>
  </w:style>
  <w:style w:type="character" w:customStyle="1" w:styleId="26">
    <w:name w:val="正文文本 字符"/>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字符"/>
    <w:basedOn w:val="16"/>
    <w:link w:val="3"/>
    <w:qFormat/>
    <w:uiPriority w:val="9"/>
    <w:rPr>
      <w:rFonts w:ascii="Times New Roman" w:hAnsi="Times New Roman"/>
      <w:b/>
      <w:bCs/>
      <w:kern w:val="44"/>
      <w:sz w:val="44"/>
      <w:szCs w:val="44"/>
    </w:rPr>
  </w:style>
  <w:style w:type="character" w:customStyle="1" w:styleId="30">
    <w:name w:val="标题 2 字符"/>
    <w:basedOn w:val="16"/>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字符"/>
    <w:basedOn w:val="16"/>
    <w:link w:val="9"/>
    <w:semiHidden/>
    <w:qFormat/>
    <w:uiPriority w:val="99"/>
    <w:rPr>
      <w:rFonts w:ascii="Times New Roman" w:hAnsi="Times New Roman"/>
      <w:kern w:val="2"/>
      <w:sz w:val="18"/>
      <w:szCs w:val="18"/>
    </w:rPr>
  </w:style>
  <w:style w:type="character" w:customStyle="1" w:styleId="33">
    <w:name w:val="标题 3 字符"/>
    <w:basedOn w:val="16"/>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color w:val="000000"/>
      <w:kern w:val="0"/>
      <w:sz w:val="28"/>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354805373751292"/>
          <c:y val="0.309215350769983"/>
          <c:w val="0.924216327936617"/>
          <c:h val="0.583427034954779"/>
        </c:manualLayout>
      </c:layout>
      <c:barChart>
        <c:barDir val="col"/>
        <c:grouping val="clustered"/>
        <c:varyColors val="0"/>
        <c:ser>
          <c:idx val="0"/>
          <c:order val="0"/>
          <c:tx>
            <c:strRef>
              <c:f>Sheet1!$B$1</c:f>
              <c:strCache>
                <c:ptCount val="1"/>
                <c:pt idx="0">
                  <c:v>2021年收支</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lang="zh-CN" sz="800" b="0" i="0" u="none" strike="noStrike" kern="1200" baseline="0">
                    <a:solidFill>
                      <a:schemeClr val="tx1">
                        <a:lumMod val="50000"/>
                        <a:lumOff val="50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c:f>
              <c:strCache>
                <c:ptCount val="1"/>
                <c:pt idx="0">
                  <c:v>收、支决算总计变动情况图</c:v>
                </c:pt>
              </c:strCache>
            </c:strRef>
          </c:cat>
          <c:val>
            <c:numRef>
              <c:f>Sheet1!$B$2</c:f>
              <c:numCache>
                <c:formatCode>General</c:formatCode>
                <c:ptCount val="1"/>
                <c:pt idx="0">
                  <c:v>173.01</c:v>
                </c:pt>
              </c:numCache>
            </c:numRef>
          </c:val>
        </c:ser>
        <c:ser>
          <c:idx val="1"/>
          <c:order val="1"/>
          <c:tx>
            <c:strRef>
              <c:f>Sheet1!$C$1</c:f>
              <c:strCache>
                <c:ptCount val="1"/>
                <c:pt idx="0">
                  <c:v>2022年收支</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lang="zh-CN" sz="800" b="0" i="0" u="none" strike="noStrike" kern="1200" baseline="0">
                    <a:solidFill>
                      <a:schemeClr val="tx1">
                        <a:lumMod val="50000"/>
                        <a:lumOff val="50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c:f>
              <c:strCache>
                <c:ptCount val="1"/>
                <c:pt idx="0">
                  <c:v>收、支决算总计变动情况图</c:v>
                </c:pt>
              </c:strCache>
            </c:strRef>
          </c:cat>
          <c:val>
            <c:numRef>
              <c:f>Sheet1!$C$2</c:f>
              <c:numCache>
                <c:formatCode>General</c:formatCode>
                <c:ptCount val="1"/>
                <c:pt idx="0">
                  <c:v>219.43</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c:f>
              <c:strCache>
                <c:ptCount val="1"/>
                <c:pt idx="0">
                  <c:v>收、支决算总计变动情况图</c:v>
                </c:pt>
              </c:strCache>
            </c:strRef>
          </c:cat>
          <c:val>
            <c:numRef>
              <c:f>Sheet1!#REF!</c:f>
              <c:numCache>
                <c:formatCode>General</c:formatCode>
                <c:ptCount val="1"/>
                <c:pt idx="0">
                  <c:v>1</c:v>
                </c:pt>
              </c:numCache>
            </c:numRef>
          </c:val>
        </c:ser>
        <c:dLbls>
          <c:showLegendKey val="0"/>
          <c:showVal val="1"/>
          <c:showCatName val="0"/>
          <c:showSerName val="0"/>
          <c:showPercent val="0"/>
          <c:showBubbleSize val="0"/>
        </c:dLbls>
        <c:gapWidth val="444"/>
        <c:overlap val="-90"/>
        <c:axId val="493868565"/>
        <c:axId val="580065188"/>
      </c:barChart>
      <c:catAx>
        <c:axId val="493868565"/>
        <c:scaling>
          <c:orientation val="minMax"/>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p>
        </c:txPr>
        <c:crossAx val="580065188"/>
        <c:crosses val="autoZero"/>
        <c:auto val="1"/>
        <c:lblAlgn val="ctr"/>
        <c:lblOffset val="100"/>
        <c:noMultiLvlLbl val="0"/>
      </c:catAx>
      <c:valAx>
        <c:axId val="58006518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93868565"/>
        <c:crosses val="autoZero"/>
        <c:crossBetween val="between"/>
      </c:valAx>
      <c:spPr>
        <a:noFill/>
        <a:ln>
          <a:noFill/>
        </a:ln>
        <a:effectLst/>
      </c:spPr>
    </c:plotArea>
    <c:legend>
      <c:legendPos val="t"/>
      <c:legendEntry>
        <c:idx val="2"/>
        <c:delete val="1"/>
      </c:legendEntry>
      <c:layout>
        <c:manualLayout>
          <c:xMode val="edge"/>
          <c:yMode val="edge"/>
          <c:x val="0.298742679986221"/>
          <c:y val="0.16279638230261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800" b="1" i="0" u="none" strike="noStrike" kern="1200" baseline="0">
              <a:solidFill>
                <a:schemeClr val="dk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一般公共预算财政拨款收入</c:v>
                </c:pt>
              </c:strCache>
            </c:strRef>
          </c:tx>
          <c:spPr/>
          <c:explosion val="0"/>
          <c:dPt>
            <c:idx val="0"/>
            <c:bubble3D val="0"/>
            <c:spPr>
              <a:solidFill>
                <a:schemeClr val="accent1"/>
              </a:solidFill>
              <a:ln>
                <a:noFill/>
              </a:ln>
              <a:effectLst>
                <a:outerShdw blurRad="254000" sx="102000" sy="102000" algn="ctr" rotWithShape="0">
                  <a:prstClr val="black">
                    <a:alpha val="20000"/>
                  </a:prstClr>
                </a:outerShdw>
              </a:effectLst>
            </c:spPr>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chemeClr val="lt1"/>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Sheet1!$A$2</c:f>
              <c:strCache>
                <c:ptCount val="1"/>
                <c:pt idx="0">
                  <c:v>2022年度收入</c:v>
                </c:pt>
              </c:strCache>
            </c:strRef>
          </c:cat>
          <c:val>
            <c:numRef>
              <c:f>Sheet1!$B$2</c:f>
              <c:numCache>
                <c:formatCode>General</c:formatCode>
                <c:ptCount val="1"/>
                <c:pt idx="0">
                  <c:v>218.77</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33816218069604"/>
          <c:y val="0.00852514919011083"/>
        </c:manualLayout>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2022年支出金额</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elete val="1"/>
          </c:dLbls>
          <c:cat>
            <c:strRef>
              <c:f>Sheet1!$A$2:$A$3</c:f>
              <c:strCache>
                <c:ptCount val="2"/>
                <c:pt idx="0">
                  <c:v>基本支出</c:v>
                </c:pt>
                <c:pt idx="1">
                  <c:v>项目支出</c:v>
                </c:pt>
              </c:strCache>
            </c:strRef>
          </c:cat>
          <c:val>
            <c:numRef>
              <c:f>Sheet1!$B$2:$B$3</c:f>
              <c:numCache>
                <c:formatCode>General</c:formatCode>
                <c:ptCount val="2"/>
                <c:pt idx="0">
                  <c:v>132.07</c:v>
                </c:pt>
                <c:pt idx="1">
                  <c:v>85.4</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706166035136069"/>
          <c:y val="0.263016377413835"/>
          <c:w val="0.924216327936617"/>
          <c:h val="0.583427034954779"/>
        </c:manualLayout>
      </c:layout>
      <c:barChart>
        <c:barDir val="col"/>
        <c:grouping val="clustered"/>
        <c:varyColors val="0"/>
        <c:ser>
          <c:idx val="0"/>
          <c:order val="0"/>
          <c:tx>
            <c:strRef>
              <c:f>Sheet1!$B$1</c:f>
              <c:strCache>
                <c:ptCount val="1"/>
                <c:pt idx="0">
                  <c:v>2021年收支</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lang="zh-CN" sz="800" b="0" i="0" u="none" strike="noStrike" kern="1200" baseline="0">
                    <a:solidFill>
                      <a:schemeClr val="tx1">
                        <a:lumMod val="50000"/>
                        <a:lumOff val="50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c:f>
              <c:strCache>
                <c:ptCount val="1"/>
                <c:pt idx="0">
                  <c:v>收、支决算总计变动情况图</c:v>
                </c:pt>
              </c:strCache>
            </c:strRef>
          </c:cat>
          <c:val>
            <c:numRef>
              <c:f>Sheet1!$B$2</c:f>
              <c:numCache>
                <c:formatCode>General</c:formatCode>
                <c:ptCount val="1"/>
                <c:pt idx="0">
                  <c:v>173.01</c:v>
                </c:pt>
              </c:numCache>
            </c:numRef>
          </c:val>
        </c:ser>
        <c:ser>
          <c:idx val="1"/>
          <c:order val="1"/>
          <c:tx>
            <c:strRef>
              <c:f>Sheet1!$C$1</c:f>
              <c:strCache>
                <c:ptCount val="1"/>
                <c:pt idx="0">
                  <c:v>2022年收支</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lang="zh-CN" sz="800" b="0" i="0" u="none" strike="noStrike" kern="1200" baseline="0">
                    <a:solidFill>
                      <a:schemeClr val="tx1">
                        <a:lumMod val="50000"/>
                        <a:lumOff val="50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c:f>
              <c:strCache>
                <c:ptCount val="1"/>
                <c:pt idx="0">
                  <c:v>收、支决算总计变动情况图</c:v>
                </c:pt>
              </c:strCache>
            </c:strRef>
          </c:cat>
          <c:val>
            <c:numRef>
              <c:f>Sheet1!$C$2</c:f>
              <c:numCache>
                <c:formatCode>General</c:formatCode>
                <c:ptCount val="1"/>
                <c:pt idx="0">
                  <c:v>219.43</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c:f>
              <c:strCache>
                <c:ptCount val="1"/>
                <c:pt idx="0">
                  <c:v>收、支决算总计变动情况图</c:v>
                </c:pt>
              </c:strCache>
            </c:strRef>
          </c:cat>
          <c:val>
            <c:numRef>
              <c:f>Sheet1!#REF!</c:f>
              <c:numCache>
                <c:formatCode>General</c:formatCode>
                <c:ptCount val="1"/>
                <c:pt idx="0">
                  <c:v>1</c:v>
                </c:pt>
              </c:numCache>
            </c:numRef>
          </c:val>
        </c:ser>
        <c:dLbls>
          <c:showLegendKey val="0"/>
          <c:showVal val="1"/>
          <c:showCatName val="0"/>
          <c:showSerName val="0"/>
          <c:showPercent val="0"/>
          <c:showBubbleSize val="0"/>
        </c:dLbls>
        <c:gapWidth val="444"/>
        <c:overlap val="-90"/>
        <c:axId val="493868565"/>
        <c:axId val="580065188"/>
      </c:barChart>
      <c:catAx>
        <c:axId val="493868565"/>
        <c:scaling>
          <c:orientation val="minMax"/>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p>
        </c:txPr>
        <c:crossAx val="580065188"/>
        <c:crosses val="autoZero"/>
        <c:auto val="1"/>
        <c:lblAlgn val="ctr"/>
        <c:lblOffset val="100"/>
        <c:noMultiLvlLbl val="0"/>
      </c:catAx>
      <c:valAx>
        <c:axId val="58006518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93868565"/>
        <c:crosses val="autoZero"/>
        <c:crossBetween val="between"/>
      </c:valAx>
      <c:spPr>
        <a:noFill/>
        <a:ln>
          <a:noFill/>
        </a:ln>
        <a:effectLst/>
      </c:spPr>
    </c:plotArea>
    <c:legend>
      <c:legendPos val="t"/>
      <c:legendEntry>
        <c:idx val="2"/>
        <c:delete val="1"/>
      </c:legendEntry>
      <c:layout>
        <c:manualLayout>
          <c:xMode val="edge"/>
          <c:yMode val="edge"/>
          <c:x val="0.298742679986221"/>
          <c:y val="0.16279638230261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354805373751292"/>
          <c:y val="0.309215350769983"/>
          <c:w val="0.924216327936617"/>
          <c:h val="0.583427034954779"/>
        </c:manualLayout>
      </c:layout>
      <c:barChart>
        <c:barDir val="col"/>
        <c:grouping val="clustered"/>
        <c:varyColors val="0"/>
        <c:ser>
          <c:idx val="0"/>
          <c:order val="0"/>
          <c:tx>
            <c:strRef>
              <c:f>Sheet1!$B$1</c:f>
              <c:strCache>
                <c:ptCount val="1"/>
                <c:pt idx="0">
                  <c:v>2021年支出</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lang="zh-CN" sz="800" b="0" i="0" u="none" strike="noStrike" kern="1200" baseline="0">
                    <a:solidFill>
                      <a:schemeClr val="tx1">
                        <a:lumMod val="50000"/>
                        <a:lumOff val="50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c:f>
              <c:strCache>
                <c:ptCount val="1"/>
                <c:pt idx="0">
                  <c:v>一般公共预算财政拨款支出决算变动情况</c:v>
                </c:pt>
              </c:strCache>
            </c:strRef>
          </c:cat>
          <c:val>
            <c:numRef>
              <c:f>Sheet1!$B$2</c:f>
              <c:numCache>
                <c:formatCode>General</c:formatCode>
                <c:ptCount val="1"/>
                <c:pt idx="0">
                  <c:v>172.36</c:v>
                </c:pt>
              </c:numCache>
            </c:numRef>
          </c:val>
        </c:ser>
        <c:ser>
          <c:idx val="1"/>
          <c:order val="1"/>
          <c:tx>
            <c:strRef>
              <c:f>Sheet1!$C$1</c:f>
              <c:strCache>
                <c:ptCount val="1"/>
                <c:pt idx="0">
                  <c:v>2022年支出</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lang="zh-CN" sz="800" b="0" i="0" u="none" strike="noStrike" kern="1200" baseline="0">
                    <a:solidFill>
                      <a:schemeClr val="tx1">
                        <a:lumMod val="50000"/>
                        <a:lumOff val="50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c:f>
              <c:strCache>
                <c:ptCount val="1"/>
                <c:pt idx="0">
                  <c:v>一般公共预算财政拨款支出决算变动情况</c:v>
                </c:pt>
              </c:strCache>
            </c:strRef>
          </c:cat>
          <c:val>
            <c:numRef>
              <c:f>Sheet1!$C$2</c:f>
              <c:numCache>
                <c:formatCode>General</c:formatCode>
                <c:ptCount val="1"/>
                <c:pt idx="0">
                  <c:v>217.47</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c:f>
              <c:strCache>
                <c:ptCount val="1"/>
                <c:pt idx="0">
                  <c:v>一般公共预算财政拨款支出决算变动情况</c:v>
                </c:pt>
              </c:strCache>
            </c:strRef>
          </c:cat>
          <c:val>
            <c:numRef>
              <c:f>Sheet1!#REF!</c:f>
              <c:numCache>
                <c:formatCode>General</c:formatCode>
                <c:ptCount val="1"/>
                <c:pt idx="0">
                  <c:v>1</c:v>
                </c:pt>
              </c:numCache>
            </c:numRef>
          </c:val>
        </c:ser>
        <c:dLbls>
          <c:showLegendKey val="0"/>
          <c:showVal val="1"/>
          <c:showCatName val="0"/>
          <c:showSerName val="0"/>
          <c:showPercent val="0"/>
          <c:showBubbleSize val="0"/>
        </c:dLbls>
        <c:gapWidth val="444"/>
        <c:overlap val="-90"/>
        <c:axId val="493868565"/>
        <c:axId val="580065188"/>
      </c:barChart>
      <c:catAx>
        <c:axId val="493868565"/>
        <c:scaling>
          <c:orientation val="minMax"/>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p>
        </c:txPr>
        <c:crossAx val="580065188"/>
        <c:crosses val="autoZero"/>
        <c:auto val="1"/>
        <c:lblAlgn val="ctr"/>
        <c:lblOffset val="100"/>
        <c:noMultiLvlLbl val="0"/>
      </c:catAx>
      <c:valAx>
        <c:axId val="58006518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93868565"/>
        <c:crosses val="autoZero"/>
        <c:crossBetween val="between"/>
      </c:valAx>
      <c:spPr>
        <a:noFill/>
        <a:ln>
          <a:noFill/>
        </a:ln>
        <a:effectLst/>
      </c:spPr>
    </c:plotArea>
    <c:legend>
      <c:legendPos val="t"/>
      <c:legendEntry>
        <c:idx val="2"/>
        <c:delete val="1"/>
      </c:legendEntry>
      <c:layout>
        <c:manualLayout>
          <c:xMode val="edge"/>
          <c:yMode val="edge"/>
          <c:x val="0.298742679986221"/>
          <c:y val="0.16279638230261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百分比</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strRef>
              <c:f>Sheet1!$A$2:$A$5</c:f>
              <c:strCache>
                <c:ptCount val="4"/>
                <c:pt idx="0">
                  <c:v>一般公共服务支出</c:v>
                </c:pt>
                <c:pt idx="1">
                  <c:v>社会保障和就业支出</c:v>
                </c:pt>
                <c:pt idx="2">
                  <c:v>卫生健康支出</c:v>
                </c:pt>
                <c:pt idx="3">
                  <c:v>住房保障支出</c:v>
                </c:pt>
              </c:strCache>
            </c:strRef>
          </c:cat>
          <c:val>
            <c:numRef>
              <c:f>Sheet1!$B$2:$B$5</c:f>
              <c:numCache>
                <c:formatCode>0.00%</c:formatCode>
                <c:ptCount val="4"/>
                <c:pt idx="0">
                  <c:v>0.8925</c:v>
                </c:pt>
                <c:pt idx="1">
                  <c:v>0.0315</c:v>
                </c:pt>
                <c:pt idx="2">
                  <c:v>0.0185</c:v>
                </c:pt>
                <c:pt idx="3">
                  <c:v>0.0575</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“三公”经费财政拨款支出结构(%)</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elete val="1"/>
          </c:dLbls>
          <c:cat>
            <c:strRef>
              <c:f>Sheet1!$A$2:$A$3</c:f>
              <c:strCache>
                <c:ptCount val="2"/>
                <c:pt idx="0">
                  <c:v>公务用车购置及运行维护费</c:v>
                </c:pt>
                <c:pt idx="1">
                  <c:v>公务接待费</c:v>
                </c:pt>
              </c:strCache>
            </c:strRef>
          </c:cat>
          <c:val>
            <c:numRef>
              <c:f>Sheet1!$B$2:$B$3</c:f>
              <c:numCache>
                <c:formatCode>General</c:formatCode>
                <c:ptCount val="2"/>
                <c:pt idx="0">
                  <c:v>86.82</c:v>
                </c:pt>
                <c:pt idx="1">
                  <c:v>13.18</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21</Pages>
  <Words>1189</Words>
  <Characters>6781</Characters>
  <Lines>56</Lines>
  <Paragraphs>15</Paragraphs>
  <TotalTime>3</TotalTime>
  <ScaleCrop>false</ScaleCrop>
  <LinksUpToDate>false</LinksUpToDate>
  <CharactersWithSpaces>7955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z张何</cp:lastModifiedBy>
  <cp:lastPrinted>2023-07-31T02:35:00Z</cp:lastPrinted>
  <dcterms:modified xsi:type="dcterms:W3CDTF">2023-10-27T05:50:33Z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A683B0ED30724B51AD6C64FBF4887DA3</vt:lpwstr>
  </property>
</Properties>
</file>