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乐至县中医医院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年部门预算编制说明</w:t>
      </w:r>
    </w:p>
    <w:p>
      <w:pPr>
        <w:pStyle w:val="2"/>
        <w:adjustRightInd w:val="0"/>
        <w:snapToGrid w:val="0"/>
        <w:spacing w:beforeLines="0" w:line="600" w:lineRule="exact"/>
        <w:ind w:left="598" w:leftChars="272" w:firstLine="600" w:firstLineChars="200"/>
        <w:rPr>
          <w:rFonts w:asciiTheme="minorEastAsia" w:hAnsiTheme="minorEastAsia" w:eastAsiaTheme="minorEastAsia" w:cstheme="minorEastAsia"/>
          <w:b/>
          <w:szCs w:val="30"/>
        </w:rPr>
      </w:pPr>
      <w:r>
        <w:rPr>
          <w:rFonts w:hint="eastAsia" w:asciiTheme="minorEastAsia" w:hAnsiTheme="minorEastAsia" w:eastAsiaTheme="minorEastAsia" w:cstheme="minorEastAsia"/>
          <w:szCs w:val="30"/>
        </w:rPr>
        <w:t>按照预算管理有关规定，目前乐至县中医医院部门预算的编制实行综合预算制度，即全部收入和支出都反映在预算中。</w:t>
      </w:r>
    </w:p>
    <w:p>
      <w:pPr>
        <w:pStyle w:val="11"/>
        <w:spacing w:line="580" w:lineRule="exact"/>
        <w:ind w:firstLine="1140" w:firstLineChars="38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一、基本职能及主要工作</w:t>
      </w:r>
    </w:p>
    <w:p>
      <w:pPr>
        <w:spacing w:line="580" w:lineRule="exact"/>
        <w:ind w:left="587" w:leftChars="267"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乐至县中医医院是一所集医疗、预防保健、科研教学、养生康复为一体的国家二级甲等医院，主要承担全县基本医疗、养生康复、基层中医药技术指导、中医药科研教学及中医药师带徒等工作，是城镇职工医疗保险、城镇居民、 医疗保险、交通事故救治、商业保险定点医疗、工伤保险定点医疗机构，内设资阳求真鉴定中心乐至司法鉴定所、乐至县残疾人等级评定点。</w:t>
      </w:r>
    </w:p>
    <w:p>
      <w:pPr>
        <w:spacing w:line="580" w:lineRule="exact"/>
        <w:ind w:left="587" w:leftChars="267"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2017年1月15日医院整体搬迁至新址，新址医院按三级乙等医院设置，是一座服务功能完善、设备现代先进、环境优美舒适、中医特色突出的现代化数字医院。 </w:t>
      </w:r>
    </w:p>
    <w:p>
      <w:pPr>
        <w:spacing w:line="620" w:lineRule="exact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二、部门概况 </w:t>
      </w:r>
    </w:p>
    <w:p>
      <w:pPr>
        <w:spacing w:line="620" w:lineRule="exact"/>
        <w:ind w:left="598" w:leftChars="272"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医院总编制207名，其中：管理岗位3名，专业技术岗位198名，工勤技能岗6名。实有在职在编人员总数172人，其中：管理人员1人，专业技术人员169名，工勤人员2人;离退休人员99人，其中：离休人员1人，退休人员98人。</w:t>
      </w:r>
    </w:p>
    <w:p>
      <w:pPr>
        <w:spacing w:line="620" w:lineRule="exact"/>
        <w:ind w:firstLine="1050" w:firstLineChars="35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医院现有固定资产总额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17299.75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</w:t>
      </w:r>
    </w:p>
    <w:p>
      <w:pPr>
        <w:pStyle w:val="11"/>
        <w:spacing w:line="580" w:lineRule="exact"/>
        <w:ind w:firstLine="1140" w:firstLineChars="38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三、收支预算总体情况</w:t>
      </w:r>
    </w:p>
    <w:p>
      <w:pPr>
        <w:spacing w:line="620" w:lineRule="exact"/>
        <w:ind w:left="502" w:leftChars="228"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年部门预算总收入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5561.39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万元，较202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年部门预算总收入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4100.15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万元，增长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1461.24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万元，增加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35.64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%；总支出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5561.39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万元，较202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年部门预算支出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4100.15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万元，增长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1461.24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万元，增加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35.64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%；主要是因为疫情期间影响医疗收入增长，防疫支出会有所增加。</w:t>
      </w:r>
    </w:p>
    <w:p>
      <w:pPr>
        <w:spacing w:line="620" w:lineRule="exact"/>
        <w:ind w:left="598" w:leftChars="272"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部门预算基本支出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5483.74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万元，项目支出77.65万元。基本支出中人员经费预算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2332.08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万元，公用经费预算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3151.66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</w:t>
      </w:r>
    </w:p>
    <w:p>
      <w:pPr>
        <w:spacing w:line="620" w:lineRule="exact"/>
        <w:ind w:left="502" w:leftChars="228"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年本级财政补助收入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501.55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万元，其中补助人员经费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423.90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万元，其中基本工资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230.09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万元，津补贴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8.48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万元，绩效工资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116.70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万元，养老保险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68.63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万元，较202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年人员经费补助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415.36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 ，增长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2.06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%；项目支出补助77.65万元，较202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年项目支出补助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77.65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增长。</w:t>
      </w:r>
    </w:p>
    <w:p>
      <w:pPr>
        <w:spacing w:line="580" w:lineRule="exact"/>
        <w:ind w:firstLine="1050" w:firstLineChars="35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四、支出预算安排情况</w:t>
      </w:r>
    </w:p>
    <w:p>
      <w:pPr>
        <w:spacing w:line="580" w:lineRule="exact"/>
        <w:ind w:left="502" w:leftChars="228"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基本支出预算安排主要用于医院职工人员经费开支及基本运转，人员经费预算总支出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2332.08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万元，财政补助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423.90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</w:t>
      </w:r>
    </w:p>
    <w:p>
      <w:pPr>
        <w:spacing w:line="580" w:lineRule="exact"/>
        <w:ind w:left="502" w:leftChars="228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财政项目补助77.65万元，用于弥补医院取消药品加成收入的损失。</w:t>
      </w:r>
    </w:p>
    <w:p>
      <w:pPr>
        <w:numPr>
          <w:ilvl w:val="0"/>
          <w:numId w:val="1"/>
        </w:numPr>
        <w:spacing w:before="100" w:beforeAutospacing="1" w:line="580" w:lineRule="exact"/>
        <w:ind w:left="1102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政府采购项目属单位自筹资金未纳入财政年初预算。</w:t>
      </w:r>
    </w:p>
    <w:p>
      <w:pPr>
        <w:numPr>
          <w:ilvl w:val="0"/>
          <w:numId w:val="1"/>
        </w:numPr>
        <w:spacing w:before="100" w:beforeAutospacing="1" w:line="580" w:lineRule="exact"/>
        <w:ind w:left="1102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年拟开展的重点工作</w:t>
      </w:r>
    </w:p>
    <w:p>
      <w:pPr>
        <w:numPr>
          <w:ilvl w:val="0"/>
          <w:numId w:val="0"/>
        </w:numPr>
        <w:spacing w:line="220" w:lineRule="atLeast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完成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老年病大楼建设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项目。</w:t>
      </w:r>
    </w:p>
    <w:p>
      <w:pPr>
        <w:numPr>
          <w:ilvl w:val="0"/>
          <w:numId w:val="0"/>
        </w:numPr>
        <w:spacing w:line="220" w:lineRule="atLeast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2、继续开展疫苗接种工作，做到“应接尽接”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numPr>
          <w:ilvl w:val="0"/>
          <w:numId w:val="0"/>
        </w:numPr>
        <w:tabs>
          <w:tab w:val="left" w:pos="1168"/>
        </w:tabs>
        <w:spacing w:line="220" w:lineRule="atLeast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继续开展疫情防控常态化工作。</w:t>
      </w:r>
    </w:p>
    <w:p>
      <w:pPr>
        <w:numPr>
          <w:ilvl w:val="0"/>
          <w:numId w:val="0"/>
        </w:numPr>
        <w:spacing w:line="220" w:lineRule="atLeast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完善绩效工资分配方案，提高职工积极性。</w:t>
      </w:r>
    </w:p>
    <w:p>
      <w:pPr>
        <w:numPr>
          <w:ilvl w:val="0"/>
          <w:numId w:val="0"/>
        </w:numPr>
        <w:spacing w:line="220" w:lineRule="atLeast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进一步加强专科建设，发挥中医药优势。</w:t>
      </w:r>
    </w:p>
    <w:p>
      <w:pPr>
        <w:numPr>
          <w:ilvl w:val="0"/>
          <w:numId w:val="0"/>
        </w:numPr>
        <w:spacing w:line="220" w:lineRule="atLeast"/>
        <w:ind w:firstLine="1200" w:firstLineChars="4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提升医疗服务质量，提高患者就医感受。</w:t>
      </w:r>
    </w:p>
    <w:p>
      <w:pPr>
        <w:spacing w:line="220" w:lineRule="atLeast"/>
        <w:ind w:left="1031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spacing w:line="220" w:lineRule="atLeast"/>
        <w:ind w:left="1031"/>
        <w:jc w:val="righ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四川省乐至县中医医院</w:t>
      </w:r>
    </w:p>
    <w:p>
      <w:pPr>
        <w:spacing w:line="220" w:lineRule="atLeast"/>
        <w:ind w:left="1031"/>
        <w:jc w:val="righ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                                                    202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27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9207"/>
    <w:multiLevelType w:val="singleLevel"/>
    <w:tmpl w:val="61A19207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35E09"/>
    <w:rsid w:val="001F60B6"/>
    <w:rsid w:val="00323B43"/>
    <w:rsid w:val="003D37D8"/>
    <w:rsid w:val="00426133"/>
    <w:rsid w:val="004358AB"/>
    <w:rsid w:val="006258FB"/>
    <w:rsid w:val="00714820"/>
    <w:rsid w:val="00760F3B"/>
    <w:rsid w:val="007A2BD8"/>
    <w:rsid w:val="008231EB"/>
    <w:rsid w:val="008B7726"/>
    <w:rsid w:val="009E10C3"/>
    <w:rsid w:val="00AA2CD2"/>
    <w:rsid w:val="00AB5520"/>
    <w:rsid w:val="00CF1610"/>
    <w:rsid w:val="00D31D50"/>
    <w:rsid w:val="00DC5AE7"/>
    <w:rsid w:val="00F80640"/>
    <w:rsid w:val="013D3991"/>
    <w:rsid w:val="02E80782"/>
    <w:rsid w:val="04D272E7"/>
    <w:rsid w:val="06A54F1F"/>
    <w:rsid w:val="089A0D36"/>
    <w:rsid w:val="09C10C9E"/>
    <w:rsid w:val="0B635C15"/>
    <w:rsid w:val="0D722778"/>
    <w:rsid w:val="0D9236A0"/>
    <w:rsid w:val="0DD57CCE"/>
    <w:rsid w:val="0EE50A12"/>
    <w:rsid w:val="13C92851"/>
    <w:rsid w:val="179053F7"/>
    <w:rsid w:val="1A0671B5"/>
    <w:rsid w:val="1AB45294"/>
    <w:rsid w:val="1C371955"/>
    <w:rsid w:val="1CE409DB"/>
    <w:rsid w:val="1CEA4AF4"/>
    <w:rsid w:val="1D9E2FFA"/>
    <w:rsid w:val="1F4B5CA6"/>
    <w:rsid w:val="26B63626"/>
    <w:rsid w:val="27A07D8C"/>
    <w:rsid w:val="29AA279F"/>
    <w:rsid w:val="2AC73A75"/>
    <w:rsid w:val="303A6EDF"/>
    <w:rsid w:val="329F23F3"/>
    <w:rsid w:val="33BC33D1"/>
    <w:rsid w:val="350B165A"/>
    <w:rsid w:val="36B82421"/>
    <w:rsid w:val="37141ABB"/>
    <w:rsid w:val="3B68188D"/>
    <w:rsid w:val="3D2D5D04"/>
    <w:rsid w:val="3ECD5332"/>
    <w:rsid w:val="424E6D63"/>
    <w:rsid w:val="43CF710D"/>
    <w:rsid w:val="473B4A6F"/>
    <w:rsid w:val="47B418D3"/>
    <w:rsid w:val="496A1D99"/>
    <w:rsid w:val="4AA64E9A"/>
    <w:rsid w:val="50B94642"/>
    <w:rsid w:val="54182230"/>
    <w:rsid w:val="55F03528"/>
    <w:rsid w:val="5D944B57"/>
    <w:rsid w:val="5D955B43"/>
    <w:rsid w:val="5F560AD4"/>
    <w:rsid w:val="61914A5D"/>
    <w:rsid w:val="63A2361E"/>
    <w:rsid w:val="63EB63B8"/>
    <w:rsid w:val="63FE3C6F"/>
    <w:rsid w:val="69D83467"/>
    <w:rsid w:val="6A4A5430"/>
    <w:rsid w:val="6D914939"/>
    <w:rsid w:val="6DFD1624"/>
    <w:rsid w:val="70E71BDF"/>
    <w:rsid w:val="748D2EFD"/>
    <w:rsid w:val="75FA5D9F"/>
    <w:rsid w:val="7B1E18CE"/>
    <w:rsid w:val="7B3432E6"/>
    <w:rsid w:val="7FA327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 w:val="0"/>
      <w:adjustRightInd/>
      <w:snapToGrid/>
      <w:spacing w:beforeLines="30" w:after="0"/>
      <w:jc w:val="both"/>
    </w:pPr>
    <w:rPr>
      <w:rFonts w:ascii="仿宋_GB2312" w:hAnsi="Times New Roman" w:eastAsia="仿宋_GB2312" w:cs="Times New Roman"/>
      <w:kern w:val="2"/>
      <w:sz w:val="30"/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正文文本 Char"/>
    <w:basedOn w:val="5"/>
    <w:link w:val="2"/>
    <w:qFormat/>
    <w:uiPriority w:val="0"/>
    <w:rPr>
      <w:rFonts w:ascii="仿宋_GB2312" w:hAnsi="Times New Roman" w:eastAsia="仿宋_GB2312" w:cs="Times New Roman"/>
      <w:kern w:val="2"/>
      <w:sz w:val="30"/>
      <w:szCs w:val="24"/>
    </w:rPr>
  </w:style>
  <w:style w:type="paragraph" w:customStyle="1" w:styleId="11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929</Words>
  <Characters>261</Characters>
  <Lines>2</Lines>
  <Paragraphs>2</Paragraphs>
  <ScaleCrop>false</ScaleCrop>
  <LinksUpToDate>false</LinksUpToDate>
  <CharactersWithSpaces>1188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2021-01-13T08:15:00Z</cp:lastPrinted>
  <dcterms:modified xsi:type="dcterms:W3CDTF">2021-11-27T02:05:09Z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