
<file path=[Content_Types].xml><?xml version="1.0" encoding="utf-8"?>
<Types xmlns="http://schemas.openxmlformats.org/package/2006/content-types">
  <Default Extension="xml" ContentType="application/xml"/>
  <Default Extension="xlsx" ContentType="application/vnd.openxmlformats-officedocument.spreadsheetml.sheet"/>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olors1.xml" ContentType="application/vnd.ms-office.chartcolorstyle+xml"/>
  <Override PartName="/word/charts/colors2.xml" ContentType="application/vnd.ms-office.chartcolorstyle+xml"/>
  <Override PartName="/word/charts/colors3.xml" ContentType="application/vnd.ms-office.chartcolorstyle+xml"/>
  <Override PartName="/word/charts/colors4.xml" ContentType="application/vnd.ms-office.chartcolorstyle+xml"/>
  <Override PartName="/word/charts/colors5.xml" ContentType="application/vnd.ms-office.chartcolorstyle+xml"/>
  <Override PartName="/word/charts/colors6.xml" ContentType="application/vnd.ms-office.chartcolorstyle+xml"/>
  <Override PartName="/word/charts/colors7.xml" ContentType="application/vnd.ms-office.chartcolorstyle+xml"/>
  <Override PartName="/word/charts/style1.xml" ContentType="application/vnd.ms-office.chartstyle+xml"/>
  <Override PartName="/word/charts/style2.xml" ContentType="application/vnd.ms-office.chartstyle+xml"/>
  <Override PartName="/word/charts/style3.xml" ContentType="application/vnd.ms-office.chartstyle+xml"/>
  <Override PartName="/word/charts/style4.xml" ContentType="application/vnd.ms-office.chartstyle+xml"/>
  <Override PartName="/word/charts/style5.xml" ContentType="application/vnd.ms-office.chartstyle+xml"/>
  <Override PartName="/word/charts/style6.xml" ContentType="application/vnd.ms-office.chartstyle+xml"/>
  <Override PartName="/word/charts/style7.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outlineLvl w:val="0"/>
        <w:rPr>
          <w:rFonts w:ascii="方正小标宋简体" w:hAnsi="宋体" w:eastAsia="方正小标宋简体"/>
          <w:color w:val="000000"/>
          <w:sz w:val="72"/>
          <w:szCs w:val="72"/>
        </w:rPr>
      </w:pPr>
      <w:bookmarkStart w:id="0" w:name="_Toc15306267"/>
    </w:p>
    <w:p>
      <w:pPr>
        <w:spacing w:line="600" w:lineRule="exact"/>
        <w:jc w:val="center"/>
        <w:outlineLvl w:val="0"/>
        <w:rPr>
          <w:rFonts w:ascii="方正小标宋简体" w:hAnsi="宋体" w:eastAsia="方正小标宋简体"/>
          <w:color w:val="000000"/>
          <w:sz w:val="72"/>
          <w:szCs w:val="72"/>
        </w:rPr>
      </w:pPr>
    </w:p>
    <w:p>
      <w:pPr>
        <w:spacing w:line="600" w:lineRule="exact"/>
        <w:jc w:val="center"/>
        <w:outlineLvl w:val="0"/>
        <w:rPr>
          <w:rFonts w:ascii="方正小标宋简体" w:hAnsi="宋体" w:eastAsia="方正小标宋简体"/>
          <w:color w:val="000000"/>
          <w:sz w:val="72"/>
          <w:szCs w:val="72"/>
        </w:rPr>
      </w:pPr>
    </w:p>
    <w:p>
      <w:pPr>
        <w:spacing w:line="600" w:lineRule="exact"/>
        <w:jc w:val="center"/>
        <w:outlineLvl w:val="0"/>
        <w:rPr>
          <w:rFonts w:ascii="方正小标宋简体" w:hAnsi="宋体" w:eastAsia="方正小标宋简体"/>
          <w:color w:val="000000"/>
          <w:sz w:val="72"/>
          <w:szCs w:val="72"/>
        </w:rPr>
      </w:pPr>
    </w:p>
    <w:p>
      <w:pPr>
        <w:adjustRightInd w:val="0"/>
        <w:snapToGrid w:val="0"/>
        <w:spacing w:line="360" w:lineRule="auto"/>
        <w:jc w:val="center"/>
        <w:outlineLvl w:val="0"/>
        <w:rPr>
          <w:rFonts w:ascii="方正小标宋简体" w:hAnsi="宋体" w:eastAsia="方正小标宋简体"/>
          <w:color w:val="000000"/>
          <w:sz w:val="72"/>
          <w:szCs w:val="72"/>
        </w:rPr>
      </w:pPr>
      <w:bookmarkStart w:id="1" w:name="_Toc15396597"/>
      <w:bookmarkStart w:id="2" w:name="_Toc15377425"/>
      <w:bookmarkStart w:id="3" w:name="_Toc15396475"/>
      <w:bookmarkStart w:id="4" w:name="_Toc15377193"/>
      <w:bookmarkStart w:id="5" w:name="_Toc15378441"/>
      <w:r>
        <w:rPr>
          <w:rFonts w:ascii="黑体" w:hAnsi="黑体" w:eastAsia="黑体"/>
          <w:color w:val="000000"/>
          <w:sz w:val="72"/>
          <w:szCs w:val="72"/>
        </w:rPr>
        <w:t>201</w:t>
      </w:r>
      <w:r>
        <w:rPr>
          <w:rFonts w:hint="eastAsia" w:ascii="黑体" w:hAnsi="黑体" w:eastAsia="黑体"/>
          <w:color w:val="000000"/>
          <w:sz w:val="72"/>
          <w:szCs w:val="72"/>
        </w:rPr>
        <w:t>9</w:t>
      </w:r>
      <w:r>
        <w:rPr>
          <w:rFonts w:hint="eastAsia" w:ascii="方正小标宋简体" w:hAnsi="宋体" w:eastAsia="方正小标宋简体"/>
          <w:color w:val="000000"/>
          <w:sz w:val="72"/>
          <w:szCs w:val="72"/>
        </w:rPr>
        <w:t>年度</w:t>
      </w:r>
      <w:bookmarkEnd w:id="1"/>
      <w:bookmarkEnd w:id="2"/>
      <w:bookmarkEnd w:id="3"/>
      <w:bookmarkEnd w:id="4"/>
      <w:bookmarkEnd w:id="5"/>
    </w:p>
    <w:p>
      <w:pPr>
        <w:adjustRightInd w:val="0"/>
        <w:snapToGrid w:val="0"/>
        <w:spacing w:line="360" w:lineRule="auto"/>
        <w:jc w:val="center"/>
        <w:outlineLvl w:val="0"/>
        <w:rPr>
          <w:rFonts w:ascii="方正小标宋简体" w:hAnsi="宋体" w:eastAsia="方正小标宋简体"/>
          <w:color w:val="000000"/>
          <w:sz w:val="72"/>
          <w:szCs w:val="72"/>
        </w:rPr>
      </w:pPr>
      <w:bookmarkStart w:id="6" w:name="_Toc15377426"/>
      <w:bookmarkStart w:id="7" w:name="_Toc15396476"/>
      <w:bookmarkStart w:id="8" w:name="_Toc15396598"/>
      <w:bookmarkStart w:id="9" w:name="_Toc15378442"/>
      <w:bookmarkStart w:id="10" w:name="_Toc15377194"/>
      <w:r>
        <w:rPr>
          <w:rFonts w:hint="eastAsia" w:ascii="方正小标宋简体" w:hAnsi="宋体" w:eastAsia="方正小标宋简体"/>
          <w:color w:val="000000"/>
          <w:sz w:val="72"/>
          <w:szCs w:val="72"/>
        </w:rPr>
        <w:t>四川省</w:t>
      </w:r>
      <w:bookmarkEnd w:id="0"/>
      <w:bookmarkStart w:id="11" w:name="_Toc15306268"/>
      <w:r>
        <w:rPr>
          <w:rFonts w:hint="eastAsia" w:ascii="方正小标宋简体" w:hAnsi="宋体" w:eastAsia="方正小标宋简体"/>
          <w:color w:val="000000"/>
          <w:sz w:val="72"/>
          <w:szCs w:val="72"/>
          <w:lang w:eastAsia="zh-CN"/>
        </w:rPr>
        <w:t>乐至县卫生健康局</w:t>
      </w:r>
      <w:r>
        <w:rPr>
          <w:rFonts w:hint="eastAsia" w:ascii="方正小标宋简体" w:hAnsi="宋体" w:eastAsia="方正小标宋简体"/>
          <w:color w:val="000000"/>
          <w:sz w:val="72"/>
          <w:szCs w:val="72"/>
        </w:rPr>
        <w:t>部门决算</w:t>
      </w:r>
      <w:bookmarkEnd w:id="6"/>
      <w:bookmarkEnd w:id="7"/>
      <w:bookmarkEnd w:id="8"/>
      <w:bookmarkEnd w:id="9"/>
      <w:bookmarkEnd w:id="10"/>
      <w:bookmarkEnd w:id="11"/>
    </w:p>
    <w:p>
      <w:pPr>
        <w:widowControl/>
        <w:jc w:val="center"/>
        <w:rPr>
          <w:rFonts w:ascii="黑体" w:hAnsi="黑体" w:eastAsia="黑体"/>
          <w:color w:val="000000"/>
          <w:sz w:val="48"/>
          <w:szCs w:val="48"/>
        </w:rPr>
      </w:pPr>
      <w:r>
        <w:rPr>
          <w:rFonts w:ascii="方正小标宋简体" w:hAnsi="宋体" w:eastAsia="方正小标宋简体"/>
          <w:color w:val="000000"/>
          <w:sz w:val="36"/>
          <w:szCs w:val="36"/>
        </w:rPr>
        <w:br w:type="page"/>
      </w:r>
      <w:r>
        <w:rPr>
          <w:rFonts w:hint="eastAsia" w:ascii="黑体" w:hAnsi="黑体" w:eastAsia="黑体"/>
          <w:color w:val="000000"/>
          <w:sz w:val="48"/>
          <w:szCs w:val="48"/>
        </w:rPr>
        <w:t>目录</w:t>
      </w:r>
    </w:p>
    <w:p>
      <w:pPr>
        <w:widowControl/>
        <w:jc w:val="center"/>
        <w:rPr>
          <w:rFonts w:ascii="黑体" w:hAnsi="黑体" w:eastAsia="黑体" w:cstheme="minorBidi"/>
          <w:sz w:val="28"/>
          <w:szCs w:val="28"/>
        </w:rPr>
      </w:pPr>
    </w:p>
    <w:p>
      <w:pPr>
        <w:pStyle w:val="10"/>
      </w:pPr>
      <w:r>
        <w:rPr>
          <w:rFonts w:hint="eastAsia"/>
        </w:rPr>
        <w:t>公开时间：2020年9月</w:t>
      </w:r>
      <w:r>
        <w:rPr>
          <w:rFonts w:hint="eastAsia"/>
          <w:lang w:val="en-US" w:eastAsia="zh-CN"/>
        </w:rPr>
        <w:t>18</w:t>
      </w:r>
      <w:r>
        <w:rPr>
          <w:rFonts w:hint="eastAsia"/>
        </w:rPr>
        <w:t>日</w:t>
      </w:r>
    </w:p>
    <w:p/>
    <w:p>
      <w:pPr>
        <w:pStyle w:val="10"/>
        <w:rPr>
          <w:rFonts w:cstheme="minorBidi"/>
          <w:color w:val="auto"/>
          <w:u w:val="none"/>
        </w:rPr>
      </w:pPr>
      <w:bookmarkStart w:id="12" w:name="_Toc15396599"/>
      <w:bookmarkStart w:id="13" w:name="_Toc15377196"/>
      <w:r>
        <w:rPr>
          <w:color w:val="auto"/>
          <w:u w:val="none"/>
        </w:rPr>
        <w:fldChar w:fldCharType="begin"/>
      </w:r>
      <w:r>
        <w:rPr>
          <w:color w:val="auto"/>
          <w:u w:val="none"/>
        </w:rPr>
        <w:instrText xml:space="preserve"> HYPERLINK \l "_Toc15396599" </w:instrText>
      </w:r>
      <w:r>
        <w:rPr>
          <w:color w:val="auto"/>
          <w:u w:val="none"/>
        </w:rPr>
        <w:fldChar w:fldCharType="separate"/>
      </w:r>
      <w:r>
        <w:rPr>
          <w:rStyle w:val="15"/>
          <w:rFonts w:hint="eastAsia"/>
          <w:color w:val="auto"/>
          <w:u w:val="none"/>
        </w:rPr>
        <w:t>第一部分</w:t>
      </w:r>
      <w:r>
        <w:rPr>
          <w:rStyle w:val="15"/>
          <w:color w:val="auto"/>
          <w:u w:val="none"/>
        </w:rPr>
        <w:t xml:space="preserve"> </w:t>
      </w:r>
      <w:r>
        <w:rPr>
          <w:rStyle w:val="15"/>
          <w:rFonts w:hint="eastAsia"/>
          <w:color w:val="auto"/>
          <w:u w:val="none"/>
        </w:rPr>
        <w:t>部门概况</w:t>
      </w:r>
      <w:r>
        <w:rPr>
          <w:color w:val="auto"/>
          <w:u w:val="none"/>
        </w:rPr>
        <w:tab/>
      </w:r>
      <w:r>
        <w:rPr>
          <w:rFonts w:hint="eastAsia"/>
          <w:color w:val="auto"/>
          <w:u w:val="none"/>
        </w:rPr>
        <w:t>4</w:t>
      </w:r>
      <w:r>
        <w:rPr>
          <w:rFonts w:hint="eastAsia"/>
          <w:color w:val="auto"/>
          <w:u w:val="none"/>
        </w:rPr>
        <w:fldChar w:fldCharType="end"/>
      </w:r>
    </w:p>
    <w:p>
      <w:pPr>
        <w:pStyle w:val="11"/>
        <w:rPr>
          <w:rFonts w:ascii="仿宋" w:hAnsi="仿宋" w:eastAsia="仿宋" w:cstheme="minorBidi"/>
          <w:color w:val="auto"/>
          <w:sz w:val="28"/>
          <w:szCs w:val="28"/>
          <w:u w:val="none"/>
        </w:rPr>
      </w:pPr>
      <w:r>
        <w:rPr>
          <w:color w:val="auto"/>
          <w:u w:val="none"/>
        </w:rPr>
        <w:fldChar w:fldCharType="begin"/>
      </w:r>
      <w:r>
        <w:rPr>
          <w:color w:val="auto"/>
          <w:u w:val="none"/>
        </w:rPr>
        <w:instrText xml:space="preserve"> HYPERLINK \l "_Toc15396600" </w:instrText>
      </w:r>
      <w:r>
        <w:rPr>
          <w:color w:val="auto"/>
          <w:u w:val="none"/>
        </w:rPr>
        <w:fldChar w:fldCharType="separate"/>
      </w:r>
      <w:r>
        <w:rPr>
          <w:rStyle w:val="15"/>
          <w:rFonts w:hint="eastAsia" w:ascii="仿宋" w:hAnsi="仿宋" w:eastAsia="仿宋"/>
          <w:color w:val="auto"/>
          <w:sz w:val="28"/>
          <w:szCs w:val="28"/>
          <w:u w:val="none"/>
        </w:rPr>
        <w:t>一、基本职能及主要工作</w:t>
      </w:r>
      <w:r>
        <w:rPr>
          <w:rFonts w:ascii="仿宋" w:hAnsi="仿宋" w:eastAsia="仿宋"/>
          <w:color w:val="auto"/>
          <w:sz w:val="28"/>
          <w:szCs w:val="28"/>
          <w:u w:val="none"/>
        </w:rPr>
        <w:tab/>
      </w:r>
      <w:r>
        <w:rPr>
          <w:rFonts w:hint="eastAsia" w:ascii="仿宋" w:hAnsi="仿宋" w:eastAsia="仿宋"/>
          <w:color w:val="auto"/>
          <w:sz w:val="28"/>
          <w:szCs w:val="28"/>
          <w:u w:val="none"/>
        </w:rPr>
        <w:t>4</w:t>
      </w:r>
      <w:r>
        <w:rPr>
          <w:rFonts w:hint="eastAsia" w:ascii="仿宋" w:hAnsi="仿宋" w:eastAsia="仿宋"/>
          <w:color w:val="auto"/>
          <w:sz w:val="28"/>
          <w:szCs w:val="28"/>
          <w:u w:val="none"/>
        </w:rPr>
        <w:fldChar w:fldCharType="end"/>
      </w:r>
    </w:p>
    <w:p>
      <w:pPr>
        <w:pStyle w:val="11"/>
        <w:rPr>
          <w:rFonts w:ascii="仿宋" w:hAnsi="仿宋" w:eastAsia="仿宋" w:cstheme="minorBidi"/>
          <w:color w:val="auto"/>
          <w:sz w:val="28"/>
          <w:szCs w:val="28"/>
          <w:u w:val="none"/>
        </w:rPr>
      </w:pPr>
      <w:r>
        <w:rPr>
          <w:color w:val="auto"/>
          <w:u w:val="none"/>
        </w:rPr>
        <w:fldChar w:fldCharType="begin"/>
      </w:r>
      <w:r>
        <w:rPr>
          <w:color w:val="auto"/>
          <w:u w:val="none"/>
        </w:rPr>
        <w:instrText xml:space="preserve"> HYPERLINK \l "_Toc15396601" </w:instrText>
      </w:r>
      <w:r>
        <w:rPr>
          <w:color w:val="auto"/>
          <w:u w:val="none"/>
        </w:rPr>
        <w:fldChar w:fldCharType="separate"/>
      </w:r>
      <w:r>
        <w:rPr>
          <w:rStyle w:val="15"/>
          <w:rFonts w:hint="eastAsia" w:ascii="仿宋" w:hAnsi="仿宋" w:eastAsia="仿宋"/>
          <w:color w:val="auto"/>
          <w:sz w:val="28"/>
          <w:szCs w:val="28"/>
          <w:u w:val="none"/>
        </w:rPr>
        <w:t>二、机构设置</w:t>
      </w:r>
      <w:r>
        <w:rPr>
          <w:rFonts w:ascii="仿宋" w:hAnsi="仿宋" w:eastAsia="仿宋"/>
          <w:color w:val="auto"/>
          <w:sz w:val="28"/>
          <w:szCs w:val="28"/>
          <w:u w:val="none"/>
        </w:rPr>
        <w:tab/>
      </w:r>
      <w:r>
        <w:rPr>
          <w:rFonts w:hint="eastAsia" w:ascii="仿宋" w:hAnsi="仿宋" w:eastAsia="仿宋"/>
          <w:color w:val="auto"/>
          <w:sz w:val="28"/>
          <w:szCs w:val="28"/>
          <w:u w:val="none"/>
          <w:lang w:val="en-US" w:eastAsia="zh-CN"/>
        </w:rPr>
        <w:t>7</w:t>
      </w:r>
      <w:r>
        <w:rPr>
          <w:rFonts w:ascii="仿宋" w:hAnsi="仿宋" w:eastAsia="仿宋"/>
          <w:color w:val="auto"/>
          <w:sz w:val="28"/>
          <w:szCs w:val="28"/>
          <w:u w:val="none"/>
        </w:rPr>
        <w:fldChar w:fldCharType="end"/>
      </w:r>
    </w:p>
    <w:p>
      <w:pPr>
        <w:pStyle w:val="10"/>
        <w:rPr>
          <w:color w:val="auto"/>
          <w:u w:val="none"/>
        </w:rPr>
      </w:pPr>
      <w:r>
        <w:rPr>
          <w:color w:val="auto"/>
          <w:u w:val="none"/>
        </w:rPr>
        <w:fldChar w:fldCharType="begin"/>
      </w:r>
      <w:r>
        <w:rPr>
          <w:color w:val="auto"/>
          <w:u w:val="none"/>
        </w:rPr>
        <w:instrText xml:space="preserve"> HYPERLINK \l "_Toc15396602" </w:instrText>
      </w:r>
      <w:r>
        <w:rPr>
          <w:color w:val="auto"/>
          <w:u w:val="none"/>
        </w:rPr>
        <w:fldChar w:fldCharType="separate"/>
      </w:r>
      <w:r>
        <w:rPr>
          <w:rStyle w:val="15"/>
          <w:rFonts w:hint="eastAsia"/>
          <w:color w:val="auto"/>
          <w:u w:val="none"/>
        </w:rPr>
        <w:t>第二部分</w:t>
      </w:r>
      <w:r>
        <w:rPr>
          <w:rStyle w:val="15"/>
          <w:color w:val="auto"/>
          <w:u w:val="none"/>
        </w:rPr>
        <w:t xml:space="preserve"> 2018</w:t>
      </w:r>
      <w:r>
        <w:rPr>
          <w:rStyle w:val="15"/>
          <w:rFonts w:hint="eastAsia"/>
          <w:color w:val="auto"/>
          <w:u w:val="none"/>
        </w:rPr>
        <w:t>年度部门决算情况说明</w:t>
      </w:r>
      <w:r>
        <w:rPr>
          <w:color w:val="auto"/>
          <w:u w:val="none"/>
        </w:rPr>
        <w:tab/>
      </w:r>
      <w:r>
        <w:rPr>
          <w:rFonts w:hint="eastAsia"/>
          <w:color w:val="auto"/>
          <w:u w:val="none"/>
          <w:lang w:val="en-US" w:eastAsia="zh-CN"/>
        </w:rPr>
        <w:t>7</w:t>
      </w:r>
      <w:r>
        <w:rPr>
          <w:color w:val="auto"/>
          <w:u w:val="none"/>
        </w:rPr>
        <w:fldChar w:fldCharType="end"/>
      </w:r>
    </w:p>
    <w:p>
      <w:pPr>
        <w:pStyle w:val="11"/>
        <w:rPr>
          <w:rFonts w:ascii="仿宋" w:hAnsi="仿宋" w:eastAsia="仿宋" w:cstheme="minorBidi"/>
          <w:color w:val="auto"/>
          <w:sz w:val="28"/>
          <w:szCs w:val="28"/>
          <w:u w:val="none"/>
        </w:rPr>
      </w:pPr>
      <w:r>
        <w:rPr>
          <w:color w:val="auto"/>
          <w:u w:val="none"/>
        </w:rPr>
        <w:fldChar w:fldCharType="begin"/>
      </w:r>
      <w:r>
        <w:rPr>
          <w:color w:val="auto"/>
          <w:u w:val="none"/>
        </w:rPr>
        <w:instrText xml:space="preserve"> HYPERLINK \l "_Toc15396603" </w:instrText>
      </w:r>
      <w:r>
        <w:rPr>
          <w:color w:val="auto"/>
          <w:u w:val="none"/>
        </w:rPr>
        <w:fldChar w:fldCharType="separate"/>
      </w:r>
      <w:r>
        <w:rPr>
          <w:rStyle w:val="15"/>
          <w:rFonts w:hint="eastAsia" w:ascii="仿宋" w:hAnsi="仿宋" w:eastAsia="仿宋" w:cstheme="majorBidi"/>
          <w:bCs/>
          <w:color w:val="auto"/>
          <w:sz w:val="28"/>
          <w:szCs w:val="28"/>
          <w:u w:val="none"/>
        </w:rPr>
        <w:t>一、</w:t>
      </w:r>
      <w:r>
        <w:rPr>
          <w:rStyle w:val="15"/>
          <w:rFonts w:hint="eastAsia" w:ascii="仿宋" w:hAnsi="仿宋" w:eastAsia="仿宋"/>
          <w:color w:val="auto"/>
          <w:sz w:val="28"/>
          <w:szCs w:val="28"/>
          <w:u w:val="none"/>
        </w:rPr>
        <w:t>收</w:t>
      </w:r>
      <w:r>
        <w:rPr>
          <w:rStyle w:val="15"/>
          <w:rFonts w:hint="eastAsia" w:ascii="仿宋" w:hAnsi="仿宋" w:eastAsia="仿宋" w:cstheme="majorBidi"/>
          <w:bCs/>
          <w:color w:val="auto"/>
          <w:sz w:val="28"/>
          <w:szCs w:val="28"/>
          <w:u w:val="none"/>
        </w:rPr>
        <w:t>入支出决算总体情况说明</w:t>
      </w:r>
      <w:r>
        <w:rPr>
          <w:rFonts w:ascii="仿宋" w:hAnsi="仿宋" w:eastAsia="仿宋"/>
          <w:color w:val="auto"/>
          <w:sz w:val="28"/>
          <w:szCs w:val="28"/>
          <w:u w:val="none"/>
        </w:rPr>
        <w:tab/>
      </w:r>
      <w:r>
        <w:rPr>
          <w:rFonts w:hint="eastAsia" w:ascii="仿宋" w:hAnsi="仿宋" w:eastAsia="仿宋"/>
          <w:color w:val="auto"/>
          <w:sz w:val="28"/>
          <w:szCs w:val="28"/>
          <w:u w:val="none"/>
          <w:lang w:val="en-US" w:eastAsia="zh-CN"/>
        </w:rPr>
        <w:t>7</w:t>
      </w:r>
      <w:r>
        <w:rPr>
          <w:rFonts w:ascii="仿宋" w:hAnsi="仿宋" w:eastAsia="仿宋"/>
          <w:color w:val="auto"/>
          <w:sz w:val="28"/>
          <w:szCs w:val="28"/>
          <w:u w:val="none"/>
        </w:rPr>
        <w:fldChar w:fldCharType="end"/>
      </w:r>
    </w:p>
    <w:p>
      <w:pPr>
        <w:pStyle w:val="11"/>
        <w:rPr>
          <w:rFonts w:ascii="仿宋" w:hAnsi="仿宋" w:eastAsia="仿宋" w:cstheme="minorBidi"/>
          <w:color w:val="auto"/>
          <w:sz w:val="28"/>
          <w:szCs w:val="28"/>
          <w:u w:val="none"/>
        </w:rPr>
      </w:pPr>
      <w:r>
        <w:rPr>
          <w:color w:val="auto"/>
          <w:u w:val="none"/>
        </w:rPr>
        <w:fldChar w:fldCharType="begin"/>
      </w:r>
      <w:r>
        <w:rPr>
          <w:color w:val="auto"/>
          <w:u w:val="none"/>
        </w:rPr>
        <w:instrText xml:space="preserve"> HYPERLINK \l "_Toc15396604" </w:instrText>
      </w:r>
      <w:r>
        <w:rPr>
          <w:color w:val="auto"/>
          <w:u w:val="none"/>
        </w:rPr>
        <w:fldChar w:fldCharType="separate"/>
      </w:r>
      <w:r>
        <w:rPr>
          <w:rStyle w:val="15"/>
          <w:rFonts w:hint="eastAsia" w:ascii="仿宋" w:hAnsi="仿宋" w:eastAsia="仿宋" w:cstheme="majorBidi"/>
          <w:bCs/>
          <w:color w:val="auto"/>
          <w:sz w:val="28"/>
          <w:szCs w:val="28"/>
          <w:u w:val="none"/>
        </w:rPr>
        <w:t>二、</w:t>
      </w:r>
      <w:r>
        <w:rPr>
          <w:rStyle w:val="15"/>
          <w:rFonts w:hint="eastAsia" w:ascii="仿宋" w:hAnsi="仿宋" w:eastAsia="仿宋"/>
          <w:color w:val="auto"/>
          <w:sz w:val="28"/>
          <w:szCs w:val="28"/>
          <w:u w:val="none"/>
        </w:rPr>
        <w:t>收</w:t>
      </w:r>
      <w:r>
        <w:rPr>
          <w:rStyle w:val="15"/>
          <w:rFonts w:hint="eastAsia" w:ascii="仿宋" w:hAnsi="仿宋" w:eastAsia="仿宋" w:cstheme="majorBidi"/>
          <w:bCs/>
          <w:color w:val="auto"/>
          <w:sz w:val="28"/>
          <w:szCs w:val="28"/>
          <w:u w:val="none"/>
        </w:rPr>
        <w:t>入决算情况说明</w:t>
      </w:r>
      <w:r>
        <w:rPr>
          <w:rFonts w:ascii="仿宋" w:hAnsi="仿宋" w:eastAsia="仿宋"/>
          <w:color w:val="auto"/>
          <w:sz w:val="28"/>
          <w:szCs w:val="28"/>
          <w:u w:val="none"/>
        </w:rPr>
        <w:tab/>
      </w:r>
      <w:r>
        <w:rPr>
          <w:rFonts w:hint="eastAsia" w:ascii="仿宋" w:hAnsi="仿宋" w:eastAsia="仿宋"/>
          <w:color w:val="auto"/>
          <w:sz w:val="28"/>
          <w:szCs w:val="28"/>
          <w:u w:val="none"/>
          <w:lang w:val="en-US" w:eastAsia="zh-CN"/>
        </w:rPr>
        <w:t>8</w:t>
      </w:r>
      <w:r>
        <w:rPr>
          <w:rFonts w:ascii="仿宋" w:hAnsi="仿宋" w:eastAsia="仿宋"/>
          <w:color w:val="auto"/>
          <w:sz w:val="28"/>
          <w:szCs w:val="28"/>
          <w:u w:val="none"/>
        </w:rPr>
        <w:fldChar w:fldCharType="end"/>
      </w:r>
    </w:p>
    <w:p>
      <w:pPr>
        <w:pStyle w:val="11"/>
        <w:rPr>
          <w:rFonts w:ascii="仿宋" w:hAnsi="仿宋" w:eastAsia="仿宋" w:cstheme="minorBidi"/>
          <w:color w:val="auto"/>
          <w:sz w:val="28"/>
          <w:szCs w:val="28"/>
          <w:u w:val="none"/>
        </w:rPr>
      </w:pPr>
      <w:r>
        <w:rPr>
          <w:color w:val="auto"/>
          <w:u w:val="none"/>
        </w:rPr>
        <w:fldChar w:fldCharType="begin"/>
      </w:r>
      <w:r>
        <w:rPr>
          <w:color w:val="auto"/>
          <w:u w:val="none"/>
        </w:rPr>
        <w:instrText xml:space="preserve"> HYPERLINK \l "_Toc15396605" </w:instrText>
      </w:r>
      <w:r>
        <w:rPr>
          <w:color w:val="auto"/>
          <w:u w:val="none"/>
        </w:rPr>
        <w:fldChar w:fldCharType="separate"/>
      </w:r>
      <w:r>
        <w:rPr>
          <w:rStyle w:val="15"/>
          <w:rFonts w:hint="eastAsia" w:ascii="仿宋" w:hAnsi="仿宋" w:eastAsia="仿宋" w:cstheme="majorBidi"/>
          <w:bCs/>
          <w:color w:val="auto"/>
          <w:sz w:val="28"/>
          <w:szCs w:val="28"/>
          <w:u w:val="none"/>
        </w:rPr>
        <w:t>三、</w:t>
      </w:r>
      <w:r>
        <w:rPr>
          <w:rStyle w:val="15"/>
          <w:rFonts w:hint="eastAsia" w:ascii="仿宋" w:hAnsi="仿宋" w:eastAsia="仿宋"/>
          <w:color w:val="auto"/>
          <w:sz w:val="28"/>
          <w:szCs w:val="28"/>
          <w:u w:val="none"/>
        </w:rPr>
        <w:t>支</w:t>
      </w:r>
      <w:r>
        <w:rPr>
          <w:rStyle w:val="15"/>
          <w:rFonts w:hint="eastAsia" w:ascii="仿宋" w:hAnsi="仿宋" w:eastAsia="仿宋" w:cstheme="majorBidi"/>
          <w:bCs/>
          <w:color w:val="auto"/>
          <w:sz w:val="28"/>
          <w:szCs w:val="28"/>
          <w:u w:val="none"/>
        </w:rPr>
        <w:t>出决算情况说明</w:t>
      </w:r>
      <w:r>
        <w:rPr>
          <w:rFonts w:ascii="仿宋" w:hAnsi="仿宋" w:eastAsia="仿宋"/>
          <w:color w:val="auto"/>
          <w:sz w:val="28"/>
          <w:szCs w:val="28"/>
          <w:u w:val="none"/>
        </w:rPr>
        <w:tab/>
      </w:r>
      <w:r>
        <w:rPr>
          <w:rFonts w:hint="eastAsia" w:ascii="仿宋" w:hAnsi="仿宋" w:eastAsia="仿宋"/>
          <w:color w:val="auto"/>
          <w:sz w:val="28"/>
          <w:szCs w:val="28"/>
          <w:u w:val="none"/>
          <w:lang w:val="en-US" w:eastAsia="zh-CN"/>
        </w:rPr>
        <w:t>9</w:t>
      </w:r>
      <w:r>
        <w:rPr>
          <w:rFonts w:ascii="仿宋" w:hAnsi="仿宋" w:eastAsia="仿宋"/>
          <w:color w:val="auto"/>
          <w:sz w:val="28"/>
          <w:szCs w:val="28"/>
          <w:u w:val="none"/>
        </w:rPr>
        <w:fldChar w:fldCharType="end"/>
      </w:r>
    </w:p>
    <w:p>
      <w:pPr>
        <w:pStyle w:val="11"/>
        <w:rPr>
          <w:rFonts w:hint="eastAsia" w:ascii="仿宋" w:hAnsi="仿宋" w:eastAsia="仿宋" w:cstheme="minorBidi"/>
          <w:color w:val="auto"/>
          <w:sz w:val="28"/>
          <w:szCs w:val="28"/>
          <w:u w:val="none"/>
          <w:lang w:val="en-US" w:eastAsia="zh-CN"/>
        </w:rPr>
      </w:pPr>
      <w:r>
        <w:rPr>
          <w:color w:val="auto"/>
          <w:u w:val="none"/>
        </w:rPr>
        <w:fldChar w:fldCharType="begin"/>
      </w:r>
      <w:r>
        <w:rPr>
          <w:color w:val="auto"/>
          <w:u w:val="none"/>
        </w:rPr>
        <w:instrText xml:space="preserve"> HYPERLINK \l "_Toc15396606" </w:instrText>
      </w:r>
      <w:r>
        <w:rPr>
          <w:color w:val="auto"/>
          <w:u w:val="none"/>
        </w:rPr>
        <w:fldChar w:fldCharType="separate"/>
      </w:r>
      <w:r>
        <w:rPr>
          <w:rStyle w:val="15"/>
          <w:rFonts w:hint="eastAsia" w:ascii="仿宋" w:hAnsi="仿宋" w:eastAsia="仿宋"/>
          <w:color w:val="auto"/>
          <w:sz w:val="28"/>
          <w:szCs w:val="28"/>
          <w:u w:val="none"/>
        </w:rPr>
        <w:t>四、财</w:t>
      </w:r>
      <w:r>
        <w:rPr>
          <w:rStyle w:val="15"/>
          <w:rFonts w:hint="eastAsia" w:ascii="仿宋" w:hAnsi="仿宋" w:eastAsia="仿宋" w:cstheme="majorBidi"/>
          <w:bCs/>
          <w:color w:val="auto"/>
          <w:sz w:val="28"/>
          <w:szCs w:val="28"/>
          <w:u w:val="none"/>
        </w:rPr>
        <w:t>政拨款收入支出决算总体情况说明</w:t>
      </w:r>
      <w:r>
        <w:rPr>
          <w:rFonts w:ascii="仿宋" w:hAnsi="仿宋" w:eastAsia="仿宋"/>
          <w:color w:val="auto"/>
          <w:sz w:val="28"/>
          <w:szCs w:val="28"/>
          <w:u w:val="none"/>
        </w:rPr>
        <w:tab/>
      </w:r>
      <w:r>
        <w:rPr>
          <w:rFonts w:hint="eastAsia" w:ascii="仿宋" w:hAnsi="仿宋" w:eastAsia="仿宋"/>
          <w:color w:val="auto"/>
          <w:sz w:val="28"/>
          <w:szCs w:val="28"/>
          <w:u w:val="none"/>
          <w:lang w:val="en-US" w:eastAsia="zh-CN"/>
        </w:rPr>
        <w:t>1</w:t>
      </w:r>
      <w:r>
        <w:rPr>
          <w:rFonts w:ascii="仿宋" w:hAnsi="仿宋" w:eastAsia="仿宋"/>
          <w:color w:val="auto"/>
          <w:sz w:val="28"/>
          <w:szCs w:val="28"/>
          <w:u w:val="none"/>
        </w:rPr>
        <w:fldChar w:fldCharType="end"/>
      </w:r>
      <w:r>
        <w:rPr>
          <w:rFonts w:hint="eastAsia" w:ascii="仿宋" w:hAnsi="仿宋" w:eastAsia="仿宋"/>
          <w:color w:val="auto"/>
          <w:sz w:val="28"/>
          <w:szCs w:val="28"/>
          <w:u w:val="none"/>
          <w:lang w:val="en-US" w:eastAsia="zh-CN"/>
        </w:rPr>
        <w:t>0</w:t>
      </w:r>
    </w:p>
    <w:p>
      <w:pPr>
        <w:pStyle w:val="11"/>
        <w:rPr>
          <w:rFonts w:hint="eastAsia" w:ascii="仿宋" w:hAnsi="仿宋" w:eastAsia="仿宋" w:cstheme="minorBidi"/>
          <w:color w:val="auto"/>
          <w:sz w:val="28"/>
          <w:szCs w:val="28"/>
          <w:u w:val="none"/>
          <w:lang w:val="en-US" w:eastAsia="zh-CN"/>
        </w:rPr>
      </w:pPr>
      <w:r>
        <w:rPr>
          <w:color w:val="auto"/>
          <w:u w:val="none"/>
        </w:rPr>
        <w:fldChar w:fldCharType="begin"/>
      </w:r>
      <w:r>
        <w:rPr>
          <w:color w:val="auto"/>
          <w:u w:val="none"/>
        </w:rPr>
        <w:instrText xml:space="preserve"> HYPERLINK \l "_Toc15396607" </w:instrText>
      </w:r>
      <w:r>
        <w:rPr>
          <w:color w:val="auto"/>
          <w:u w:val="none"/>
        </w:rPr>
        <w:fldChar w:fldCharType="separate"/>
      </w:r>
      <w:r>
        <w:rPr>
          <w:rStyle w:val="15"/>
          <w:rFonts w:hint="eastAsia" w:ascii="仿宋" w:hAnsi="仿宋" w:eastAsia="仿宋"/>
          <w:color w:val="auto"/>
          <w:sz w:val="28"/>
          <w:szCs w:val="28"/>
          <w:u w:val="none"/>
        </w:rPr>
        <w:t>五、一</w:t>
      </w:r>
      <w:r>
        <w:rPr>
          <w:rStyle w:val="15"/>
          <w:rFonts w:hint="eastAsia" w:ascii="仿宋" w:hAnsi="仿宋" w:eastAsia="仿宋" w:cstheme="majorBidi"/>
          <w:bCs/>
          <w:color w:val="auto"/>
          <w:sz w:val="28"/>
          <w:szCs w:val="28"/>
          <w:u w:val="none"/>
        </w:rPr>
        <w:t>般公共预算财政拨款支出决算情况说明</w:t>
      </w:r>
      <w:r>
        <w:rPr>
          <w:rFonts w:ascii="仿宋" w:hAnsi="仿宋" w:eastAsia="仿宋"/>
          <w:color w:val="auto"/>
          <w:sz w:val="28"/>
          <w:szCs w:val="28"/>
          <w:u w:val="none"/>
        </w:rPr>
        <w:tab/>
      </w:r>
      <w:r>
        <w:rPr>
          <w:rFonts w:hint="eastAsia" w:ascii="仿宋" w:hAnsi="仿宋" w:eastAsia="仿宋"/>
          <w:color w:val="auto"/>
          <w:sz w:val="28"/>
          <w:szCs w:val="28"/>
          <w:u w:val="none"/>
          <w:lang w:val="en-US" w:eastAsia="zh-CN"/>
        </w:rPr>
        <w:t>1</w:t>
      </w:r>
      <w:r>
        <w:rPr>
          <w:rFonts w:ascii="仿宋" w:hAnsi="仿宋" w:eastAsia="仿宋"/>
          <w:color w:val="auto"/>
          <w:sz w:val="28"/>
          <w:szCs w:val="28"/>
          <w:u w:val="none"/>
        </w:rPr>
        <w:fldChar w:fldCharType="end"/>
      </w:r>
      <w:r>
        <w:rPr>
          <w:rFonts w:hint="eastAsia" w:ascii="仿宋" w:hAnsi="仿宋" w:eastAsia="仿宋"/>
          <w:color w:val="auto"/>
          <w:sz w:val="28"/>
          <w:szCs w:val="28"/>
          <w:u w:val="none"/>
          <w:lang w:val="en-US" w:eastAsia="zh-CN"/>
        </w:rPr>
        <w:t>0</w:t>
      </w:r>
    </w:p>
    <w:p>
      <w:pPr>
        <w:pStyle w:val="11"/>
        <w:rPr>
          <w:rFonts w:hint="eastAsia" w:ascii="仿宋" w:hAnsi="仿宋" w:eastAsia="仿宋" w:cstheme="minorBidi"/>
          <w:color w:val="auto"/>
          <w:sz w:val="28"/>
          <w:szCs w:val="28"/>
          <w:u w:val="none"/>
          <w:lang w:val="en-US" w:eastAsia="zh-CN"/>
        </w:rPr>
      </w:pPr>
      <w:r>
        <w:rPr>
          <w:color w:val="auto"/>
          <w:u w:val="none"/>
        </w:rPr>
        <w:fldChar w:fldCharType="begin"/>
      </w:r>
      <w:r>
        <w:rPr>
          <w:color w:val="auto"/>
          <w:u w:val="none"/>
        </w:rPr>
        <w:instrText xml:space="preserve"> HYPERLINK \l "_Toc15396608" </w:instrText>
      </w:r>
      <w:r>
        <w:rPr>
          <w:color w:val="auto"/>
          <w:u w:val="none"/>
        </w:rPr>
        <w:fldChar w:fldCharType="separate"/>
      </w:r>
      <w:r>
        <w:rPr>
          <w:rStyle w:val="15"/>
          <w:rFonts w:hint="eastAsia" w:ascii="仿宋" w:hAnsi="仿宋" w:eastAsia="仿宋"/>
          <w:color w:val="auto"/>
          <w:sz w:val="28"/>
          <w:szCs w:val="28"/>
          <w:u w:val="none"/>
        </w:rPr>
        <w:t>六、一</w:t>
      </w:r>
      <w:r>
        <w:rPr>
          <w:rStyle w:val="15"/>
          <w:rFonts w:hint="eastAsia" w:ascii="仿宋" w:hAnsi="仿宋" w:eastAsia="仿宋" w:cstheme="majorBidi"/>
          <w:bCs/>
          <w:color w:val="auto"/>
          <w:sz w:val="28"/>
          <w:szCs w:val="28"/>
          <w:u w:val="none"/>
        </w:rPr>
        <w:t>般公共预算财政拨款基本支出决算情况说明</w:t>
      </w:r>
      <w:r>
        <w:rPr>
          <w:rFonts w:ascii="仿宋" w:hAnsi="仿宋" w:eastAsia="仿宋"/>
          <w:color w:val="auto"/>
          <w:sz w:val="28"/>
          <w:szCs w:val="28"/>
          <w:u w:val="none"/>
        </w:rPr>
        <w:tab/>
      </w:r>
      <w:r>
        <w:rPr>
          <w:rFonts w:hint="eastAsia" w:ascii="仿宋" w:hAnsi="仿宋" w:eastAsia="仿宋"/>
          <w:color w:val="auto"/>
          <w:sz w:val="28"/>
          <w:szCs w:val="28"/>
          <w:u w:val="none"/>
          <w:lang w:val="en-US" w:eastAsia="zh-CN"/>
        </w:rPr>
        <w:t>1</w:t>
      </w:r>
      <w:r>
        <w:rPr>
          <w:rFonts w:ascii="仿宋" w:hAnsi="仿宋" w:eastAsia="仿宋"/>
          <w:color w:val="auto"/>
          <w:sz w:val="28"/>
          <w:szCs w:val="28"/>
          <w:u w:val="none"/>
        </w:rPr>
        <w:fldChar w:fldCharType="end"/>
      </w:r>
      <w:r>
        <w:rPr>
          <w:rFonts w:hint="eastAsia" w:ascii="仿宋" w:hAnsi="仿宋" w:eastAsia="仿宋"/>
          <w:color w:val="auto"/>
          <w:sz w:val="28"/>
          <w:szCs w:val="28"/>
          <w:u w:val="none"/>
          <w:lang w:val="en-US" w:eastAsia="zh-CN"/>
        </w:rPr>
        <w:t>2</w:t>
      </w:r>
    </w:p>
    <w:p>
      <w:pPr>
        <w:pStyle w:val="11"/>
        <w:rPr>
          <w:rFonts w:hint="eastAsia" w:ascii="仿宋" w:hAnsi="仿宋" w:eastAsia="仿宋" w:cstheme="minorBidi"/>
          <w:color w:val="auto"/>
          <w:sz w:val="28"/>
          <w:szCs w:val="28"/>
          <w:u w:val="none"/>
          <w:lang w:val="en-US" w:eastAsia="zh-CN"/>
        </w:rPr>
      </w:pPr>
      <w:r>
        <w:rPr>
          <w:color w:val="auto"/>
          <w:u w:val="none"/>
        </w:rPr>
        <w:fldChar w:fldCharType="begin"/>
      </w:r>
      <w:r>
        <w:rPr>
          <w:color w:val="auto"/>
          <w:u w:val="none"/>
        </w:rPr>
        <w:instrText xml:space="preserve"> HYPERLINK \l "_Toc15396609" </w:instrText>
      </w:r>
      <w:r>
        <w:rPr>
          <w:color w:val="auto"/>
          <w:u w:val="none"/>
        </w:rPr>
        <w:fldChar w:fldCharType="separate"/>
      </w:r>
      <w:r>
        <w:rPr>
          <w:rStyle w:val="15"/>
          <w:rFonts w:hint="eastAsia" w:ascii="仿宋" w:hAnsi="仿宋" w:eastAsia="仿宋"/>
          <w:color w:val="auto"/>
          <w:sz w:val="28"/>
          <w:szCs w:val="28"/>
          <w:u w:val="none"/>
        </w:rPr>
        <w:t>七、</w:t>
      </w:r>
      <w:r>
        <w:rPr>
          <w:rStyle w:val="15"/>
          <w:rFonts w:ascii="仿宋" w:hAnsi="仿宋" w:eastAsia="仿宋"/>
          <w:color w:val="auto"/>
          <w:sz w:val="28"/>
          <w:szCs w:val="28"/>
          <w:u w:val="none"/>
        </w:rPr>
        <w:t>“</w:t>
      </w:r>
      <w:r>
        <w:rPr>
          <w:rStyle w:val="15"/>
          <w:rFonts w:hint="eastAsia" w:ascii="仿宋" w:hAnsi="仿宋" w:eastAsia="仿宋" w:cstheme="majorBidi"/>
          <w:bCs/>
          <w:color w:val="auto"/>
          <w:sz w:val="28"/>
          <w:szCs w:val="28"/>
          <w:u w:val="none"/>
        </w:rPr>
        <w:t>三公”经费财政拨款支出决算情况说明</w:t>
      </w:r>
      <w:r>
        <w:rPr>
          <w:rFonts w:ascii="仿宋" w:hAnsi="仿宋" w:eastAsia="仿宋"/>
          <w:color w:val="auto"/>
          <w:sz w:val="28"/>
          <w:szCs w:val="28"/>
          <w:u w:val="none"/>
        </w:rPr>
        <w:tab/>
      </w:r>
      <w:r>
        <w:rPr>
          <w:rFonts w:hint="eastAsia" w:ascii="仿宋" w:hAnsi="仿宋" w:eastAsia="仿宋"/>
          <w:color w:val="auto"/>
          <w:sz w:val="28"/>
          <w:szCs w:val="28"/>
          <w:u w:val="none"/>
          <w:lang w:val="en-US" w:eastAsia="zh-CN"/>
        </w:rPr>
        <w:t>1</w:t>
      </w:r>
      <w:r>
        <w:rPr>
          <w:rFonts w:ascii="仿宋" w:hAnsi="仿宋" w:eastAsia="仿宋"/>
          <w:color w:val="auto"/>
          <w:sz w:val="28"/>
          <w:szCs w:val="28"/>
          <w:u w:val="none"/>
        </w:rPr>
        <w:fldChar w:fldCharType="end"/>
      </w:r>
      <w:r>
        <w:rPr>
          <w:rFonts w:hint="eastAsia" w:ascii="仿宋" w:hAnsi="仿宋" w:eastAsia="仿宋"/>
          <w:color w:val="auto"/>
          <w:sz w:val="28"/>
          <w:szCs w:val="28"/>
          <w:u w:val="none"/>
          <w:lang w:val="en-US" w:eastAsia="zh-CN"/>
        </w:rPr>
        <w:t>3</w:t>
      </w:r>
    </w:p>
    <w:p>
      <w:pPr>
        <w:pStyle w:val="11"/>
        <w:rPr>
          <w:rFonts w:hint="eastAsia" w:ascii="仿宋" w:hAnsi="仿宋" w:eastAsia="仿宋" w:cstheme="minorBidi"/>
          <w:color w:val="auto"/>
          <w:sz w:val="28"/>
          <w:szCs w:val="28"/>
          <w:u w:val="none"/>
          <w:lang w:val="en-US" w:eastAsia="zh-CN"/>
        </w:rPr>
      </w:pPr>
      <w:r>
        <w:rPr>
          <w:color w:val="auto"/>
          <w:u w:val="none"/>
        </w:rPr>
        <w:fldChar w:fldCharType="begin"/>
      </w:r>
      <w:r>
        <w:rPr>
          <w:color w:val="auto"/>
          <w:u w:val="none"/>
        </w:rPr>
        <w:instrText xml:space="preserve"> HYPERLINK \l "_Toc15396610" </w:instrText>
      </w:r>
      <w:r>
        <w:rPr>
          <w:color w:val="auto"/>
          <w:u w:val="none"/>
        </w:rPr>
        <w:fldChar w:fldCharType="separate"/>
      </w:r>
      <w:r>
        <w:rPr>
          <w:rStyle w:val="15"/>
          <w:rFonts w:hint="eastAsia" w:ascii="仿宋" w:hAnsi="仿宋" w:eastAsia="仿宋"/>
          <w:color w:val="auto"/>
          <w:sz w:val="28"/>
          <w:szCs w:val="28"/>
          <w:u w:val="none"/>
        </w:rPr>
        <w:t>八、</w:t>
      </w:r>
      <w:r>
        <w:rPr>
          <w:rStyle w:val="15"/>
          <w:rFonts w:hint="eastAsia" w:ascii="仿宋" w:hAnsi="仿宋" w:eastAsia="仿宋" w:cstheme="majorBidi"/>
          <w:bCs/>
          <w:color w:val="auto"/>
          <w:sz w:val="28"/>
          <w:szCs w:val="28"/>
          <w:u w:val="none"/>
        </w:rPr>
        <w:t>政府性基金预算支出决算情况说明</w:t>
      </w:r>
      <w:r>
        <w:rPr>
          <w:rFonts w:ascii="仿宋" w:hAnsi="仿宋" w:eastAsia="仿宋"/>
          <w:color w:val="auto"/>
          <w:sz w:val="28"/>
          <w:szCs w:val="28"/>
          <w:u w:val="none"/>
        </w:rPr>
        <w:tab/>
      </w:r>
      <w:r>
        <w:rPr>
          <w:rFonts w:hint="eastAsia" w:ascii="仿宋" w:hAnsi="仿宋" w:eastAsia="仿宋"/>
          <w:color w:val="auto"/>
          <w:sz w:val="28"/>
          <w:szCs w:val="28"/>
          <w:u w:val="none"/>
          <w:lang w:val="en-US" w:eastAsia="zh-CN"/>
        </w:rPr>
        <w:t>1</w:t>
      </w:r>
      <w:r>
        <w:rPr>
          <w:rFonts w:ascii="仿宋" w:hAnsi="仿宋" w:eastAsia="仿宋"/>
          <w:color w:val="auto"/>
          <w:sz w:val="28"/>
          <w:szCs w:val="28"/>
          <w:u w:val="none"/>
        </w:rPr>
        <w:fldChar w:fldCharType="end"/>
      </w:r>
      <w:r>
        <w:rPr>
          <w:rFonts w:hint="eastAsia" w:ascii="仿宋" w:hAnsi="仿宋" w:eastAsia="仿宋"/>
          <w:color w:val="auto"/>
          <w:sz w:val="28"/>
          <w:szCs w:val="28"/>
          <w:u w:val="none"/>
          <w:lang w:val="en-US" w:eastAsia="zh-CN"/>
        </w:rPr>
        <w:t>5</w:t>
      </w:r>
    </w:p>
    <w:p>
      <w:pPr>
        <w:pStyle w:val="11"/>
        <w:rPr>
          <w:rFonts w:hint="eastAsia" w:eastAsia="仿宋"/>
          <w:color w:val="auto"/>
          <w:u w:val="none"/>
          <w:lang w:val="en-US" w:eastAsia="zh-CN"/>
        </w:rPr>
      </w:pPr>
      <w:r>
        <w:rPr>
          <w:color w:val="auto"/>
          <w:u w:val="none"/>
        </w:rPr>
        <w:fldChar w:fldCharType="begin"/>
      </w:r>
      <w:r>
        <w:rPr>
          <w:color w:val="auto"/>
          <w:u w:val="none"/>
        </w:rPr>
        <w:instrText xml:space="preserve"> HYPERLINK \l "_Toc15396611" </w:instrText>
      </w:r>
      <w:r>
        <w:rPr>
          <w:color w:val="auto"/>
          <w:u w:val="none"/>
        </w:rPr>
        <w:fldChar w:fldCharType="separate"/>
      </w:r>
      <w:r>
        <w:rPr>
          <w:rStyle w:val="15"/>
          <w:rFonts w:hint="eastAsia" w:ascii="仿宋" w:hAnsi="仿宋" w:eastAsia="仿宋" w:cstheme="majorBidi"/>
          <w:bCs/>
          <w:color w:val="auto"/>
          <w:sz w:val="28"/>
          <w:szCs w:val="28"/>
          <w:u w:val="none"/>
        </w:rPr>
        <w:t>九、</w:t>
      </w:r>
      <w:r>
        <w:rPr>
          <w:rStyle w:val="15"/>
          <w:rFonts w:hint="eastAsia" w:ascii="仿宋" w:hAnsi="仿宋" w:eastAsia="仿宋"/>
          <w:color w:val="auto"/>
          <w:sz w:val="28"/>
          <w:szCs w:val="28"/>
          <w:u w:val="none"/>
        </w:rPr>
        <w:t xml:space="preserve"> 国</w:t>
      </w:r>
      <w:r>
        <w:rPr>
          <w:rStyle w:val="15"/>
          <w:rFonts w:hint="eastAsia" w:ascii="仿宋" w:hAnsi="仿宋" w:eastAsia="仿宋" w:cstheme="majorBidi"/>
          <w:bCs/>
          <w:color w:val="auto"/>
          <w:sz w:val="28"/>
          <w:szCs w:val="28"/>
          <w:u w:val="none"/>
        </w:rPr>
        <w:t>有资本经营预算支出决算情况说明</w:t>
      </w:r>
      <w:r>
        <w:rPr>
          <w:rFonts w:ascii="仿宋" w:hAnsi="仿宋" w:eastAsia="仿宋"/>
          <w:color w:val="auto"/>
          <w:sz w:val="28"/>
          <w:szCs w:val="28"/>
          <w:u w:val="none"/>
        </w:rPr>
        <w:tab/>
      </w:r>
      <w:r>
        <w:rPr>
          <w:rFonts w:hint="eastAsia" w:ascii="仿宋" w:hAnsi="仿宋" w:eastAsia="仿宋"/>
          <w:color w:val="auto"/>
          <w:sz w:val="28"/>
          <w:szCs w:val="28"/>
          <w:u w:val="none"/>
          <w:lang w:val="en-US" w:eastAsia="zh-CN"/>
        </w:rPr>
        <w:t>1</w:t>
      </w:r>
      <w:r>
        <w:rPr>
          <w:rFonts w:ascii="仿宋" w:hAnsi="仿宋" w:eastAsia="仿宋"/>
          <w:color w:val="auto"/>
          <w:sz w:val="28"/>
          <w:szCs w:val="28"/>
          <w:u w:val="none"/>
        </w:rPr>
        <w:fldChar w:fldCharType="end"/>
      </w:r>
      <w:r>
        <w:rPr>
          <w:rFonts w:hint="eastAsia" w:ascii="仿宋" w:hAnsi="仿宋" w:eastAsia="仿宋"/>
          <w:color w:val="auto"/>
          <w:sz w:val="28"/>
          <w:szCs w:val="28"/>
          <w:u w:val="none"/>
          <w:lang w:val="en-US" w:eastAsia="zh-CN"/>
        </w:rPr>
        <w:t>5</w:t>
      </w:r>
    </w:p>
    <w:p>
      <w:pPr>
        <w:rPr>
          <w:rFonts w:hint="default" w:ascii="仿宋" w:hAnsi="仿宋" w:eastAsia="仿宋"/>
          <w:color w:val="auto"/>
          <w:sz w:val="28"/>
          <w:szCs w:val="28"/>
          <w:u w:val="none"/>
          <w:lang w:val="en-US" w:eastAsia="zh-CN"/>
        </w:rPr>
      </w:pPr>
      <w:r>
        <w:rPr>
          <w:rFonts w:hint="eastAsia"/>
          <w:color w:val="auto"/>
          <w:u w:val="none"/>
        </w:rPr>
        <w:t xml:space="preserve">   </w:t>
      </w:r>
      <w:r>
        <w:rPr>
          <w:rFonts w:hint="eastAsia" w:ascii="仿宋" w:hAnsi="仿宋" w:eastAsia="仿宋"/>
          <w:color w:val="auto"/>
          <w:sz w:val="28"/>
          <w:szCs w:val="28"/>
          <w:u w:val="none"/>
        </w:rPr>
        <w:t xml:space="preserve"> 十、预算绩效情况说明</w:t>
      </w:r>
      <w:r>
        <w:rPr>
          <w:rFonts w:ascii="仿宋" w:hAnsi="仿宋" w:eastAsia="仿宋"/>
          <w:color w:val="auto"/>
          <w:sz w:val="28"/>
          <w:szCs w:val="28"/>
          <w:u w:val="none"/>
        </w:rPr>
        <w:t>……………………………………………</w:t>
      </w:r>
      <w:r>
        <w:rPr>
          <w:rFonts w:hint="eastAsia" w:ascii="仿宋" w:hAnsi="仿宋" w:eastAsia="仿宋"/>
          <w:color w:val="auto"/>
          <w:sz w:val="28"/>
          <w:szCs w:val="28"/>
          <w:u w:val="none"/>
          <w:lang w:val="en-US" w:eastAsia="zh-CN"/>
        </w:rPr>
        <w:t>15</w:t>
      </w:r>
    </w:p>
    <w:p>
      <w:pPr>
        <w:pStyle w:val="11"/>
        <w:rPr>
          <w:rFonts w:hint="eastAsia" w:ascii="仿宋" w:hAnsi="仿宋" w:eastAsia="仿宋" w:cstheme="minorBidi"/>
          <w:color w:val="auto"/>
          <w:sz w:val="28"/>
          <w:szCs w:val="28"/>
          <w:u w:val="none"/>
          <w:lang w:val="en-US" w:eastAsia="zh-CN"/>
        </w:rPr>
      </w:pPr>
      <w:r>
        <w:rPr>
          <w:color w:val="auto"/>
          <w:u w:val="none"/>
        </w:rPr>
        <w:fldChar w:fldCharType="begin"/>
      </w:r>
      <w:r>
        <w:rPr>
          <w:color w:val="auto"/>
          <w:u w:val="none"/>
        </w:rPr>
        <w:instrText xml:space="preserve"> HYPERLINK \l "_Toc15396612" </w:instrText>
      </w:r>
      <w:r>
        <w:rPr>
          <w:color w:val="auto"/>
          <w:u w:val="none"/>
        </w:rPr>
        <w:fldChar w:fldCharType="separate"/>
      </w:r>
      <w:r>
        <w:rPr>
          <w:rStyle w:val="15"/>
          <w:rFonts w:hint="eastAsia" w:ascii="仿宋" w:hAnsi="仿宋" w:eastAsia="仿宋"/>
          <w:color w:val="auto"/>
          <w:sz w:val="28"/>
          <w:szCs w:val="28"/>
          <w:u w:val="none"/>
        </w:rPr>
        <w:t>十</w:t>
      </w:r>
      <w:r>
        <w:rPr>
          <w:rStyle w:val="15"/>
          <w:rFonts w:hint="eastAsia" w:ascii="仿宋" w:hAnsi="仿宋" w:eastAsia="仿宋" w:cstheme="majorBidi"/>
          <w:bCs/>
          <w:color w:val="auto"/>
          <w:sz w:val="28"/>
          <w:szCs w:val="28"/>
          <w:u w:val="none"/>
        </w:rPr>
        <w:t>一、其他重要事项的情况说明</w:t>
      </w:r>
      <w:r>
        <w:rPr>
          <w:rFonts w:ascii="仿宋" w:hAnsi="仿宋" w:eastAsia="仿宋"/>
          <w:color w:val="auto"/>
          <w:sz w:val="28"/>
          <w:szCs w:val="28"/>
          <w:u w:val="none"/>
        </w:rPr>
        <w:tab/>
      </w:r>
      <w:r>
        <w:rPr>
          <w:rFonts w:hint="eastAsia" w:ascii="仿宋" w:hAnsi="仿宋" w:eastAsia="仿宋"/>
          <w:color w:val="auto"/>
          <w:sz w:val="28"/>
          <w:szCs w:val="28"/>
          <w:u w:val="none"/>
          <w:lang w:val="en-US" w:eastAsia="zh-CN"/>
        </w:rPr>
        <w:t>1</w:t>
      </w:r>
      <w:r>
        <w:rPr>
          <w:rFonts w:ascii="仿宋" w:hAnsi="仿宋" w:eastAsia="仿宋"/>
          <w:color w:val="auto"/>
          <w:sz w:val="28"/>
          <w:szCs w:val="28"/>
          <w:u w:val="none"/>
        </w:rPr>
        <w:fldChar w:fldCharType="end"/>
      </w:r>
      <w:r>
        <w:rPr>
          <w:rFonts w:hint="eastAsia" w:ascii="仿宋" w:hAnsi="仿宋" w:eastAsia="仿宋"/>
          <w:color w:val="auto"/>
          <w:sz w:val="28"/>
          <w:szCs w:val="28"/>
          <w:u w:val="none"/>
          <w:lang w:val="en-US" w:eastAsia="zh-CN"/>
        </w:rPr>
        <w:t>5</w:t>
      </w:r>
    </w:p>
    <w:p>
      <w:pPr>
        <w:pStyle w:val="10"/>
        <w:rPr>
          <w:rFonts w:hint="eastAsia" w:eastAsia="仿宋" w:cstheme="minorBidi"/>
          <w:color w:val="auto"/>
          <w:u w:val="none"/>
          <w:lang w:val="en-US" w:eastAsia="zh-CN"/>
        </w:rPr>
      </w:pPr>
      <w:r>
        <w:rPr>
          <w:color w:val="auto"/>
          <w:u w:val="none"/>
        </w:rPr>
        <w:fldChar w:fldCharType="begin"/>
      </w:r>
      <w:r>
        <w:rPr>
          <w:color w:val="auto"/>
          <w:u w:val="none"/>
        </w:rPr>
        <w:instrText xml:space="preserve"> HYPERLINK \l "_Toc15396613" </w:instrText>
      </w:r>
      <w:r>
        <w:rPr>
          <w:color w:val="auto"/>
          <w:u w:val="none"/>
        </w:rPr>
        <w:fldChar w:fldCharType="separate"/>
      </w:r>
      <w:r>
        <w:rPr>
          <w:rStyle w:val="15"/>
          <w:rFonts w:hint="eastAsia"/>
          <w:bCs/>
          <w:color w:val="auto"/>
          <w:kern w:val="44"/>
          <w:u w:val="none"/>
        </w:rPr>
        <w:t>第三部分</w:t>
      </w:r>
      <w:r>
        <w:rPr>
          <w:rStyle w:val="15"/>
          <w:rFonts w:hint="eastAsia"/>
          <w:color w:val="auto"/>
          <w:u w:val="none"/>
        </w:rPr>
        <w:t xml:space="preserve"> 名</w:t>
      </w:r>
      <w:r>
        <w:rPr>
          <w:rStyle w:val="15"/>
          <w:rFonts w:hint="eastAsia"/>
          <w:bCs/>
          <w:color w:val="auto"/>
          <w:kern w:val="44"/>
          <w:u w:val="none"/>
        </w:rPr>
        <w:t>词解释</w:t>
      </w:r>
      <w:r>
        <w:rPr>
          <w:color w:val="auto"/>
          <w:u w:val="none"/>
        </w:rPr>
        <w:tab/>
      </w:r>
      <w:r>
        <w:rPr>
          <w:rFonts w:hint="eastAsia"/>
          <w:color w:val="auto"/>
          <w:u w:val="none"/>
          <w:lang w:val="en-US" w:eastAsia="zh-CN"/>
        </w:rPr>
        <w:t>21</w:t>
      </w:r>
      <w:r>
        <w:rPr>
          <w:color w:val="auto"/>
          <w:u w:val="none"/>
        </w:rPr>
        <w:fldChar w:fldCharType="end"/>
      </w:r>
    </w:p>
    <w:p>
      <w:pPr>
        <w:pStyle w:val="10"/>
        <w:rPr>
          <w:rFonts w:hint="eastAsia" w:eastAsia="仿宋" w:cstheme="minorBidi"/>
          <w:color w:val="auto"/>
          <w:u w:val="none"/>
          <w:lang w:val="en-US" w:eastAsia="zh-CN"/>
        </w:rPr>
      </w:pPr>
      <w:r>
        <w:rPr>
          <w:color w:val="auto"/>
          <w:u w:val="none"/>
        </w:rPr>
        <w:fldChar w:fldCharType="begin"/>
      </w:r>
      <w:r>
        <w:rPr>
          <w:color w:val="auto"/>
          <w:u w:val="none"/>
        </w:rPr>
        <w:instrText xml:space="preserve"> HYPERLINK \l "_Toc15396618" </w:instrText>
      </w:r>
      <w:r>
        <w:rPr>
          <w:color w:val="auto"/>
          <w:u w:val="none"/>
        </w:rPr>
        <w:fldChar w:fldCharType="separate"/>
      </w:r>
      <w:r>
        <w:rPr>
          <w:rStyle w:val="15"/>
          <w:rFonts w:hint="eastAsia"/>
          <w:color w:val="auto"/>
          <w:u w:val="none"/>
        </w:rPr>
        <w:t>第</w:t>
      </w:r>
      <w:r>
        <w:rPr>
          <w:rStyle w:val="15"/>
          <w:rFonts w:hint="eastAsia"/>
          <w:bCs/>
          <w:color w:val="auto"/>
          <w:kern w:val="44"/>
          <w:u w:val="none"/>
          <w:lang w:eastAsia="zh-CN"/>
        </w:rPr>
        <w:t>四</w:t>
      </w:r>
      <w:r>
        <w:rPr>
          <w:rStyle w:val="15"/>
          <w:rFonts w:hint="eastAsia"/>
          <w:bCs/>
          <w:color w:val="auto"/>
          <w:kern w:val="44"/>
          <w:u w:val="none"/>
        </w:rPr>
        <w:t>部分</w:t>
      </w:r>
      <w:r>
        <w:rPr>
          <w:rStyle w:val="15"/>
          <w:bCs/>
          <w:color w:val="auto"/>
          <w:kern w:val="44"/>
          <w:u w:val="none"/>
        </w:rPr>
        <w:t xml:space="preserve"> </w:t>
      </w:r>
      <w:r>
        <w:rPr>
          <w:rStyle w:val="15"/>
          <w:rFonts w:hint="eastAsia"/>
          <w:bCs/>
          <w:color w:val="auto"/>
          <w:kern w:val="44"/>
          <w:u w:val="none"/>
        </w:rPr>
        <w:t>附表</w:t>
      </w:r>
      <w:r>
        <w:rPr>
          <w:color w:val="auto"/>
          <w:u w:val="none"/>
        </w:rPr>
        <w:tab/>
      </w:r>
      <w:r>
        <w:rPr>
          <w:rFonts w:hint="eastAsia"/>
          <w:color w:val="auto"/>
          <w:u w:val="none"/>
          <w:lang w:val="en-US" w:eastAsia="zh-CN"/>
        </w:rPr>
        <w:t>2</w:t>
      </w:r>
      <w:r>
        <w:rPr>
          <w:color w:val="auto"/>
          <w:u w:val="none"/>
        </w:rPr>
        <w:fldChar w:fldCharType="end"/>
      </w:r>
      <w:r>
        <w:rPr>
          <w:rFonts w:hint="eastAsia"/>
          <w:color w:val="auto"/>
          <w:u w:val="none"/>
          <w:lang w:val="en-US" w:eastAsia="zh-CN"/>
        </w:rPr>
        <w:t>5</w:t>
      </w:r>
    </w:p>
    <w:p>
      <w:pPr>
        <w:pStyle w:val="11"/>
        <w:rPr>
          <w:rFonts w:hint="eastAsia" w:ascii="仿宋" w:hAnsi="仿宋" w:eastAsia="仿宋" w:cstheme="minorBidi"/>
          <w:color w:val="auto"/>
          <w:sz w:val="28"/>
          <w:szCs w:val="28"/>
          <w:u w:val="none"/>
          <w:lang w:val="en-US" w:eastAsia="zh-CN"/>
        </w:rPr>
      </w:pPr>
      <w:r>
        <w:rPr>
          <w:rFonts w:hint="eastAsia" w:ascii="仿宋" w:hAnsi="仿宋" w:eastAsia="仿宋"/>
          <w:color w:val="auto"/>
          <w:sz w:val="28"/>
          <w:szCs w:val="28"/>
          <w:u w:val="none"/>
        </w:rPr>
        <w:t>一、</w:t>
      </w:r>
      <w:r>
        <w:rPr>
          <w:color w:val="auto"/>
          <w:u w:val="none"/>
        </w:rPr>
        <w:fldChar w:fldCharType="begin"/>
      </w:r>
      <w:r>
        <w:rPr>
          <w:color w:val="auto"/>
          <w:u w:val="none"/>
        </w:rPr>
        <w:instrText xml:space="preserve"> HYPERLINK \l "_Toc15396619" </w:instrText>
      </w:r>
      <w:r>
        <w:rPr>
          <w:color w:val="auto"/>
          <w:u w:val="none"/>
        </w:rPr>
        <w:fldChar w:fldCharType="separate"/>
      </w:r>
      <w:r>
        <w:rPr>
          <w:rStyle w:val="15"/>
          <w:rFonts w:hint="eastAsia" w:ascii="仿宋" w:hAnsi="仿宋" w:eastAsia="仿宋"/>
          <w:color w:val="auto"/>
          <w:sz w:val="28"/>
          <w:szCs w:val="28"/>
          <w:u w:val="none"/>
        </w:rPr>
        <w:t>收入支出决算总表</w:t>
      </w:r>
      <w:r>
        <w:rPr>
          <w:rFonts w:ascii="仿宋" w:hAnsi="仿宋" w:eastAsia="仿宋"/>
          <w:color w:val="auto"/>
          <w:sz w:val="28"/>
          <w:szCs w:val="28"/>
          <w:u w:val="none"/>
        </w:rPr>
        <w:tab/>
      </w:r>
      <w:r>
        <w:rPr>
          <w:rFonts w:hint="eastAsia" w:ascii="仿宋" w:hAnsi="仿宋" w:eastAsia="仿宋"/>
          <w:color w:val="auto"/>
          <w:sz w:val="28"/>
          <w:szCs w:val="28"/>
          <w:u w:val="none"/>
          <w:lang w:val="en-US" w:eastAsia="zh-CN"/>
        </w:rPr>
        <w:t>2</w:t>
      </w:r>
      <w:r>
        <w:rPr>
          <w:rFonts w:ascii="仿宋" w:hAnsi="仿宋" w:eastAsia="仿宋"/>
          <w:color w:val="auto"/>
          <w:sz w:val="28"/>
          <w:szCs w:val="28"/>
          <w:u w:val="none"/>
        </w:rPr>
        <w:fldChar w:fldCharType="end"/>
      </w:r>
      <w:r>
        <w:rPr>
          <w:rFonts w:hint="eastAsia" w:ascii="仿宋" w:hAnsi="仿宋" w:eastAsia="仿宋"/>
          <w:color w:val="auto"/>
          <w:sz w:val="28"/>
          <w:szCs w:val="28"/>
          <w:u w:val="none"/>
          <w:lang w:val="en-US" w:eastAsia="zh-CN"/>
        </w:rPr>
        <w:t>5</w:t>
      </w:r>
    </w:p>
    <w:p>
      <w:pPr>
        <w:pStyle w:val="11"/>
        <w:rPr>
          <w:rFonts w:hint="eastAsia" w:ascii="仿宋" w:hAnsi="仿宋" w:eastAsia="仿宋" w:cstheme="minorBidi"/>
          <w:color w:val="auto"/>
          <w:sz w:val="28"/>
          <w:szCs w:val="28"/>
          <w:u w:val="none"/>
          <w:lang w:val="en-US" w:eastAsia="zh-CN"/>
        </w:rPr>
      </w:pPr>
      <w:r>
        <w:rPr>
          <w:rFonts w:hint="eastAsia" w:ascii="仿宋" w:hAnsi="仿宋" w:eastAsia="仿宋"/>
          <w:color w:val="auto"/>
          <w:sz w:val="28"/>
          <w:szCs w:val="28"/>
          <w:u w:val="none"/>
        </w:rPr>
        <w:t>二、</w:t>
      </w:r>
      <w:r>
        <w:rPr>
          <w:color w:val="auto"/>
          <w:u w:val="none"/>
        </w:rPr>
        <w:fldChar w:fldCharType="begin"/>
      </w:r>
      <w:r>
        <w:rPr>
          <w:color w:val="auto"/>
          <w:u w:val="none"/>
        </w:rPr>
        <w:instrText xml:space="preserve"> HYPERLINK \l "_Toc15396620" </w:instrText>
      </w:r>
      <w:r>
        <w:rPr>
          <w:color w:val="auto"/>
          <w:u w:val="none"/>
        </w:rPr>
        <w:fldChar w:fldCharType="separate"/>
      </w:r>
      <w:r>
        <w:rPr>
          <w:rStyle w:val="15"/>
          <w:rFonts w:hint="eastAsia" w:ascii="仿宋" w:hAnsi="仿宋" w:eastAsia="仿宋"/>
          <w:color w:val="auto"/>
          <w:sz w:val="28"/>
          <w:szCs w:val="28"/>
          <w:u w:val="none"/>
        </w:rPr>
        <w:t>收入总表</w:t>
      </w:r>
      <w:r>
        <w:rPr>
          <w:rFonts w:ascii="仿宋" w:hAnsi="仿宋" w:eastAsia="仿宋"/>
          <w:color w:val="auto"/>
          <w:sz w:val="28"/>
          <w:szCs w:val="28"/>
          <w:u w:val="none"/>
        </w:rPr>
        <w:tab/>
      </w:r>
      <w:r>
        <w:rPr>
          <w:rFonts w:hint="eastAsia" w:ascii="仿宋" w:hAnsi="仿宋" w:eastAsia="仿宋"/>
          <w:color w:val="auto"/>
          <w:sz w:val="28"/>
          <w:szCs w:val="28"/>
          <w:u w:val="none"/>
          <w:lang w:val="en-US" w:eastAsia="zh-CN"/>
        </w:rPr>
        <w:t>2</w:t>
      </w:r>
      <w:r>
        <w:rPr>
          <w:rFonts w:ascii="仿宋" w:hAnsi="仿宋" w:eastAsia="仿宋"/>
          <w:color w:val="auto"/>
          <w:sz w:val="28"/>
          <w:szCs w:val="28"/>
          <w:u w:val="none"/>
        </w:rPr>
        <w:fldChar w:fldCharType="end"/>
      </w:r>
      <w:r>
        <w:rPr>
          <w:rFonts w:hint="eastAsia" w:ascii="仿宋" w:hAnsi="仿宋" w:eastAsia="仿宋"/>
          <w:color w:val="auto"/>
          <w:sz w:val="28"/>
          <w:szCs w:val="28"/>
          <w:u w:val="none"/>
          <w:lang w:val="en-US" w:eastAsia="zh-CN"/>
        </w:rPr>
        <w:t>5</w:t>
      </w:r>
    </w:p>
    <w:p>
      <w:pPr>
        <w:pStyle w:val="11"/>
        <w:rPr>
          <w:rFonts w:hint="eastAsia" w:ascii="仿宋" w:hAnsi="仿宋" w:eastAsia="仿宋" w:cstheme="minorBidi"/>
          <w:color w:val="auto"/>
          <w:sz w:val="28"/>
          <w:szCs w:val="28"/>
          <w:u w:val="none"/>
          <w:lang w:val="en-US" w:eastAsia="zh-CN"/>
        </w:rPr>
      </w:pPr>
      <w:r>
        <w:rPr>
          <w:rFonts w:hint="eastAsia" w:ascii="仿宋" w:hAnsi="仿宋" w:eastAsia="仿宋"/>
          <w:color w:val="auto"/>
          <w:sz w:val="28"/>
          <w:szCs w:val="28"/>
          <w:u w:val="none"/>
        </w:rPr>
        <w:t>三、</w:t>
      </w:r>
      <w:r>
        <w:rPr>
          <w:color w:val="auto"/>
          <w:u w:val="none"/>
        </w:rPr>
        <w:fldChar w:fldCharType="begin"/>
      </w:r>
      <w:r>
        <w:rPr>
          <w:color w:val="auto"/>
          <w:u w:val="none"/>
        </w:rPr>
        <w:instrText xml:space="preserve"> HYPERLINK \l "_Toc15396621" </w:instrText>
      </w:r>
      <w:r>
        <w:rPr>
          <w:color w:val="auto"/>
          <w:u w:val="none"/>
        </w:rPr>
        <w:fldChar w:fldCharType="separate"/>
      </w:r>
      <w:r>
        <w:rPr>
          <w:rStyle w:val="15"/>
          <w:rFonts w:hint="eastAsia" w:ascii="仿宋" w:hAnsi="仿宋" w:eastAsia="仿宋"/>
          <w:color w:val="auto"/>
          <w:sz w:val="28"/>
          <w:szCs w:val="28"/>
          <w:u w:val="none"/>
        </w:rPr>
        <w:t>支出总表</w:t>
      </w:r>
      <w:r>
        <w:rPr>
          <w:rFonts w:ascii="仿宋" w:hAnsi="仿宋" w:eastAsia="仿宋"/>
          <w:color w:val="auto"/>
          <w:sz w:val="28"/>
          <w:szCs w:val="28"/>
          <w:u w:val="none"/>
        </w:rPr>
        <w:tab/>
      </w:r>
      <w:r>
        <w:rPr>
          <w:rFonts w:hint="eastAsia" w:ascii="仿宋" w:hAnsi="仿宋" w:eastAsia="仿宋"/>
          <w:color w:val="auto"/>
          <w:sz w:val="28"/>
          <w:szCs w:val="28"/>
          <w:u w:val="none"/>
          <w:lang w:val="en-US" w:eastAsia="zh-CN"/>
        </w:rPr>
        <w:t>2</w:t>
      </w:r>
      <w:r>
        <w:rPr>
          <w:rFonts w:ascii="仿宋" w:hAnsi="仿宋" w:eastAsia="仿宋"/>
          <w:color w:val="auto"/>
          <w:sz w:val="28"/>
          <w:szCs w:val="28"/>
          <w:u w:val="none"/>
        </w:rPr>
        <w:fldChar w:fldCharType="end"/>
      </w:r>
      <w:r>
        <w:rPr>
          <w:rFonts w:hint="eastAsia" w:ascii="仿宋" w:hAnsi="仿宋" w:eastAsia="仿宋"/>
          <w:color w:val="auto"/>
          <w:sz w:val="28"/>
          <w:szCs w:val="28"/>
          <w:u w:val="none"/>
          <w:lang w:val="en-US" w:eastAsia="zh-CN"/>
        </w:rPr>
        <w:t>5</w:t>
      </w:r>
    </w:p>
    <w:p>
      <w:pPr>
        <w:pStyle w:val="11"/>
        <w:rPr>
          <w:rFonts w:hint="eastAsia" w:ascii="仿宋" w:hAnsi="仿宋" w:eastAsia="仿宋" w:cstheme="minorBidi"/>
          <w:color w:val="auto"/>
          <w:sz w:val="28"/>
          <w:szCs w:val="28"/>
          <w:u w:val="none"/>
          <w:lang w:val="en-US" w:eastAsia="zh-CN"/>
        </w:rPr>
      </w:pPr>
      <w:r>
        <w:rPr>
          <w:rFonts w:hint="eastAsia" w:ascii="仿宋" w:hAnsi="仿宋" w:eastAsia="仿宋"/>
          <w:color w:val="auto"/>
          <w:sz w:val="28"/>
          <w:szCs w:val="28"/>
          <w:u w:val="none"/>
        </w:rPr>
        <w:t>四、</w:t>
      </w:r>
      <w:r>
        <w:rPr>
          <w:color w:val="auto"/>
          <w:u w:val="none"/>
        </w:rPr>
        <w:fldChar w:fldCharType="begin"/>
      </w:r>
      <w:r>
        <w:rPr>
          <w:color w:val="auto"/>
          <w:u w:val="none"/>
        </w:rPr>
        <w:instrText xml:space="preserve"> HYPERLINK \l "_Toc15396622" </w:instrText>
      </w:r>
      <w:r>
        <w:rPr>
          <w:color w:val="auto"/>
          <w:u w:val="none"/>
        </w:rPr>
        <w:fldChar w:fldCharType="separate"/>
      </w:r>
      <w:r>
        <w:rPr>
          <w:rStyle w:val="15"/>
          <w:rFonts w:hint="eastAsia" w:ascii="仿宋" w:hAnsi="仿宋" w:eastAsia="仿宋"/>
          <w:color w:val="auto"/>
          <w:sz w:val="28"/>
          <w:szCs w:val="28"/>
          <w:u w:val="none"/>
        </w:rPr>
        <w:t>财政拨款收入支出决算总表</w:t>
      </w:r>
      <w:r>
        <w:rPr>
          <w:rFonts w:ascii="仿宋" w:hAnsi="仿宋" w:eastAsia="仿宋"/>
          <w:color w:val="auto"/>
          <w:sz w:val="28"/>
          <w:szCs w:val="28"/>
          <w:u w:val="none"/>
        </w:rPr>
        <w:tab/>
      </w:r>
      <w:r>
        <w:rPr>
          <w:rFonts w:hint="eastAsia" w:ascii="仿宋" w:hAnsi="仿宋" w:eastAsia="仿宋"/>
          <w:color w:val="auto"/>
          <w:sz w:val="28"/>
          <w:szCs w:val="28"/>
          <w:u w:val="none"/>
          <w:lang w:val="en-US" w:eastAsia="zh-CN"/>
        </w:rPr>
        <w:t>2</w:t>
      </w:r>
      <w:r>
        <w:rPr>
          <w:rFonts w:ascii="仿宋" w:hAnsi="仿宋" w:eastAsia="仿宋"/>
          <w:color w:val="auto"/>
          <w:sz w:val="28"/>
          <w:szCs w:val="28"/>
          <w:u w:val="none"/>
        </w:rPr>
        <w:fldChar w:fldCharType="end"/>
      </w:r>
      <w:r>
        <w:rPr>
          <w:rFonts w:hint="eastAsia" w:ascii="仿宋" w:hAnsi="仿宋" w:eastAsia="仿宋"/>
          <w:color w:val="auto"/>
          <w:sz w:val="28"/>
          <w:szCs w:val="28"/>
          <w:u w:val="none"/>
          <w:lang w:val="en-US" w:eastAsia="zh-CN"/>
        </w:rPr>
        <w:t>5</w:t>
      </w:r>
    </w:p>
    <w:p>
      <w:pPr>
        <w:pStyle w:val="11"/>
        <w:rPr>
          <w:rFonts w:hint="eastAsia" w:ascii="仿宋" w:hAnsi="仿宋" w:eastAsia="仿宋"/>
          <w:color w:val="auto"/>
          <w:sz w:val="28"/>
          <w:szCs w:val="28"/>
          <w:u w:val="none"/>
          <w:lang w:val="en-US" w:eastAsia="zh-CN"/>
        </w:rPr>
      </w:pPr>
      <w:r>
        <w:rPr>
          <w:rFonts w:hint="eastAsia" w:ascii="仿宋" w:hAnsi="仿宋" w:eastAsia="仿宋"/>
          <w:color w:val="auto"/>
          <w:sz w:val="28"/>
          <w:szCs w:val="28"/>
          <w:u w:val="none"/>
        </w:rPr>
        <w:t>五、</w:t>
      </w:r>
      <w:r>
        <w:rPr>
          <w:color w:val="auto"/>
          <w:u w:val="none"/>
        </w:rPr>
        <w:fldChar w:fldCharType="begin"/>
      </w:r>
      <w:r>
        <w:rPr>
          <w:color w:val="auto"/>
          <w:u w:val="none"/>
        </w:rPr>
        <w:instrText xml:space="preserve"> HYPERLINK \l "_Toc15396623" </w:instrText>
      </w:r>
      <w:r>
        <w:rPr>
          <w:color w:val="auto"/>
          <w:u w:val="none"/>
        </w:rPr>
        <w:fldChar w:fldCharType="separate"/>
      </w:r>
      <w:r>
        <w:rPr>
          <w:rFonts w:hint="eastAsia" w:ascii="仿宋" w:hAnsi="仿宋" w:eastAsia="仿宋"/>
          <w:color w:val="auto"/>
          <w:sz w:val="28"/>
          <w:szCs w:val="28"/>
          <w:u w:val="none"/>
        </w:rPr>
        <w:t>财政拨款支出决算明细表（政府经济分类科目）</w:t>
      </w:r>
      <w:r>
        <w:rPr>
          <w:rFonts w:ascii="仿宋" w:hAnsi="仿宋" w:eastAsia="仿宋"/>
          <w:color w:val="auto"/>
          <w:sz w:val="28"/>
          <w:szCs w:val="28"/>
          <w:u w:val="none"/>
        </w:rPr>
        <w:tab/>
      </w:r>
      <w:r>
        <w:rPr>
          <w:rFonts w:hint="eastAsia" w:ascii="仿宋" w:hAnsi="仿宋" w:eastAsia="仿宋"/>
          <w:color w:val="auto"/>
          <w:sz w:val="28"/>
          <w:szCs w:val="28"/>
          <w:u w:val="none"/>
          <w:lang w:val="en-US" w:eastAsia="zh-CN"/>
        </w:rPr>
        <w:t>2</w:t>
      </w:r>
      <w:r>
        <w:rPr>
          <w:rFonts w:ascii="仿宋" w:hAnsi="仿宋" w:eastAsia="仿宋"/>
          <w:color w:val="auto"/>
          <w:sz w:val="28"/>
          <w:szCs w:val="28"/>
          <w:u w:val="none"/>
        </w:rPr>
        <w:fldChar w:fldCharType="end"/>
      </w:r>
      <w:r>
        <w:rPr>
          <w:rFonts w:hint="eastAsia" w:ascii="仿宋" w:hAnsi="仿宋" w:eastAsia="仿宋"/>
          <w:color w:val="auto"/>
          <w:sz w:val="28"/>
          <w:szCs w:val="28"/>
          <w:u w:val="none"/>
          <w:lang w:val="en-US" w:eastAsia="zh-CN"/>
        </w:rPr>
        <w:t>5</w:t>
      </w:r>
    </w:p>
    <w:p>
      <w:pPr>
        <w:pStyle w:val="11"/>
        <w:rPr>
          <w:rFonts w:hint="eastAsia" w:ascii="仿宋" w:hAnsi="仿宋" w:eastAsia="仿宋" w:cstheme="minorBidi"/>
          <w:color w:val="auto"/>
          <w:sz w:val="28"/>
          <w:szCs w:val="28"/>
          <w:u w:val="none"/>
          <w:lang w:val="en-US" w:eastAsia="zh-CN"/>
        </w:rPr>
      </w:pPr>
      <w:r>
        <w:rPr>
          <w:rFonts w:hint="eastAsia" w:ascii="仿宋" w:hAnsi="仿宋" w:eastAsia="仿宋"/>
          <w:color w:val="auto"/>
          <w:sz w:val="28"/>
          <w:szCs w:val="28"/>
          <w:u w:val="none"/>
        </w:rPr>
        <w:t>六、</w:t>
      </w:r>
      <w:r>
        <w:rPr>
          <w:color w:val="auto"/>
          <w:u w:val="none"/>
        </w:rPr>
        <w:fldChar w:fldCharType="begin"/>
      </w:r>
      <w:r>
        <w:rPr>
          <w:color w:val="auto"/>
          <w:u w:val="none"/>
        </w:rPr>
        <w:instrText xml:space="preserve"> HYPERLINK \l "_Toc15396624" </w:instrText>
      </w:r>
      <w:r>
        <w:rPr>
          <w:color w:val="auto"/>
          <w:u w:val="none"/>
        </w:rPr>
        <w:fldChar w:fldCharType="separate"/>
      </w:r>
      <w:r>
        <w:rPr>
          <w:rStyle w:val="15"/>
          <w:rFonts w:hint="eastAsia" w:ascii="仿宋" w:hAnsi="仿宋" w:eastAsia="仿宋"/>
          <w:color w:val="auto"/>
          <w:sz w:val="28"/>
          <w:szCs w:val="28"/>
          <w:u w:val="none"/>
        </w:rPr>
        <w:t>一般公共预算财政拨款支出决算表</w:t>
      </w:r>
      <w:r>
        <w:rPr>
          <w:rFonts w:ascii="仿宋" w:hAnsi="仿宋" w:eastAsia="仿宋"/>
          <w:color w:val="auto"/>
          <w:sz w:val="28"/>
          <w:szCs w:val="28"/>
          <w:u w:val="none"/>
        </w:rPr>
        <w:tab/>
      </w:r>
      <w:r>
        <w:rPr>
          <w:rFonts w:hint="eastAsia" w:ascii="仿宋" w:hAnsi="仿宋" w:eastAsia="仿宋"/>
          <w:color w:val="auto"/>
          <w:sz w:val="28"/>
          <w:szCs w:val="28"/>
          <w:u w:val="none"/>
          <w:lang w:val="en-US" w:eastAsia="zh-CN"/>
        </w:rPr>
        <w:t>2</w:t>
      </w:r>
      <w:r>
        <w:rPr>
          <w:rFonts w:ascii="仿宋" w:hAnsi="仿宋" w:eastAsia="仿宋"/>
          <w:color w:val="auto"/>
          <w:sz w:val="28"/>
          <w:szCs w:val="28"/>
          <w:u w:val="none"/>
        </w:rPr>
        <w:fldChar w:fldCharType="end"/>
      </w:r>
      <w:r>
        <w:rPr>
          <w:rFonts w:hint="eastAsia" w:ascii="仿宋" w:hAnsi="仿宋" w:eastAsia="仿宋"/>
          <w:color w:val="auto"/>
          <w:sz w:val="28"/>
          <w:szCs w:val="28"/>
          <w:u w:val="none"/>
          <w:lang w:val="en-US" w:eastAsia="zh-CN"/>
        </w:rPr>
        <w:t>5</w:t>
      </w:r>
    </w:p>
    <w:p>
      <w:pPr>
        <w:pStyle w:val="11"/>
        <w:rPr>
          <w:rFonts w:hint="eastAsia" w:ascii="仿宋" w:hAnsi="仿宋" w:eastAsia="仿宋" w:cstheme="minorBidi"/>
          <w:color w:val="auto"/>
          <w:sz w:val="28"/>
          <w:szCs w:val="28"/>
          <w:u w:val="none"/>
          <w:lang w:val="en-US" w:eastAsia="zh-CN"/>
        </w:rPr>
      </w:pPr>
      <w:r>
        <w:rPr>
          <w:rFonts w:hint="eastAsia" w:ascii="仿宋" w:hAnsi="仿宋" w:eastAsia="仿宋"/>
          <w:color w:val="auto"/>
          <w:sz w:val="28"/>
          <w:szCs w:val="28"/>
          <w:u w:val="none"/>
        </w:rPr>
        <w:t>七、</w:t>
      </w:r>
      <w:r>
        <w:rPr>
          <w:color w:val="auto"/>
          <w:u w:val="none"/>
        </w:rPr>
        <w:fldChar w:fldCharType="begin"/>
      </w:r>
      <w:r>
        <w:rPr>
          <w:color w:val="auto"/>
          <w:u w:val="none"/>
        </w:rPr>
        <w:instrText xml:space="preserve"> HYPERLINK \l "_Toc15396625" </w:instrText>
      </w:r>
      <w:r>
        <w:rPr>
          <w:color w:val="auto"/>
          <w:u w:val="none"/>
        </w:rPr>
        <w:fldChar w:fldCharType="separate"/>
      </w:r>
      <w:r>
        <w:rPr>
          <w:rStyle w:val="15"/>
          <w:rFonts w:hint="eastAsia" w:ascii="仿宋" w:hAnsi="仿宋" w:eastAsia="仿宋"/>
          <w:color w:val="auto"/>
          <w:sz w:val="28"/>
          <w:szCs w:val="28"/>
          <w:u w:val="none"/>
        </w:rPr>
        <w:t>一般公共预算财政拨款支出决算明细表</w:t>
      </w:r>
      <w:r>
        <w:rPr>
          <w:rFonts w:ascii="仿宋" w:hAnsi="仿宋" w:eastAsia="仿宋"/>
          <w:color w:val="auto"/>
          <w:sz w:val="28"/>
          <w:szCs w:val="28"/>
          <w:u w:val="none"/>
        </w:rPr>
        <w:tab/>
      </w:r>
      <w:r>
        <w:rPr>
          <w:rFonts w:hint="eastAsia" w:ascii="仿宋" w:hAnsi="仿宋" w:eastAsia="仿宋"/>
          <w:color w:val="auto"/>
          <w:sz w:val="28"/>
          <w:szCs w:val="28"/>
          <w:u w:val="none"/>
          <w:lang w:val="en-US" w:eastAsia="zh-CN"/>
        </w:rPr>
        <w:t>2</w:t>
      </w:r>
      <w:r>
        <w:rPr>
          <w:rFonts w:ascii="仿宋" w:hAnsi="仿宋" w:eastAsia="仿宋"/>
          <w:color w:val="auto"/>
          <w:sz w:val="28"/>
          <w:szCs w:val="28"/>
          <w:u w:val="none"/>
        </w:rPr>
        <w:fldChar w:fldCharType="end"/>
      </w:r>
      <w:r>
        <w:rPr>
          <w:rFonts w:hint="eastAsia" w:ascii="仿宋" w:hAnsi="仿宋" w:eastAsia="仿宋"/>
          <w:color w:val="auto"/>
          <w:sz w:val="28"/>
          <w:szCs w:val="28"/>
          <w:u w:val="none"/>
          <w:lang w:val="en-US" w:eastAsia="zh-CN"/>
        </w:rPr>
        <w:t>5</w:t>
      </w:r>
    </w:p>
    <w:p>
      <w:pPr>
        <w:pStyle w:val="11"/>
        <w:rPr>
          <w:rFonts w:hint="eastAsia" w:ascii="仿宋" w:hAnsi="仿宋" w:eastAsia="仿宋" w:cstheme="minorBidi"/>
          <w:color w:val="auto"/>
          <w:sz w:val="28"/>
          <w:szCs w:val="28"/>
          <w:u w:val="none"/>
          <w:lang w:val="en-US" w:eastAsia="zh-CN"/>
        </w:rPr>
      </w:pPr>
      <w:r>
        <w:rPr>
          <w:rFonts w:hint="eastAsia" w:ascii="仿宋" w:hAnsi="仿宋" w:eastAsia="仿宋"/>
          <w:color w:val="auto"/>
          <w:sz w:val="28"/>
          <w:szCs w:val="28"/>
          <w:u w:val="none"/>
        </w:rPr>
        <w:t>八、</w:t>
      </w:r>
      <w:r>
        <w:rPr>
          <w:color w:val="auto"/>
          <w:u w:val="none"/>
        </w:rPr>
        <w:fldChar w:fldCharType="begin"/>
      </w:r>
      <w:r>
        <w:rPr>
          <w:color w:val="auto"/>
          <w:u w:val="none"/>
        </w:rPr>
        <w:instrText xml:space="preserve"> HYPERLINK \l "_Toc15396626" </w:instrText>
      </w:r>
      <w:r>
        <w:rPr>
          <w:color w:val="auto"/>
          <w:u w:val="none"/>
        </w:rPr>
        <w:fldChar w:fldCharType="separate"/>
      </w:r>
      <w:r>
        <w:rPr>
          <w:rStyle w:val="15"/>
          <w:rFonts w:hint="eastAsia" w:ascii="仿宋" w:hAnsi="仿宋" w:eastAsia="仿宋"/>
          <w:color w:val="auto"/>
          <w:sz w:val="28"/>
          <w:szCs w:val="28"/>
          <w:u w:val="none"/>
        </w:rPr>
        <w:t>一般公共预算财政拨款基本支出决算表</w:t>
      </w:r>
      <w:r>
        <w:rPr>
          <w:rFonts w:ascii="仿宋" w:hAnsi="仿宋" w:eastAsia="仿宋"/>
          <w:color w:val="auto"/>
          <w:sz w:val="28"/>
          <w:szCs w:val="28"/>
          <w:u w:val="none"/>
        </w:rPr>
        <w:tab/>
      </w:r>
      <w:r>
        <w:rPr>
          <w:rFonts w:hint="eastAsia" w:ascii="仿宋" w:hAnsi="仿宋" w:eastAsia="仿宋"/>
          <w:color w:val="auto"/>
          <w:sz w:val="28"/>
          <w:szCs w:val="28"/>
          <w:u w:val="none"/>
          <w:lang w:val="en-US" w:eastAsia="zh-CN"/>
        </w:rPr>
        <w:t>2</w:t>
      </w:r>
      <w:r>
        <w:rPr>
          <w:rFonts w:ascii="仿宋" w:hAnsi="仿宋" w:eastAsia="仿宋"/>
          <w:color w:val="auto"/>
          <w:sz w:val="28"/>
          <w:szCs w:val="28"/>
          <w:u w:val="none"/>
        </w:rPr>
        <w:fldChar w:fldCharType="end"/>
      </w:r>
      <w:r>
        <w:rPr>
          <w:rFonts w:hint="eastAsia" w:ascii="仿宋" w:hAnsi="仿宋" w:eastAsia="仿宋"/>
          <w:color w:val="auto"/>
          <w:sz w:val="28"/>
          <w:szCs w:val="28"/>
          <w:u w:val="none"/>
          <w:lang w:val="en-US" w:eastAsia="zh-CN"/>
        </w:rPr>
        <w:t>5</w:t>
      </w:r>
    </w:p>
    <w:p>
      <w:pPr>
        <w:pStyle w:val="11"/>
        <w:rPr>
          <w:rFonts w:hint="eastAsia" w:ascii="仿宋" w:hAnsi="仿宋" w:eastAsia="仿宋" w:cstheme="minorBidi"/>
          <w:color w:val="auto"/>
          <w:sz w:val="28"/>
          <w:szCs w:val="28"/>
          <w:u w:val="none"/>
          <w:lang w:val="en-US" w:eastAsia="zh-CN"/>
        </w:rPr>
      </w:pPr>
      <w:r>
        <w:rPr>
          <w:rFonts w:hint="eastAsia" w:ascii="仿宋" w:hAnsi="仿宋" w:eastAsia="仿宋"/>
          <w:color w:val="auto"/>
          <w:sz w:val="28"/>
          <w:szCs w:val="28"/>
          <w:u w:val="none"/>
        </w:rPr>
        <w:t>九、</w:t>
      </w:r>
      <w:r>
        <w:rPr>
          <w:color w:val="auto"/>
          <w:u w:val="none"/>
        </w:rPr>
        <w:fldChar w:fldCharType="begin"/>
      </w:r>
      <w:r>
        <w:rPr>
          <w:color w:val="auto"/>
          <w:u w:val="none"/>
        </w:rPr>
        <w:instrText xml:space="preserve"> HYPERLINK \l "_Toc15396627" </w:instrText>
      </w:r>
      <w:r>
        <w:rPr>
          <w:color w:val="auto"/>
          <w:u w:val="none"/>
        </w:rPr>
        <w:fldChar w:fldCharType="separate"/>
      </w:r>
      <w:r>
        <w:rPr>
          <w:rStyle w:val="15"/>
          <w:rFonts w:hint="eastAsia" w:ascii="仿宋" w:hAnsi="仿宋" w:eastAsia="仿宋"/>
          <w:color w:val="auto"/>
          <w:sz w:val="28"/>
          <w:szCs w:val="28"/>
          <w:u w:val="none"/>
        </w:rPr>
        <w:t>一般公共预算财政拨款项目支出决算表</w:t>
      </w:r>
      <w:r>
        <w:rPr>
          <w:rFonts w:ascii="仿宋" w:hAnsi="仿宋" w:eastAsia="仿宋"/>
          <w:color w:val="auto"/>
          <w:sz w:val="28"/>
          <w:szCs w:val="28"/>
          <w:u w:val="none"/>
        </w:rPr>
        <w:tab/>
      </w:r>
      <w:r>
        <w:rPr>
          <w:rFonts w:hint="eastAsia" w:ascii="仿宋" w:hAnsi="仿宋" w:eastAsia="仿宋"/>
          <w:color w:val="auto"/>
          <w:sz w:val="28"/>
          <w:szCs w:val="28"/>
          <w:u w:val="none"/>
          <w:lang w:val="en-US" w:eastAsia="zh-CN"/>
        </w:rPr>
        <w:t>2</w:t>
      </w:r>
      <w:r>
        <w:rPr>
          <w:rFonts w:ascii="仿宋" w:hAnsi="仿宋" w:eastAsia="仿宋"/>
          <w:color w:val="auto"/>
          <w:sz w:val="28"/>
          <w:szCs w:val="28"/>
          <w:u w:val="none"/>
        </w:rPr>
        <w:fldChar w:fldCharType="end"/>
      </w:r>
      <w:r>
        <w:rPr>
          <w:rFonts w:hint="eastAsia" w:ascii="仿宋" w:hAnsi="仿宋" w:eastAsia="仿宋"/>
          <w:color w:val="auto"/>
          <w:sz w:val="28"/>
          <w:szCs w:val="28"/>
          <w:u w:val="none"/>
          <w:lang w:val="en-US" w:eastAsia="zh-CN"/>
        </w:rPr>
        <w:t>5</w:t>
      </w:r>
    </w:p>
    <w:p>
      <w:pPr>
        <w:pStyle w:val="11"/>
        <w:rPr>
          <w:rFonts w:hint="eastAsia" w:ascii="仿宋" w:hAnsi="仿宋" w:eastAsia="仿宋" w:cstheme="minorBidi"/>
          <w:color w:val="auto"/>
          <w:sz w:val="28"/>
          <w:szCs w:val="28"/>
          <w:u w:val="none"/>
          <w:lang w:val="en-US" w:eastAsia="zh-CN"/>
        </w:rPr>
      </w:pPr>
      <w:r>
        <w:rPr>
          <w:rFonts w:hint="eastAsia" w:ascii="仿宋" w:hAnsi="仿宋" w:eastAsia="仿宋"/>
          <w:color w:val="auto"/>
          <w:sz w:val="28"/>
          <w:szCs w:val="28"/>
          <w:u w:val="none"/>
        </w:rPr>
        <w:t>十、</w:t>
      </w:r>
      <w:r>
        <w:rPr>
          <w:color w:val="auto"/>
          <w:u w:val="none"/>
        </w:rPr>
        <w:fldChar w:fldCharType="begin"/>
      </w:r>
      <w:r>
        <w:rPr>
          <w:color w:val="auto"/>
          <w:u w:val="none"/>
        </w:rPr>
        <w:instrText xml:space="preserve"> HYPERLINK \l "_Toc15396628" </w:instrText>
      </w:r>
      <w:r>
        <w:rPr>
          <w:color w:val="auto"/>
          <w:u w:val="none"/>
        </w:rPr>
        <w:fldChar w:fldCharType="separate"/>
      </w:r>
      <w:r>
        <w:rPr>
          <w:rStyle w:val="15"/>
          <w:rFonts w:hint="eastAsia" w:ascii="仿宋" w:hAnsi="仿宋" w:eastAsia="仿宋"/>
          <w:color w:val="auto"/>
          <w:sz w:val="28"/>
          <w:szCs w:val="28"/>
          <w:u w:val="none"/>
        </w:rPr>
        <w:t>一般公共预算财政拨款“三公”经费支出决算表</w:t>
      </w:r>
      <w:r>
        <w:rPr>
          <w:rFonts w:ascii="仿宋" w:hAnsi="仿宋" w:eastAsia="仿宋"/>
          <w:color w:val="auto"/>
          <w:sz w:val="28"/>
          <w:szCs w:val="28"/>
          <w:u w:val="none"/>
        </w:rPr>
        <w:tab/>
      </w:r>
      <w:r>
        <w:rPr>
          <w:rFonts w:hint="eastAsia" w:ascii="仿宋" w:hAnsi="仿宋" w:eastAsia="仿宋"/>
          <w:color w:val="auto"/>
          <w:sz w:val="28"/>
          <w:szCs w:val="28"/>
          <w:u w:val="none"/>
          <w:lang w:val="en-US" w:eastAsia="zh-CN"/>
        </w:rPr>
        <w:t>2</w:t>
      </w:r>
      <w:r>
        <w:rPr>
          <w:rFonts w:ascii="仿宋" w:hAnsi="仿宋" w:eastAsia="仿宋"/>
          <w:color w:val="auto"/>
          <w:sz w:val="28"/>
          <w:szCs w:val="28"/>
          <w:u w:val="none"/>
        </w:rPr>
        <w:fldChar w:fldCharType="end"/>
      </w:r>
      <w:r>
        <w:rPr>
          <w:rFonts w:hint="eastAsia" w:ascii="仿宋" w:hAnsi="仿宋" w:eastAsia="仿宋"/>
          <w:color w:val="auto"/>
          <w:sz w:val="28"/>
          <w:szCs w:val="28"/>
          <w:u w:val="none"/>
          <w:lang w:val="en-US" w:eastAsia="zh-CN"/>
        </w:rPr>
        <w:t>5</w:t>
      </w:r>
    </w:p>
    <w:p>
      <w:pPr>
        <w:pStyle w:val="11"/>
        <w:rPr>
          <w:rFonts w:hint="eastAsia" w:ascii="仿宋" w:hAnsi="仿宋" w:eastAsia="仿宋" w:cstheme="minorBidi"/>
          <w:color w:val="auto"/>
          <w:sz w:val="28"/>
          <w:szCs w:val="28"/>
          <w:u w:val="none"/>
          <w:lang w:val="en-US" w:eastAsia="zh-CN"/>
        </w:rPr>
      </w:pPr>
      <w:r>
        <w:rPr>
          <w:rFonts w:hint="eastAsia" w:ascii="仿宋" w:hAnsi="仿宋" w:eastAsia="仿宋"/>
          <w:color w:val="auto"/>
          <w:sz w:val="28"/>
          <w:szCs w:val="28"/>
          <w:u w:val="none"/>
        </w:rPr>
        <w:t>十一、</w:t>
      </w:r>
      <w:r>
        <w:rPr>
          <w:color w:val="auto"/>
          <w:u w:val="none"/>
        </w:rPr>
        <w:fldChar w:fldCharType="begin"/>
      </w:r>
      <w:r>
        <w:rPr>
          <w:color w:val="auto"/>
          <w:u w:val="none"/>
        </w:rPr>
        <w:instrText xml:space="preserve"> HYPERLINK \l "_Toc15396629" </w:instrText>
      </w:r>
      <w:r>
        <w:rPr>
          <w:color w:val="auto"/>
          <w:u w:val="none"/>
        </w:rPr>
        <w:fldChar w:fldCharType="separate"/>
      </w:r>
      <w:r>
        <w:rPr>
          <w:rStyle w:val="15"/>
          <w:rFonts w:hint="eastAsia" w:ascii="仿宋" w:hAnsi="仿宋" w:eastAsia="仿宋"/>
          <w:color w:val="auto"/>
          <w:sz w:val="28"/>
          <w:szCs w:val="28"/>
          <w:u w:val="none"/>
        </w:rPr>
        <w:t>政府性基金预算财政拨款收入支出决算表</w:t>
      </w:r>
      <w:r>
        <w:rPr>
          <w:rFonts w:ascii="仿宋" w:hAnsi="仿宋" w:eastAsia="仿宋"/>
          <w:color w:val="auto"/>
          <w:sz w:val="28"/>
          <w:szCs w:val="28"/>
          <w:u w:val="none"/>
        </w:rPr>
        <w:tab/>
      </w:r>
      <w:r>
        <w:rPr>
          <w:rFonts w:hint="eastAsia" w:ascii="仿宋" w:hAnsi="仿宋" w:eastAsia="仿宋"/>
          <w:color w:val="auto"/>
          <w:sz w:val="28"/>
          <w:szCs w:val="28"/>
          <w:u w:val="none"/>
          <w:lang w:val="en-US" w:eastAsia="zh-CN"/>
        </w:rPr>
        <w:t>2</w:t>
      </w:r>
      <w:r>
        <w:rPr>
          <w:rFonts w:ascii="仿宋" w:hAnsi="仿宋" w:eastAsia="仿宋"/>
          <w:color w:val="auto"/>
          <w:sz w:val="28"/>
          <w:szCs w:val="28"/>
          <w:u w:val="none"/>
        </w:rPr>
        <w:fldChar w:fldCharType="end"/>
      </w:r>
      <w:r>
        <w:rPr>
          <w:rFonts w:hint="eastAsia" w:ascii="仿宋" w:hAnsi="仿宋" w:eastAsia="仿宋"/>
          <w:color w:val="auto"/>
          <w:sz w:val="28"/>
          <w:szCs w:val="28"/>
          <w:u w:val="none"/>
          <w:lang w:val="en-US" w:eastAsia="zh-CN"/>
        </w:rPr>
        <w:t>5</w:t>
      </w:r>
    </w:p>
    <w:p>
      <w:pPr>
        <w:pStyle w:val="11"/>
        <w:rPr>
          <w:rFonts w:hint="eastAsia" w:ascii="仿宋" w:hAnsi="仿宋" w:eastAsia="仿宋" w:cstheme="minorBidi"/>
          <w:color w:val="auto"/>
          <w:sz w:val="28"/>
          <w:szCs w:val="28"/>
          <w:u w:val="none"/>
          <w:lang w:val="en-US" w:eastAsia="zh-CN"/>
        </w:rPr>
      </w:pPr>
      <w:r>
        <w:rPr>
          <w:rFonts w:hint="eastAsia" w:ascii="仿宋" w:hAnsi="仿宋" w:eastAsia="仿宋"/>
          <w:color w:val="auto"/>
          <w:sz w:val="28"/>
          <w:szCs w:val="28"/>
          <w:u w:val="none"/>
        </w:rPr>
        <w:t>十二、</w:t>
      </w:r>
      <w:r>
        <w:rPr>
          <w:color w:val="auto"/>
          <w:u w:val="none"/>
        </w:rPr>
        <w:fldChar w:fldCharType="begin"/>
      </w:r>
      <w:r>
        <w:rPr>
          <w:color w:val="auto"/>
          <w:u w:val="none"/>
        </w:rPr>
        <w:instrText xml:space="preserve"> HYPERLINK \l "_Toc15396630" </w:instrText>
      </w:r>
      <w:r>
        <w:rPr>
          <w:color w:val="auto"/>
          <w:u w:val="none"/>
        </w:rPr>
        <w:fldChar w:fldCharType="separate"/>
      </w:r>
      <w:r>
        <w:rPr>
          <w:rStyle w:val="15"/>
          <w:rFonts w:hint="eastAsia" w:ascii="仿宋" w:hAnsi="仿宋" w:eastAsia="仿宋"/>
          <w:color w:val="auto"/>
          <w:sz w:val="28"/>
          <w:szCs w:val="28"/>
          <w:u w:val="none"/>
        </w:rPr>
        <w:t>政府性基金预算财政拨款“三公”经费支出决算表</w:t>
      </w:r>
      <w:r>
        <w:rPr>
          <w:rFonts w:ascii="仿宋" w:hAnsi="仿宋" w:eastAsia="仿宋"/>
          <w:color w:val="auto"/>
          <w:sz w:val="28"/>
          <w:szCs w:val="28"/>
          <w:u w:val="none"/>
        </w:rPr>
        <w:tab/>
      </w:r>
      <w:r>
        <w:rPr>
          <w:rFonts w:hint="eastAsia" w:ascii="仿宋" w:hAnsi="仿宋" w:eastAsia="仿宋"/>
          <w:color w:val="auto"/>
          <w:sz w:val="28"/>
          <w:szCs w:val="28"/>
          <w:u w:val="none"/>
          <w:lang w:val="en-US" w:eastAsia="zh-CN"/>
        </w:rPr>
        <w:t>2</w:t>
      </w:r>
      <w:r>
        <w:rPr>
          <w:rFonts w:ascii="仿宋" w:hAnsi="仿宋" w:eastAsia="仿宋"/>
          <w:color w:val="auto"/>
          <w:sz w:val="28"/>
          <w:szCs w:val="28"/>
          <w:u w:val="none"/>
        </w:rPr>
        <w:fldChar w:fldCharType="end"/>
      </w:r>
      <w:r>
        <w:rPr>
          <w:rFonts w:hint="eastAsia" w:ascii="仿宋" w:hAnsi="仿宋" w:eastAsia="仿宋"/>
          <w:color w:val="auto"/>
          <w:sz w:val="28"/>
          <w:szCs w:val="28"/>
          <w:u w:val="none"/>
          <w:lang w:val="en-US" w:eastAsia="zh-CN"/>
        </w:rPr>
        <w:t>5</w:t>
      </w:r>
    </w:p>
    <w:p>
      <w:pPr>
        <w:pStyle w:val="11"/>
        <w:rPr>
          <w:rFonts w:hint="eastAsia" w:ascii="仿宋" w:hAnsi="仿宋" w:eastAsia="仿宋" w:cstheme="minorBidi"/>
          <w:color w:val="auto"/>
          <w:sz w:val="24"/>
          <w:u w:val="none"/>
          <w:lang w:val="en-US" w:eastAsia="zh-CN"/>
        </w:rPr>
      </w:pPr>
      <w:r>
        <w:rPr>
          <w:rFonts w:hint="eastAsia" w:ascii="仿宋" w:hAnsi="仿宋" w:eastAsia="仿宋"/>
          <w:color w:val="auto"/>
          <w:sz w:val="28"/>
          <w:szCs w:val="28"/>
          <w:u w:val="none"/>
        </w:rPr>
        <w:t>十三、</w:t>
      </w:r>
      <w:r>
        <w:rPr>
          <w:color w:val="auto"/>
          <w:u w:val="none"/>
        </w:rPr>
        <w:fldChar w:fldCharType="begin"/>
      </w:r>
      <w:r>
        <w:rPr>
          <w:color w:val="auto"/>
          <w:u w:val="none"/>
        </w:rPr>
        <w:instrText xml:space="preserve"> HYPERLINK \l "_Toc15396631" </w:instrText>
      </w:r>
      <w:r>
        <w:rPr>
          <w:color w:val="auto"/>
          <w:u w:val="none"/>
        </w:rPr>
        <w:fldChar w:fldCharType="separate"/>
      </w:r>
      <w:r>
        <w:rPr>
          <w:rStyle w:val="15"/>
          <w:rFonts w:hint="eastAsia" w:ascii="仿宋" w:hAnsi="仿宋" w:eastAsia="仿宋"/>
          <w:color w:val="auto"/>
          <w:sz w:val="28"/>
          <w:szCs w:val="28"/>
          <w:u w:val="none"/>
        </w:rPr>
        <w:t>国有资本经营预算支出决算表</w:t>
      </w:r>
      <w:r>
        <w:rPr>
          <w:rFonts w:ascii="仿宋" w:hAnsi="仿宋" w:eastAsia="仿宋"/>
          <w:color w:val="auto"/>
          <w:sz w:val="28"/>
          <w:szCs w:val="28"/>
          <w:u w:val="none"/>
        </w:rPr>
        <w:tab/>
      </w:r>
      <w:r>
        <w:rPr>
          <w:rFonts w:hint="eastAsia" w:ascii="仿宋" w:hAnsi="仿宋" w:eastAsia="仿宋"/>
          <w:color w:val="auto"/>
          <w:sz w:val="28"/>
          <w:szCs w:val="28"/>
          <w:u w:val="none"/>
          <w:lang w:val="en-US" w:eastAsia="zh-CN"/>
        </w:rPr>
        <w:t>2</w:t>
      </w:r>
      <w:r>
        <w:rPr>
          <w:rFonts w:ascii="仿宋" w:hAnsi="仿宋" w:eastAsia="仿宋"/>
          <w:color w:val="auto"/>
          <w:sz w:val="28"/>
          <w:szCs w:val="28"/>
          <w:u w:val="none"/>
        </w:rPr>
        <w:fldChar w:fldCharType="end"/>
      </w:r>
      <w:r>
        <w:rPr>
          <w:rFonts w:hint="eastAsia" w:ascii="仿宋" w:hAnsi="仿宋" w:eastAsia="仿宋"/>
          <w:color w:val="auto"/>
          <w:sz w:val="28"/>
          <w:szCs w:val="28"/>
          <w:u w:val="none"/>
          <w:lang w:val="en-US" w:eastAsia="zh-CN"/>
        </w:rPr>
        <w:t>5</w:t>
      </w:r>
      <w:bookmarkStart w:id="68" w:name="_GoBack"/>
      <w:bookmarkEnd w:id="68"/>
    </w:p>
    <w:p>
      <w:pPr>
        <w:widowControl/>
        <w:spacing w:line="440" w:lineRule="exact"/>
        <w:jc w:val="left"/>
        <w:rPr>
          <w:rFonts w:ascii="仿宋" w:hAnsi="仿宋" w:eastAsia="仿宋"/>
          <w:bCs/>
          <w:kern w:val="44"/>
          <w:sz w:val="24"/>
        </w:rPr>
      </w:pPr>
      <w:r>
        <w:rPr>
          <w:rFonts w:ascii="仿宋" w:hAnsi="仿宋" w:eastAsia="仿宋"/>
          <w:b/>
          <w:sz w:val="24"/>
        </w:rPr>
        <w:br w:type="page"/>
      </w:r>
    </w:p>
    <w:p>
      <w:pPr>
        <w:pStyle w:val="2"/>
        <w:jc w:val="center"/>
        <w:rPr>
          <w:rStyle w:val="24"/>
          <w:rFonts w:ascii="黑体" w:hAnsi="黑体" w:eastAsia="黑体"/>
          <w:b/>
          <w:bCs w:val="0"/>
        </w:rPr>
      </w:pPr>
      <w:r>
        <w:rPr>
          <w:rFonts w:hint="eastAsia" w:ascii="黑体" w:hAnsi="黑体" w:eastAsia="黑体"/>
          <w:b w:val="0"/>
        </w:rPr>
        <w:t xml:space="preserve">第一部分 </w:t>
      </w:r>
      <w:r>
        <w:rPr>
          <w:rStyle w:val="24"/>
          <w:rFonts w:hint="eastAsia" w:ascii="黑体" w:hAnsi="黑体" w:eastAsia="黑体"/>
          <w:b w:val="0"/>
          <w:bCs w:val="0"/>
        </w:rPr>
        <w:t>部门概况</w:t>
      </w:r>
      <w:bookmarkEnd w:id="12"/>
      <w:bookmarkEnd w:id="13"/>
    </w:p>
    <w:p>
      <w:pPr>
        <w:widowControl/>
        <w:jc w:val="left"/>
        <w:rPr>
          <w:rFonts w:ascii="黑体" w:eastAsia="黑体"/>
          <w:color w:val="000000"/>
          <w:sz w:val="32"/>
          <w:szCs w:val="32"/>
        </w:rPr>
      </w:pPr>
    </w:p>
    <w:p>
      <w:pPr>
        <w:pStyle w:val="3"/>
        <w:rPr>
          <w:rStyle w:val="25"/>
          <w:rFonts w:ascii="仿宋" w:hAnsi="仿宋" w:eastAsia="仿宋"/>
          <w:b w:val="0"/>
          <w:bCs w:val="0"/>
        </w:rPr>
      </w:pPr>
      <w:bookmarkStart w:id="14" w:name="_Toc15396600"/>
      <w:bookmarkStart w:id="15" w:name="_Toc15377197"/>
      <w:bookmarkStart w:id="16" w:name="_Toc15377199"/>
      <w:bookmarkStart w:id="17" w:name="_Toc15378446"/>
      <w:r>
        <w:rPr>
          <w:rFonts w:hint="eastAsia" w:ascii="黑体" w:hAnsi="黑体" w:eastAsia="黑体"/>
          <w:b w:val="0"/>
          <w:color w:val="000000"/>
        </w:rPr>
        <w:t>一、基</w:t>
      </w:r>
      <w:r>
        <w:rPr>
          <w:rStyle w:val="25"/>
          <w:rFonts w:hint="eastAsia" w:ascii="黑体" w:hAnsi="黑体" w:eastAsia="黑体"/>
          <w:b w:val="0"/>
          <w:bCs w:val="0"/>
        </w:rPr>
        <w:t>本职能及主要工作</w:t>
      </w:r>
      <w:bookmarkEnd w:id="14"/>
      <w:bookmarkEnd w:id="15"/>
    </w:p>
    <w:p>
      <w:pPr>
        <w:pStyle w:val="5"/>
        <w:adjustRightInd w:val="0"/>
        <w:snapToGrid w:val="0"/>
        <w:spacing w:before="93" w:line="600" w:lineRule="exact"/>
        <w:ind w:firstLine="672" w:firstLineChars="210"/>
        <w:outlineLvl w:val="2"/>
        <w:rPr>
          <w:rFonts w:hint="eastAsia" w:ascii="仿宋" w:hAnsi="仿宋" w:eastAsia="仿宋"/>
          <w:bCs/>
          <w:color w:val="000000"/>
          <w:sz w:val="32"/>
          <w:szCs w:val="32"/>
        </w:rPr>
      </w:pPr>
      <w:bookmarkStart w:id="18" w:name="_Toc15378445"/>
      <w:bookmarkStart w:id="19" w:name="_Toc15377198"/>
      <w:r>
        <w:rPr>
          <w:rFonts w:hint="eastAsia" w:ascii="仿宋" w:hAnsi="仿宋" w:eastAsia="仿宋"/>
          <w:bCs/>
          <w:color w:val="000000"/>
          <w:sz w:val="32"/>
          <w:szCs w:val="32"/>
        </w:rPr>
        <w:t>（一）主要职能。</w:t>
      </w:r>
      <w:bookmarkEnd w:id="18"/>
      <w:bookmarkEnd w:id="19"/>
    </w:p>
    <w:p>
      <w:pPr>
        <w:spacing w:line="580" w:lineRule="exact"/>
        <w:ind w:firstLine="640" w:firstLineChars="200"/>
        <w:rPr>
          <w:rFonts w:hint="eastAsia" w:ascii="Times New Roman" w:hAnsi="Times New Roman" w:eastAsia="仿宋_GB2312"/>
          <w:sz w:val="32"/>
          <w:szCs w:val="32"/>
        </w:rPr>
      </w:pPr>
      <w:r>
        <w:rPr>
          <w:rFonts w:hint="eastAsia" w:ascii="仿宋_GB2312" w:hAnsi="仿宋" w:eastAsia="仿宋_GB2312"/>
          <w:sz w:val="32"/>
          <w:szCs w:val="32"/>
          <w:lang w:eastAsia="zh-CN"/>
        </w:rPr>
        <w:t>（</w:t>
      </w:r>
      <w:r>
        <w:rPr>
          <w:rFonts w:hint="eastAsia" w:ascii="仿宋_GB2312" w:hAnsi="仿宋" w:eastAsia="仿宋_GB2312"/>
          <w:sz w:val="32"/>
          <w:szCs w:val="32"/>
          <w:lang w:val="en-US" w:eastAsia="zh-CN"/>
        </w:rPr>
        <w:t>1</w:t>
      </w:r>
      <w:r>
        <w:rPr>
          <w:rFonts w:hint="eastAsia" w:ascii="仿宋_GB2312" w:hAnsi="仿宋" w:eastAsia="仿宋_GB2312"/>
          <w:sz w:val="32"/>
          <w:szCs w:val="32"/>
          <w:lang w:eastAsia="zh-CN"/>
        </w:rPr>
        <w:t>）</w:t>
      </w:r>
      <w:r>
        <w:rPr>
          <w:rFonts w:hint="eastAsia" w:ascii="Times New Roman" w:hAnsi="Times New Roman" w:eastAsia="仿宋_GB2312"/>
          <w:sz w:val="32"/>
          <w:szCs w:val="32"/>
        </w:rPr>
        <w:t>贯彻执行国家、省关于卫生计生工作的方针、政策和法律、法规、规章，负责拟订卫生计生发展的规范性文件，并组织实施。负责本系统、本部门依法行政工作，落实行政执法责任制，统筹规划全县卫生计生服务资源配置，拟定县域卫生计生规划的编制并组织实施，指导全县卫生计生工作。</w:t>
      </w:r>
    </w:p>
    <w:p>
      <w:pPr>
        <w:spacing w:line="580" w:lineRule="exact"/>
        <w:rPr>
          <w:rFonts w:hint="eastAsia" w:ascii="Times New Roman" w:hAnsi="Times New Roman" w:eastAsia="仿宋_GB2312"/>
          <w:sz w:val="32"/>
          <w:szCs w:val="32"/>
        </w:rPr>
      </w:pPr>
      <w:r>
        <w:rPr>
          <w:rFonts w:hint="eastAsia" w:ascii="Times New Roman" w:hAnsi="Times New Roman" w:eastAsia="仿宋_GB2312"/>
          <w:sz w:val="32"/>
          <w:szCs w:val="32"/>
        </w:rPr>
        <w:t xml:space="preserve">    </w:t>
      </w:r>
      <w:r>
        <w:rPr>
          <w:rFonts w:hint="eastAsia" w:ascii="Times New Roman" w:hAnsi="Times New Roman" w:eastAsia="仿宋_GB2312"/>
          <w:sz w:val="32"/>
          <w:szCs w:val="32"/>
          <w:lang w:eastAsia="zh-CN"/>
        </w:rPr>
        <w:t>（</w:t>
      </w:r>
      <w:r>
        <w:rPr>
          <w:rFonts w:hint="eastAsia" w:ascii="Times New Roman" w:hAnsi="Times New Roman" w:eastAsia="仿宋_GB2312"/>
          <w:sz w:val="32"/>
          <w:szCs w:val="32"/>
          <w:lang w:val="en-US" w:eastAsia="zh-CN"/>
        </w:rPr>
        <w:t>2</w:t>
      </w:r>
      <w:r>
        <w:rPr>
          <w:rFonts w:hint="eastAsia" w:ascii="Times New Roman" w:hAnsi="Times New Roman" w:eastAsia="仿宋_GB2312"/>
          <w:sz w:val="32"/>
          <w:szCs w:val="32"/>
          <w:lang w:eastAsia="zh-CN"/>
        </w:rPr>
        <w:t>）</w:t>
      </w:r>
      <w:r>
        <w:rPr>
          <w:rFonts w:hint="eastAsia" w:ascii="Times New Roman" w:hAnsi="Times New Roman" w:eastAsia="仿宋_GB2312"/>
          <w:sz w:val="32"/>
          <w:szCs w:val="32"/>
        </w:rPr>
        <w:t>负责制定全县疾病预防控制规划、免疫规划、严重危害人民健康的公共卫生问题的干预措施并组织实施，根据国家检疫传染病和监测传染病目录，制定全县卫生应急和紧急医学救援预案、突发公共卫生事件监测和风险评估计划，组织和指导全县突发公共卫生事件预防控制和各类突发公共事件的医疗卫生救援。上报突发公共卫生事件应急处置信息。拟订实施对人群健康危害严重的疾病及重大疾病防治规划与策略；贯彻国家、省、市免疫规划及政策措施；会同有关部门对重大疾病实施防控与干预；负责传染病防治监督，依法报告传染病疫情信息；贯彻预防为主方针，指导全民健康教育。</w:t>
      </w:r>
    </w:p>
    <w:p>
      <w:pPr>
        <w:spacing w:line="580" w:lineRule="exact"/>
        <w:rPr>
          <w:rFonts w:hint="eastAsia" w:ascii="Times New Roman" w:hAnsi="Times New Roman" w:eastAsia="仿宋_GB2312"/>
          <w:sz w:val="32"/>
          <w:szCs w:val="32"/>
        </w:rPr>
      </w:pPr>
      <w:r>
        <w:rPr>
          <w:rFonts w:hint="eastAsia" w:ascii="Times New Roman" w:hAnsi="Times New Roman" w:eastAsia="仿宋_GB2312"/>
          <w:sz w:val="32"/>
          <w:szCs w:val="32"/>
        </w:rPr>
        <w:t xml:space="preserve">    </w:t>
      </w:r>
      <w:r>
        <w:rPr>
          <w:rFonts w:hint="eastAsia" w:ascii="Times New Roman" w:hAnsi="Times New Roman" w:eastAsia="仿宋_GB2312"/>
          <w:sz w:val="32"/>
          <w:szCs w:val="32"/>
          <w:lang w:eastAsia="zh-CN"/>
        </w:rPr>
        <w:t>（</w:t>
      </w:r>
      <w:r>
        <w:rPr>
          <w:rFonts w:hint="eastAsia" w:ascii="Times New Roman" w:hAnsi="Times New Roman" w:eastAsia="仿宋_GB2312"/>
          <w:sz w:val="32"/>
          <w:szCs w:val="32"/>
          <w:lang w:val="en-US" w:eastAsia="zh-CN"/>
        </w:rPr>
        <w:t>3</w:t>
      </w:r>
      <w:r>
        <w:rPr>
          <w:rFonts w:hint="eastAsia" w:ascii="Times New Roman" w:hAnsi="Times New Roman" w:eastAsia="仿宋_GB2312"/>
          <w:sz w:val="32"/>
          <w:szCs w:val="32"/>
          <w:lang w:eastAsia="zh-CN"/>
        </w:rPr>
        <w:t>）</w:t>
      </w:r>
      <w:r>
        <w:rPr>
          <w:rFonts w:hint="eastAsia" w:ascii="Times New Roman" w:hAnsi="Times New Roman" w:eastAsia="仿宋_GB2312"/>
          <w:sz w:val="32"/>
          <w:szCs w:val="32"/>
        </w:rPr>
        <w:t>贯彻实施职责范围内的职业卫生、放射卫生、环境卫生、学校卫生、公共场所卫生、饮用水卫生管理规范、标准和政策措施，组织开展相关监测、调查、评估和监督，负责传染病防治监督，组织实施食品安全风险监测，开展食品安全企业标准备案，为食源性疾病及与食品安全事故有关的流行病学调查提供技术支持。负责规范职业病的预防、保健、检查和救治；指导规范卫生行政执法工作。</w:t>
      </w:r>
    </w:p>
    <w:p>
      <w:pPr>
        <w:spacing w:line="580" w:lineRule="exact"/>
        <w:rPr>
          <w:rFonts w:hint="eastAsia" w:ascii="Times New Roman" w:hAnsi="Times New Roman" w:eastAsia="仿宋_GB2312"/>
          <w:sz w:val="32"/>
          <w:szCs w:val="32"/>
        </w:rPr>
      </w:pPr>
      <w:r>
        <w:rPr>
          <w:rFonts w:hint="eastAsia" w:ascii="Times New Roman" w:hAnsi="Times New Roman" w:eastAsia="仿宋_GB2312"/>
          <w:sz w:val="32"/>
          <w:szCs w:val="32"/>
        </w:rPr>
        <w:t xml:space="preserve">    </w:t>
      </w:r>
      <w:r>
        <w:rPr>
          <w:rFonts w:hint="eastAsia" w:ascii="Times New Roman" w:hAnsi="Times New Roman" w:eastAsia="仿宋_GB2312"/>
          <w:sz w:val="32"/>
          <w:szCs w:val="32"/>
          <w:lang w:eastAsia="zh-CN"/>
        </w:rPr>
        <w:t>（</w:t>
      </w:r>
      <w:r>
        <w:rPr>
          <w:rFonts w:hint="eastAsia" w:ascii="Times New Roman" w:hAnsi="Times New Roman" w:eastAsia="仿宋_GB2312"/>
          <w:sz w:val="32"/>
          <w:szCs w:val="32"/>
          <w:lang w:val="en-US" w:eastAsia="zh-CN"/>
        </w:rPr>
        <w:t>4</w:t>
      </w:r>
      <w:r>
        <w:rPr>
          <w:rFonts w:hint="eastAsia" w:ascii="Times New Roman" w:hAnsi="Times New Roman" w:eastAsia="仿宋_GB2312"/>
          <w:sz w:val="32"/>
          <w:szCs w:val="32"/>
          <w:lang w:eastAsia="zh-CN"/>
        </w:rPr>
        <w:t>）</w:t>
      </w:r>
      <w:r>
        <w:rPr>
          <w:rFonts w:hint="eastAsia" w:ascii="Times New Roman" w:hAnsi="Times New Roman" w:eastAsia="仿宋_GB2312"/>
          <w:sz w:val="32"/>
          <w:szCs w:val="32"/>
        </w:rPr>
        <w:t>负责组织拟订并实施基层卫生和妇幼卫生、计划生育服务发展规划和政策措施，指导全县基层卫生和妇幼卫生、计划生育服务体系建设，推进基本公共卫生计生服务均等化，完善基层运行新机制和乡村医生管理制度。</w:t>
      </w:r>
    </w:p>
    <w:p>
      <w:pPr>
        <w:spacing w:line="580" w:lineRule="exact"/>
        <w:rPr>
          <w:rFonts w:hint="eastAsia" w:ascii="Times New Roman" w:hAnsi="Times New Roman" w:eastAsia="仿宋_GB2312"/>
          <w:sz w:val="32"/>
          <w:szCs w:val="32"/>
        </w:rPr>
      </w:pPr>
      <w:r>
        <w:rPr>
          <w:rFonts w:hint="eastAsia" w:ascii="Times New Roman" w:hAnsi="Times New Roman" w:eastAsia="仿宋_GB2312"/>
          <w:sz w:val="32"/>
          <w:szCs w:val="32"/>
        </w:rPr>
        <w:t xml:space="preserve">    </w:t>
      </w:r>
      <w:r>
        <w:rPr>
          <w:rFonts w:hint="eastAsia" w:ascii="Times New Roman" w:hAnsi="Times New Roman" w:eastAsia="仿宋_GB2312"/>
          <w:sz w:val="32"/>
          <w:szCs w:val="32"/>
          <w:lang w:eastAsia="zh-CN"/>
        </w:rPr>
        <w:t>（</w:t>
      </w:r>
      <w:r>
        <w:rPr>
          <w:rFonts w:hint="eastAsia" w:ascii="Times New Roman" w:hAnsi="Times New Roman" w:eastAsia="仿宋_GB2312"/>
          <w:sz w:val="32"/>
          <w:szCs w:val="32"/>
          <w:lang w:val="en-US" w:eastAsia="zh-CN"/>
        </w:rPr>
        <w:t>5</w:t>
      </w:r>
      <w:r>
        <w:rPr>
          <w:rFonts w:hint="eastAsia" w:ascii="Times New Roman" w:hAnsi="Times New Roman" w:eastAsia="仿宋_GB2312"/>
          <w:sz w:val="32"/>
          <w:szCs w:val="32"/>
          <w:lang w:eastAsia="zh-CN"/>
        </w:rPr>
        <w:t>）</w:t>
      </w:r>
      <w:r>
        <w:rPr>
          <w:rFonts w:hint="eastAsia" w:ascii="Times New Roman" w:hAnsi="Times New Roman" w:eastAsia="仿宋_GB2312"/>
          <w:sz w:val="32"/>
          <w:szCs w:val="32"/>
        </w:rPr>
        <w:t>负责制定全县医疗机构和医疗服务全行业管理办法并监督实施，组织实施医疗机构及其医疗服务、医疗技术、医疗质量、医疗安全管理，会同有关部门贯彻执行国家卫生计生专业技术人员准入、资格标准，组织实施卫生计生专业技术人员执业规则和服务规范，建立医疗服务评价和监督管理体系。</w:t>
      </w:r>
    </w:p>
    <w:p>
      <w:pPr>
        <w:spacing w:line="580" w:lineRule="exact"/>
        <w:ind w:firstLine="640" w:firstLineChars="200"/>
        <w:rPr>
          <w:rFonts w:hint="eastAsia" w:ascii="Times New Roman" w:hAnsi="Times New Roman" w:eastAsia="仿宋_GB2312"/>
          <w:sz w:val="32"/>
          <w:szCs w:val="32"/>
        </w:rPr>
      </w:pPr>
      <w:r>
        <w:rPr>
          <w:rFonts w:hint="eastAsia" w:ascii="Times New Roman" w:hAnsi="Times New Roman" w:eastAsia="仿宋_GB2312"/>
          <w:sz w:val="32"/>
          <w:szCs w:val="32"/>
          <w:lang w:eastAsia="zh-CN"/>
        </w:rPr>
        <w:t>（</w:t>
      </w:r>
      <w:r>
        <w:rPr>
          <w:rFonts w:hint="eastAsia" w:ascii="Times New Roman" w:hAnsi="Times New Roman" w:eastAsia="仿宋_GB2312"/>
          <w:sz w:val="32"/>
          <w:szCs w:val="32"/>
          <w:lang w:val="en-US" w:eastAsia="zh-CN"/>
        </w:rPr>
        <w:t>6</w:t>
      </w:r>
      <w:r>
        <w:rPr>
          <w:rFonts w:hint="eastAsia" w:ascii="Times New Roman" w:hAnsi="Times New Roman" w:eastAsia="仿宋_GB2312"/>
          <w:sz w:val="32"/>
          <w:szCs w:val="32"/>
          <w:lang w:eastAsia="zh-CN"/>
        </w:rPr>
        <w:t>）</w:t>
      </w:r>
      <w:r>
        <w:rPr>
          <w:rFonts w:hint="eastAsia" w:ascii="Times New Roman" w:hAnsi="Times New Roman" w:eastAsia="仿宋_GB2312"/>
          <w:sz w:val="32"/>
          <w:szCs w:val="32"/>
        </w:rPr>
        <w:t>负责建立公益性导向的绩效考核和评价运行机制，推进和谐医患关系建设，提出医疗服务和药品价格政策的建议。</w:t>
      </w:r>
    </w:p>
    <w:p>
      <w:pPr>
        <w:spacing w:line="580" w:lineRule="exact"/>
        <w:ind w:firstLine="640" w:firstLineChars="200"/>
        <w:rPr>
          <w:rFonts w:hint="eastAsia" w:ascii="Times New Roman" w:hAnsi="Times New Roman" w:eastAsia="仿宋_GB2312"/>
          <w:sz w:val="32"/>
          <w:szCs w:val="32"/>
        </w:rPr>
      </w:pPr>
      <w:r>
        <w:rPr>
          <w:rFonts w:hint="eastAsia" w:ascii="Times New Roman" w:hAnsi="Times New Roman" w:eastAsia="仿宋_GB2312"/>
          <w:sz w:val="32"/>
          <w:szCs w:val="32"/>
          <w:lang w:eastAsia="zh-CN"/>
        </w:rPr>
        <w:t>（</w:t>
      </w:r>
      <w:r>
        <w:rPr>
          <w:rFonts w:hint="eastAsia" w:ascii="Times New Roman" w:hAnsi="Times New Roman" w:eastAsia="仿宋_GB2312"/>
          <w:sz w:val="32"/>
          <w:szCs w:val="32"/>
          <w:lang w:val="en-US" w:eastAsia="zh-CN"/>
        </w:rPr>
        <w:t>7</w:t>
      </w:r>
      <w:r>
        <w:rPr>
          <w:rFonts w:hint="eastAsia" w:ascii="Times New Roman" w:hAnsi="Times New Roman" w:eastAsia="仿宋_GB2312"/>
          <w:sz w:val="32"/>
          <w:szCs w:val="32"/>
          <w:lang w:eastAsia="zh-CN"/>
        </w:rPr>
        <w:t>）</w:t>
      </w:r>
      <w:r>
        <w:rPr>
          <w:rFonts w:hint="eastAsia" w:ascii="Times New Roman" w:hAnsi="Times New Roman" w:eastAsia="仿宋_GB2312"/>
          <w:sz w:val="32"/>
          <w:szCs w:val="32"/>
        </w:rPr>
        <w:t>贯彻落实国家药物政策和国家基本药物制度，执行国家药品法典和国家基本药物目录、省增补目录，严格执行基本药物采购、配送、使用的政策措施。参与拟订我县基本药物采购、配送、使用的措施并对药品、医用器械采购招投标活动进行监督管理。</w:t>
      </w:r>
    </w:p>
    <w:p>
      <w:pPr>
        <w:spacing w:line="580" w:lineRule="exact"/>
        <w:ind w:firstLine="640" w:firstLineChars="200"/>
        <w:rPr>
          <w:rFonts w:hint="eastAsia" w:ascii="Times New Roman" w:hAnsi="Times New Roman" w:eastAsia="仿宋_GB2312"/>
          <w:sz w:val="32"/>
          <w:szCs w:val="32"/>
        </w:rPr>
      </w:pPr>
      <w:r>
        <w:rPr>
          <w:rFonts w:hint="eastAsia" w:ascii="Times New Roman" w:hAnsi="Times New Roman" w:eastAsia="仿宋_GB2312"/>
          <w:sz w:val="32"/>
          <w:szCs w:val="32"/>
          <w:lang w:eastAsia="zh-CN"/>
        </w:rPr>
        <w:t>（</w:t>
      </w:r>
      <w:r>
        <w:rPr>
          <w:rFonts w:hint="eastAsia" w:ascii="Times New Roman" w:hAnsi="Times New Roman" w:eastAsia="仿宋_GB2312"/>
          <w:sz w:val="32"/>
          <w:szCs w:val="32"/>
          <w:lang w:val="en-US" w:eastAsia="zh-CN"/>
        </w:rPr>
        <w:t>8</w:t>
      </w:r>
      <w:r>
        <w:rPr>
          <w:rFonts w:hint="eastAsia" w:ascii="Times New Roman" w:hAnsi="Times New Roman" w:eastAsia="仿宋_GB2312"/>
          <w:sz w:val="32"/>
          <w:szCs w:val="32"/>
          <w:lang w:eastAsia="zh-CN"/>
        </w:rPr>
        <w:t>）</w:t>
      </w:r>
      <w:r>
        <w:rPr>
          <w:rFonts w:hint="eastAsia" w:ascii="Times New Roman" w:hAnsi="Times New Roman" w:eastAsia="仿宋_GB2312"/>
          <w:sz w:val="32"/>
          <w:szCs w:val="32"/>
        </w:rPr>
        <w:t>组织拟订并实施农村卫生发展规划和措施,负责新型农村合作医疗的综合管理。</w:t>
      </w:r>
    </w:p>
    <w:p>
      <w:pPr>
        <w:spacing w:line="580" w:lineRule="exact"/>
        <w:ind w:firstLine="640" w:firstLineChars="200"/>
        <w:rPr>
          <w:rFonts w:hint="eastAsia" w:ascii="Times New Roman" w:hAnsi="Times New Roman" w:eastAsia="仿宋_GB2312"/>
          <w:sz w:val="32"/>
          <w:szCs w:val="32"/>
        </w:rPr>
      </w:pPr>
      <w:r>
        <w:rPr>
          <w:rFonts w:hint="eastAsia" w:ascii="Times New Roman" w:hAnsi="Times New Roman" w:eastAsia="仿宋_GB2312"/>
          <w:sz w:val="32"/>
          <w:szCs w:val="32"/>
          <w:lang w:eastAsia="zh-CN"/>
        </w:rPr>
        <w:t>（</w:t>
      </w:r>
      <w:r>
        <w:rPr>
          <w:rFonts w:hint="eastAsia" w:ascii="Times New Roman" w:hAnsi="Times New Roman" w:eastAsia="仿宋_GB2312"/>
          <w:sz w:val="32"/>
          <w:szCs w:val="32"/>
          <w:lang w:val="en-US" w:eastAsia="zh-CN"/>
        </w:rPr>
        <w:t>9</w:t>
      </w:r>
      <w:r>
        <w:rPr>
          <w:rFonts w:hint="eastAsia" w:ascii="Times New Roman" w:hAnsi="Times New Roman" w:eastAsia="仿宋_GB2312"/>
          <w:sz w:val="32"/>
          <w:szCs w:val="32"/>
          <w:lang w:eastAsia="zh-CN"/>
        </w:rPr>
        <w:t>）</w:t>
      </w:r>
      <w:r>
        <w:rPr>
          <w:rFonts w:hint="eastAsia" w:ascii="Times New Roman" w:hAnsi="Times New Roman" w:eastAsia="仿宋_GB2312"/>
          <w:sz w:val="32"/>
          <w:szCs w:val="32"/>
        </w:rPr>
        <w:t>组织实施促进全县出生人口性别平衡的政策措施，组织监测计划生育发展动态，负责全县计划生育相关数据采集和分析研究，提出发布计划生育安全预警预报信息建议，监督计划生育技术服务管理制度落实，推进优生优育政策措施落实，提高出生人口素质，推动实施计划生育生殖健康促进计划，降低出生缺陷人口数量。</w:t>
      </w:r>
    </w:p>
    <w:p>
      <w:pPr>
        <w:spacing w:line="580" w:lineRule="exact"/>
        <w:rPr>
          <w:rFonts w:hint="eastAsia" w:ascii="Times New Roman" w:hAnsi="Times New Roman" w:eastAsia="仿宋_GB2312"/>
          <w:sz w:val="32"/>
          <w:szCs w:val="32"/>
        </w:rPr>
      </w:pPr>
      <w:r>
        <w:rPr>
          <w:rFonts w:hint="eastAsia" w:ascii="Times New Roman" w:hAnsi="Times New Roman" w:eastAsia="仿宋_GB2312"/>
          <w:sz w:val="32"/>
          <w:szCs w:val="32"/>
        </w:rPr>
        <w:t xml:space="preserve">    </w:t>
      </w:r>
      <w:r>
        <w:rPr>
          <w:rFonts w:hint="eastAsia" w:ascii="Times New Roman" w:hAnsi="Times New Roman" w:eastAsia="仿宋_GB2312"/>
          <w:sz w:val="32"/>
          <w:szCs w:val="32"/>
          <w:lang w:eastAsia="zh-CN"/>
        </w:rPr>
        <w:t>（</w:t>
      </w:r>
      <w:r>
        <w:rPr>
          <w:rFonts w:hint="eastAsia" w:ascii="Times New Roman" w:hAnsi="Times New Roman" w:eastAsia="仿宋_GB2312"/>
          <w:sz w:val="32"/>
          <w:szCs w:val="32"/>
          <w:lang w:val="en-US" w:eastAsia="zh-CN"/>
        </w:rPr>
        <w:t>10</w:t>
      </w:r>
      <w:r>
        <w:rPr>
          <w:rFonts w:hint="eastAsia" w:ascii="Times New Roman" w:hAnsi="Times New Roman" w:eastAsia="仿宋_GB2312"/>
          <w:sz w:val="32"/>
          <w:szCs w:val="32"/>
          <w:lang w:eastAsia="zh-CN"/>
        </w:rPr>
        <w:t>）</w:t>
      </w:r>
      <w:r>
        <w:rPr>
          <w:rFonts w:hint="eastAsia" w:ascii="Times New Roman" w:hAnsi="Times New Roman" w:eastAsia="仿宋_GB2312"/>
          <w:sz w:val="32"/>
          <w:szCs w:val="32"/>
        </w:rPr>
        <w:t>组织建立计划生育利益导向机制、贯彻落实计划生育各项惠民帮扶措施，促进计划生育家庭发展；拟定全县计生“三结合”工作方案，指导部门和乡镇开展帮扶工作；协调推进有关部门、群众团体履行计划生育工作相关职责，建立与经济社会发展政策的衔接机制，提出稳定低生育水平政策措施。</w:t>
      </w:r>
    </w:p>
    <w:p>
      <w:pPr>
        <w:spacing w:line="580" w:lineRule="exact"/>
        <w:rPr>
          <w:rFonts w:hint="eastAsia" w:ascii="Times New Roman" w:hAnsi="Times New Roman" w:eastAsia="仿宋_GB2312"/>
          <w:sz w:val="32"/>
          <w:szCs w:val="32"/>
        </w:rPr>
      </w:pPr>
      <w:r>
        <w:rPr>
          <w:rFonts w:hint="eastAsia" w:ascii="Times New Roman" w:hAnsi="Times New Roman" w:eastAsia="仿宋_GB2312"/>
          <w:sz w:val="32"/>
          <w:szCs w:val="32"/>
        </w:rPr>
        <w:t xml:space="preserve">    </w:t>
      </w:r>
      <w:r>
        <w:rPr>
          <w:rFonts w:hint="eastAsia" w:ascii="Times New Roman" w:hAnsi="Times New Roman" w:eastAsia="仿宋_GB2312"/>
          <w:sz w:val="32"/>
          <w:szCs w:val="32"/>
          <w:lang w:eastAsia="zh-CN"/>
        </w:rPr>
        <w:t>（</w:t>
      </w:r>
      <w:r>
        <w:rPr>
          <w:rFonts w:hint="eastAsia" w:ascii="Times New Roman" w:hAnsi="Times New Roman" w:eastAsia="仿宋_GB2312"/>
          <w:sz w:val="32"/>
          <w:szCs w:val="32"/>
          <w:lang w:val="en-US" w:eastAsia="zh-CN"/>
        </w:rPr>
        <w:t>11</w:t>
      </w:r>
      <w:r>
        <w:rPr>
          <w:rFonts w:hint="eastAsia" w:ascii="Times New Roman" w:hAnsi="Times New Roman" w:eastAsia="仿宋_GB2312"/>
          <w:sz w:val="32"/>
          <w:szCs w:val="32"/>
          <w:lang w:eastAsia="zh-CN"/>
        </w:rPr>
        <w:t>）</w:t>
      </w:r>
      <w:r>
        <w:rPr>
          <w:rFonts w:hint="eastAsia" w:ascii="Times New Roman" w:hAnsi="Times New Roman" w:eastAsia="仿宋_GB2312"/>
          <w:sz w:val="32"/>
          <w:szCs w:val="32"/>
        </w:rPr>
        <w:t>组织拟订全县卫生计生人才发展规划，指导卫生计生人才队伍建设，加强全科医生等急需紧缺专业人才的引进和培养，贯彻落实住院医师和专科医师规范化培训制度。</w:t>
      </w:r>
    </w:p>
    <w:p>
      <w:pPr>
        <w:spacing w:line="580" w:lineRule="exact"/>
        <w:rPr>
          <w:rFonts w:hint="eastAsia" w:ascii="Times New Roman" w:hAnsi="Times New Roman" w:eastAsia="仿宋_GB2312"/>
          <w:sz w:val="32"/>
          <w:szCs w:val="32"/>
        </w:rPr>
      </w:pPr>
      <w:r>
        <w:rPr>
          <w:rFonts w:hint="eastAsia" w:ascii="Times New Roman" w:hAnsi="Times New Roman" w:eastAsia="仿宋_GB2312"/>
          <w:sz w:val="32"/>
          <w:szCs w:val="32"/>
        </w:rPr>
        <w:t xml:space="preserve">    </w:t>
      </w:r>
      <w:r>
        <w:rPr>
          <w:rFonts w:hint="eastAsia" w:ascii="Times New Roman" w:hAnsi="Times New Roman" w:eastAsia="仿宋_GB2312"/>
          <w:sz w:val="32"/>
          <w:szCs w:val="32"/>
          <w:lang w:eastAsia="zh-CN"/>
        </w:rPr>
        <w:t>（</w:t>
      </w:r>
      <w:r>
        <w:rPr>
          <w:rFonts w:hint="eastAsia" w:ascii="Times New Roman" w:hAnsi="Times New Roman" w:eastAsia="仿宋_GB2312"/>
          <w:sz w:val="32"/>
          <w:szCs w:val="32"/>
          <w:lang w:val="en-US" w:eastAsia="zh-CN"/>
        </w:rPr>
        <w:t>12</w:t>
      </w:r>
      <w:r>
        <w:rPr>
          <w:rFonts w:hint="eastAsia" w:ascii="Times New Roman" w:hAnsi="Times New Roman" w:eastAsia="仿宋_GB2312"/>
          <w:sz w:val="32"/>
          <w:szCs w:val="32"/>
          <w:lang w:eastAsia="zh-CN"/>
        </w:rPr>
        <w:t>）</w:t>
      </w:r>
      <w:r>
        <w:rPr>
          <w:rFonts w:hint="eastAsia" w:ascii="Times New Roman" w:hAnsi="Times New Roman" w:eastAsia="仿宋_GB2312"/>
          <w:sz w:val="32"/>
          <w:szCs w:val="32"/>
        </w:rPr>
        <w:t>组织拟订全县卫生计生科技发展规划，组织实施卫生计生相关科研项目，指导医药卫生科技成果转化和推广应用。组织指导实施继续医学教育。</w:t>
      </w:r>
    </w:p>
    <w:p>
      <w:pPr>
        <w:spacing w:line="580" w:lineRule="exact"/>
        <w:rPr>
          <w:rFonts w:hint="eastAsia" w:ascii="Times New Roman" w:hAnsi="Times New Roman" w:eastAsia="仿宋_GB2312"/>
          <w:sz w:val="32"/>
          <w:szCs w:val="32"/>
        </w:rPr>
      </w:pPr>
      <w:r>
        <w:rPr>
          <w:rFonts w:hint="eastAsia" w:ascii="Times New Roman" w:hAnsi="Times New Roman" w:eastAsia="仿宋_GB2312"/>
          <w:sz w:val="32"/>
          <w:szCs w:val="32"/>
        </w:rPr>
        <w:t xml:space="preserve">     </w:t>
      </w:r>
      <w:r>
        <w:rPr>
          <w:rFonts w:hint="eastAsia" w:ascii="Times New Roman" w:hAnsi="Times New Roman" w:eastAsia="仿宋_GB2312"/>
          <w:sz w:val="32"/>
          <w:szCs w:val="32"/>
          <w:lang w:eastAsia="zh-CN"/>
        </w:rPr>
        <w:t>（</w:t>
      </w:r>
      <w:r>
        <w:rPr>
          <w:rFonts w:hint="eastAsia" w:ascii="Times New Roman" w:hAnsi="Times New Roman" w:eastAsia="仿宋_GB2312"/>
          <w:sz w:val="32"/>
          <w:szCs w:val="32"/>
          <w:lang w:val="en-US" w:eastAsia="zh-CN"/>
        </w:rPr>
        <w:t>13</w:t>
      </w:r>
      <w:r>
        <w:rPr>
          <w:rFonts w:hint="eastAsia" w:ascii="Times New Roman" w:hAnsi="Times New Roman" w:eastAsia="仿宋_GB2312"/>
          <w:sz w:val="32"/>
          <w:szCs w:val="32"/>
          <w:lang w:eastAsia="zh-CN"/>
        </w:rPr>
        <w:t>）</w:t>
      </w:r>
      <w:r>
        <w:rPr>
          <w:rFonts w:hint="eastAsia" w:ascii="Times New Roman" w:hAnsi="Times New Roman" w:eastAsia="仿宋_GB2312"/>
          <w:sz w:val="32"/>
          <w:szCs w:val="32"/>
        </w:rPr>
        <w:t>负责卫生计生宣传、健康教育、健康促进和信息化建设等工作，依法组织实施统计调查，参与县人口基础信息库建设，组织卫生计生对外交流合作与卫生援外工作。</w:t>
      </w:r>
    </w:p>
    <w:p>
      <w:pPr>
        <w:spacing w:line="580" w:lineRule="exact"/>
        <w:rPr>
          <w:rFonts w:hint="eastAsia" w:ascii="Times New Roman" w:hAnsi="Times New Roman" w:eastAsia="仿宋_GB2312"/>
          <w:sz w:val="32"/>
          <w:szCs w:val="32"/>
        </w:rPr>
      </w:pPr>
      <w:r>
        <w:rPr>
          <w:rFonts w:hint="eastAsia" w:ascii="Times New Roman" w:hAnsi="Times New Roman" w:eastAsia="仿宋_GB2312"/>
          <w:sz w:val="32"/>
          <w:szCs w:val="32"/>
        </w:rPr>
        <w:t xml:space="preserve">    </w:t>
      </w:r>
      <w:r>
        <w:rPr>
          <w:rFonts w:hint="eastAsia" w:ascii="Times New Roman" w:hAnsi="Times New Roman" w:eastAsia="仿宋_GB2312"/>
          <w:sz w:val="32"/>
          <w:szCs w:val="32"/>
          <w:lang w:eastAsia="zh-CN"/>
        </w:rPr>
        <w:t>（</w:t>
      </w:r>
      <w:r>
        <w:rPr>
          <w:rFonts w:hint="eastAsia" w:ascii="Times New Roman" w:hAnsi="Times New Roman" w:eastAsia="仿宋_GB2312"/>
          <w:sz w:val="32"/>
          <w:szCs w:val="32"/>
          <w:lang w:val="en-US" w:eastAsia="zh-CN"/>
        </w:rPr>
        <w:t>14</w:t>
      </w:r>
      <w:r>
        <w:rPr>
          <w:rFonts w:hint="eastAsia" w:ascii="Times New Roman" w:hAnsi="Times New Roman" w:eastAsia="仿宋_GB2312"/>
          <w:sz w:val="32"/>
          <w:szCs w:val="32"/>
          <w:lang w:eastAsia="zh-CN"/>
        </w:rPr>
        <w:t>）</w:t>
      </w:r>
      <w:r>
        <w:rPr>
          <w:rFonts w:hint="eastAsia" w:ascii="Times New Roman" w:hAnsi="Times New Roman" w:eastAsia="仿宋_GB2312"/>
          <w:sz w:val="32"/>
          <w:szCs w:val="32"/>
        </w:rPr>
        <w:t>负责拟订全县中医药中长期发展规划，并纳入卫生计生事业发展总体规划和战略目标；承担全县中医医疗、预防、保健、康复及临床用药等的监督管理，指导基层医疗卫生机构中的中医药工作，开展中药资源的保护、开发和合理利用工作，负责中医药人才培养、中医药师承教育，继承和发展中医药文化。</w:t>
      </w:r>
    </w:p>
    <w:p>
      <w:pPr>
        <w:pStyle w:val="5"/>
        <w:adjustRightInd w:val="0"/>
        <w:snapToGrid w:val="0"/>
        <w:spacing w:before="93" w:line="600" w:lineRule="exact"/>
        <w:ind w:firstLine="672" w:firstLineChars="210"/>
        <w:outlineLvl w:val="2"/>
        <w:rPr>
          <w:rFonts w:hint="eastAsia" w:ascii="Times New Roman" w:hAnsi="Times New Roman" w:eastAsia="仿宋_GB2312"/>
          <w:sz w:val="32"/>
          <w:szCs w:val="32"/>
        </w:rPr>
      </w:pPr>
      <w:r>
        <w:rPr>
          <w:rFonts w:hint="eastAsia" w:ascii="Times New Roman" w:hAnsi="Times New Roman" w:eastAsia="仿宋_GB2312"/>
          <w:sz w:val="32"/>
          <w:szCs w:val="32"/>
        </w:rPr>
        <w:t xml:space="preserve">    </w:t>
      </w:r>
      <w:r>
        <w:rPr>
          <w:rFonts w:hint="eastAsia" w:ascii="Times New Roman" w:hAnsi="Times New Roman" w:eastAsia="仿宋_GB2312"/>
          <w:sz w:val="32"/>
          <w:szCs w:val="32"/>
          <w:lang w:eastAsia="zh-CN"/>
        </w:rPr>
        <w:t>（</w:t>
      </w:r>
      <w:r>
        <w:rPr>
          <w:rFonts w:hint="eastAsia" w:ascii="Times New Roman" w:hAnsi="Times New Roman" w:eastAsia="仿宋_GB2312"/>
          <w:sz w:val="32"/>
          <w:szCs w:val="32"/>
          <w:lang w:val="en-US" w:eastAsia="zh-CN"/>
        </w:rPr>
        <w:t>15</w:t>
      </w:r>
      <w:r>
        <w:rPr>
          <w:rFonts w:hint="eastAsia" w:ascii="Times New Roman" w:hAnsi="Times New Roman" w:eastAsia="仿宋_GB2312"/>
          <w:sz w:val="32"/>
          <w:szCs w:val="32"/>
          <w:lang w:eastAsia="zh-CN"/>
        </w:rPr>
        <w:t>）</w:t>
      </w:r>
      <w:r>
        <w:rPr>
          <w:rFonts w:hint="eastAsia" w:ascii="Times New Roman" w:hAnsi="Times New Roman" w:eastAsia="仿宋_GB2312"/>
          <w:sz w:val="32"/>
          <w:szCs w:val="32"/>
        </w:rPr>
        <w:t>承担县爱国卫生运动委员会、县重大传染病防治工作委员会、县政府血吸虫病防治工作领导小组、县政府地方病防治工作领导小组、县献血领导小组、县人口和计划生育领导小组的日常工作。</w:t>
      </w:r>
    </w:p>
    <w:p>
      <w:pPr>
        <w:pStyle w:val="5"/>
        <w:adjustRightInd w:val="0"/>
        <w:snapToGrid w:val="0"/>
        <w:spacing w:before="93" w:line="600" w:lineRule="exact"/>
        <w:ind w:firstLine="672" w:firstLineChars="210"/>
        <w:outlineLvl w:val="2"/>
        <w:rPr>
          <w:rFonts w:ascii="仿宋" w:hAnsi="仿宋" w:eastAsia="仿宋"/>
          <w:bCs/>
          <w:color w:val="000000"/>
          <w:sz w:val="32"/>
          <w:szCs w:val="32"/>
        </w:rPr>
      </w:pPr>
      <w:r>
        <w:rPr>
          <w:rFonts w:hint="eastAsia" w:ascii="仿宋" w:hAnsi="仿宋" w:eastAsia="仿宋"/>
          <w:bCs/>
          <w:color w:val="000000"/>
          <w:sz w:val="32"/>
          <w:szCs w:val="32"/>
        </w:rPr>
        <w:t>（二）</w:t>
      </w:r>
      <w:r>
        <w:rPr>
          <w:rFonts w:ascii="仿宋" w:hAnsi="仿宋" w:eastAsia="仿宋"/>
          <w:bCs/>
          <w:color w:val="000000"/>
          <w:sz w:val="32"/>
          <w:szCs w:val="32"/>
        </w:rPr>
        <w:t>201</w:t>
      </w:r>
      <w:r>
        <w:rPr>
          <w:rFonts w:hint="eastAsia" w:ascii="仿宋" w:hAnsi="仿宋" w:eastAsia="仿宋"/>
          <w:bCs/>
          <w:color w:val="000000"/>
          <w:sz w:val="32"/>
          <w:szCs w:val="32"/>
        </w:rPr>
        <w:t>9年重点工作完成情况。</w:t>
      </w:r>
      <w:bookmarkEnd w:id="16"/>
      <w:bookmarkEnd w:id="17"/>
    </w:p>
    <w:p>
      <w:pPr>
        <w:pStyle w:val="3"/>
        <w:rPr>
          <w:rStyle w:val="25"/>
          <w:b w:val="0"/>
          <w:bCs w:val="0"/>
        </w:rPr>
      </w:pPr>
      <w:bookmarkStart w:id="20" w:name="_Toc15396601"/>
      <w:bookmarkStart w:id="21" w:name="_Toc15377200"/>
      <w:r>
        <w:rPr>
          <w:rFonts w:hint="eastAsia" w:ascii="黑体" w:eastAsia="黑体"/>
          <w:b w:val="0"/>
          <w:color w:val="000000"/>
        </w:rPr>
        <w:t>二、</w:t>
      </w:r>
      <w:r>
        <w:rPr>
          <w:rFonts w:hint="eastAsia" w:ascii="黑体" w:hAnsi="黑体" w:eastAsia="黑体"/>
          <w:b w:val="0"/>
          <w:color w:val="000000"/>
        </w:rPr>
        <w:t>机</w:t>
      </w:r>
      <w:r>
        <w:rPr>
          <w:rStyle w:val="25"/>
          <w:rFonts w:hint="eastAsia" w:ascii="黑体" w:hAnsi="黑体" w:eastAsia="黑体"/>
          <w:b w:val="0"/>
          <w:bCs w:val="0"/>
        </w:rPr>
        <w:t>构设置</w:t>
      </w:r>
      <w:bookmarkEnd w:id="20"/>
      <w:bookmarkEnd w:id="21"/>
    </w:p>
    <w:p>
      <w:pPr>
        <w:spacing w:line="620" w:lineRule="exact"/>
        <w:ind w:firstLine="640" w:firstLineChars="200"/>
        <w:rPr>
          <w:rFonts w:ascii="仿宋" w:hAnsi="仿宋" w:eastAsia="仿宋"/>
          <w:color w:val="000000"/>
          <w:kern w:val="0"/>
          <w:sz w:val="32"/>
          <w:szCs w:val="32"/>
        </w:rPr>
      </w:pPr>
      <w:r>
        <w:rPr>
          <w:rFonts w:hint="eastAsia" w:ascii="仿宋" w:hAnsi="仿宋" w:eastAsia="仿宋"/>
          <w:sz w:val="32"/>
          <w:szCs w:val="32"/>
          <w:lang w:eastAsia="zh-CN"/>
        </w:rPr>
        <w:t>乐至县卫生和计划生育局</w:t>
      </w:r>
      <w:r>
        <w:rPr>
          <w:rFonts w:hint="eastAsia" w:ascii="仿宋" w:hAnsi="仿宋" w:eastAsia="仿宋"/>
          <w:sz w:val="32"/>
          <w:szCs w:val="32"/>
        </w:rPr>
        <w:t>下属二级单位</w:t>
      </w:r>
      <w:r>
        <w:rPr>
          <w:rFonts w:hint="eastAsia" w:ascii="仿宋" w:hAnsi="仿宋" w:eastAsia="仿宋"/>
          <w:sz w:val="32"/>
          <w:szCs w:val="32"/>
          <w:lang w:val="en-US" w:eastAsia="zh-CN"/>
        </w:rPr>
        <w:t>0</w:t>
      </w:r>
      <w:r>
        <w:rPr>
          <w:rFonts w:hint="eastAsia" w:ascii="仿宋" w:hAnsi="仿宋" w:eastAsia="仿宋"/>
          <w:sz w:val="32"/>
          <w:szCs w:val="32"/>
        </w:rPr>
        <w:t>个，其中行政单位</w:t>
      </w:r>
      <w:r>
        <w:rPr>
          <w:rFonts w:hint="eastAsia" w:ascii="仿宋" w:hAnsi="仿宋" w:eastAsia="仿宋"/>
          <w:sz w:val="32"/>
          <w:szCs w:val="32"/>
          <w:lang w:val="en-US" w:eastAsia="zh-CN"/>
        </w:rPr>
        <w:t>1</w:t>
      </w:r>
      <w:r>
        <w:rPr>
          <w:rFonts w:hint="eastAsia" w:ascii="仿宋" w:hAnsi="仿宋" w:eastAsia="仿宋"/>
          <w:sz w:val="32"/>
          <w:szCs w:val="32"/>
        </w:rPr>
        <w:t>个，参照公务员法管理的事业单位</w:t>
      </w:r>
      <w:r>
        <w:rPr>
          <w:rFonts w:hint="eastAsia" w:ascii="仿宋" w:hAnsi="仿宋" w:eastAsia="仿宋"/>
          <w:bCs/>
          <w:sz w:val="32"/>
          <w:szCs w:val="32"/>
          <w:lang w:val="en-US" w:eastAsia="zh-CN"/>
        </w:rPr>
        <w:t>1</w:t>
      </w:r>
      <w:r>
        <w:rPr>
          <w:rFonts w:hint="eastAsia" w:ascii="仿宋" w:hAnsi="仿宋" w:eastAsia="仿宋"/>
          <w:sz w:val="32"/>
          <w:szCs w:val="32"/>
        </w:rPr>
        <w:t>个，</w:t>
      </w:r>
      <w:r>
        <w:rPr>
          <w:rFonts w:hint="eastAsia" w:ascii="仿宋" w:hAnsi="仿宋" w:eastAsia="仿宋"/>
          <w:sz w:val="32"/>
          <w:szCs w:val="32"/>
          <w:lang w:val="en-US" w:eastAsia="zh-CN"/>
        </w:rPr>
        <w:t>即乐至县红十字会；</w:t>
      </w:r>
      <w:r>
        <w:rPr>
          <w:rFonts w:hint="eastAsia" w:ascii="仿宋" w:hAnsi="仿宋" w:eastAsia="仿宋"/>
          <w:sz w:val="32"/>
          <w:szCs w:val="32"/>
          <w:lang w:eastAsia="zh-CN"/>
        </w:rPr>
        <w:t>其他事业单位</w:t>
      </w:r>
      <w:r>
        <w:rPr>
          <w:rFonts w:hint="eastAsia" w:ascii="仿宋" w:hAnsi="仿宋" w:eastAsia="仿宋"/>
          <w:sz w:val="32"/>
          <w:szCs w:val="32"/>
          <w:lang w:val="en-US" w:eastAsia="zh-CN"/>
        </w:rPr>
        <w:t>1</w:t>
      </w:r>
      <w:r>
        <w:rPr>
          <w:rFonts w:hint="eastAsia" w:ascii="仿宋" w:hAnsi="仿宋" w:eastAsia="仿宋"/>
          <w:sz w:val="32"/>
          <w:szCs w:val="32"/>
          <w:lang w:eastAsia="zh-CN"/>
        </w:rPr>
        <w:t>个，即乐至县初级卫生保健委员会办公室。</w:t>
      </w:r>
    </w:p>
    <w:p>
      <w:pPr>
        <w:pStyle w:val="2"/>
        <w:ind w:right="440"/>
        <w:jc w:val="right"/>
        <w:rPr>
          <w:rStyle w:val="24"/>
          <w:rFonts w:ascii="黑体" w:hAnsi="黑体" w:eastAsia="黑体"/>
          <w:b w:val="0"/>
          <w:bCs w:val="0"/>
        </w:rPr>
      </w:pPr>
      <w:bookmarkStart w:id="22" w:name="_Toc15396602"/>
      <w:bookmarkStart w:id="23" w:name="_Toc15377204"/>
      <w:r>
        <w:rPr>
          <w:rFonts w:hint="eastAsia" w:ascii="黑体" w:hAnsi="黑体" w:eastAsia="黑体"/>
          <w:b w:val="0"/>
          <w:color w:val="000000"/>
        </w:rPr>
        <w:t>第二部分</w:t>
      </w:r>
      <w:r>
        <w:rPr>
          <w:rFonts w:hint="eastAsia" w:ascii="黑体" w:hAnsi="黑体" w:eastAsia="黑体"/>
          <w:color w:val="000000"/>
        </w:rPr>
        <w:t xml:space="preserve"> </w:t>
      </w:r>
      <w:r>
        <w:rPr>
          <w:rStyle w:val="24"/>
          <w:rFonts w:hint="eastAsia" w:ascii="黑体" w:hAnsi="黑体" w:eastAsia="黑体"/>
          <w:b w:val="0"/>
          <w:bCs w:val="0"/>
        </w:rPr>
        <w:t>2019年度部门决算情况说明</w:t>
      </w:r>
      <w:bookmarkEnd w:id="22"/>
      <w:bookmarkEnd w:id="23"/>
    </w:p>
    <w:p/>
    <w:p>
      <w:pPr>
        <w:pStyle w:val="23"/>
        <w:numPr>
          <w:ilvl w:val="0"/>
          <w:numId w:val="1"/>
        </w:numPr>
        <w:spacing w:line="600" w:lineRule="exact"/>
        <w:ind w:firstLineChars="0"/>
        <w:outlineLvl w:val="1"/>
        <w:rPr>
          <w:rStyle w:val="25"/>
          <w:rFonts w:ascii="黑体" w:hAnsi="黑体" w:eastAsia="黑体"/>
          <w:b w:val="0"/>
        </w:rPr>
      </w:pPr>
      <w:bookmarkStart w:id="24" w:name="_Toc15377205"/>
      <w:bookmarkStart w:id="25" w:name="_Toc15396603"/>
      <w:r>
        <w:rPr>
          <w:rFonts w:hint="eastAsia" w:ascii="黑体" w:hAnsi="黑体" w:eastAsia="黑体"/>
          <w:color w:val="000000"/>
          <w:sz w:val="32"/>
          <w:szCs w:val="32"/>
        </w:rPr>
        <w:t>收</w:t>
      </w:r>
      <w:r>
        <w:rPr>
          <w:rStyle w:val="25"/>
          <w:rFonts w:hint="eastAsia" w:ascii="黑体" w:hAnsi="黑体" w:eastAsia="黑体"/>
          <w:b w:val="0"/>
        </w:rPr>
        <w:t>入支出决算总体情况说明</w:t>
      </w:r>
      <w:bookmarkEnd w:id="24"/>
      <w:bookmarkEnd w:id="25"/>
    </w:p>
    <w:p>
      <w:pPr>
        <w:snapToGrid w:val="0"/>
        <w:spacing w:line="520" w:lineRule="exact"/>
        <w:ind w:firstLine="640" w:firstLineChars="200"/>
        <w:rPr>
          <w:rFonts w:ascii="仿宋" w:hAnsi="仿宋" w:eastAsia="仿宋"/>
          <w:color w:val="000000"/>
          <w:sz w:val="32"/>
          <w:szCs w:val="32"/>
        </w:rPr>
      </w:pPr>
      <w:r>
        <w:rPr>
          <w:rFonts w:hint="eastAsia" w:ascii="仿宋" w:hAnsi="仿宋" w:eastAsia="仿宋"/>
          <w:color w:val="000000"/>
          <w:sz w:val="32"/>
          <w:szCs w:val="32"/>
        </w:rPr>
        <w:t>2019年度收、支总计</w:t>
      </w:r>
      <w:r>
        <w:rPr>
          <w:rFonts w:hint="eastAsia" w:ascii="仿宋" w:hAnsi="仿宋" w:eastAsia="仿宋"/>
          <w:color w:val="000000"/>
          <w:sz w:val="32"/>
          <w:szCs w:val="32"/>
          <w:lang w:eastAsia="zh-CN"/>
        </w:rPr>
        <w:t>均为</w:t>
      </w:r>
      <w:r>
        <w:rPr>
          <w:rFonts w:hint="eastAsia" w:ascii="仿宋" w:hAnsi="仿宋" w:eastAsia="仿宋"/>
          <w:color w:val="000000"/>
          <w:sz w:val="32"/>
          <w:szCs w:val="32"/>
          <w:lang w:val="en-US" w:eastAsia="zh-CN"/>
        </w:rPr>
        <w:t>8756.46</w:t>
      </w:r>
      <w:r>
        <w:rPr>
          <w:rFonts w:hint="eastAsia" w:ascii="仿宋" w:hAnsi="仿宋" w:eastAsia="仿宋"/>
          <w:color w:val="000000"/>
          <w:sz w:val="32"/>
          <w:szCs w:val="32"/>
        </w:rPr>
        <w:t>万元。与2018年相比，收、支总计各增加</w:t>
      </w:r>
      <w:r>
        <w:rPr>
          <w:rFonts w:hint="eastAsia" w:ascii="仿宋" w:hAnsi="仿宋" w:eastAsia="仿宋"/>
          <w:color w:val="000000"/>
          <w:sz w:val="32"/>
          <w:szCs w:val="32"/>
          <w:lang w:val="en-US" w:eastAsia="zh-CN"/>
        </w:rPr>
        <w:t>7808.9</w:t>
      </w:r>
      <w:r>
        <w:rPr>
          <w:rFonts w:hint="eastAsia" w:ascii="仿宋" w:hAnsi="仿宋" w:eastAsia="仿宋"/>
          <w:color w:val="000000"/>
          <w:sz w:val="32"/>
          <w:szCs w:val="32"/>
        </w:rPr>
        <w:t>万元</w:t>
      </w:r>
      <w:r>
        <w:rPr>
          <w:rFonts w:hint="eastAsia" w:ascii="仿宋" w:hAnsi="仿宋" w:eastAsia="仿宋"/>
          <w:color w:val="000000"/>
          <w:sz w:val="32"/>
          <w:szCs w:val="32"/>
          <w:lang w:eastAsia="zh-CN"/>
        </w:rPr>
        <w:t>、</w:t>
      </w:r>
      <w:r>
        <w:rPr>
          <w:rFonts w:hint="eastAsia" w:ascii="仿宋" w:hAnsi="仿宋" w:eastAsia="仿宋"/>
          <w:color w:val="000000"/>
          <w:sz w:val="32"/>
          <w:szCs w:val="32"/>
          <w:lang w:val="en-US" w:eastAsia="zh-CN"/>
        </w:rPr>
        <w:t>7777.1万元</w:t>
      </w:r>
      <w:r>
        <w:rPr>
          <w:rFonts w:hint="eastAsia" w:ascii="仿宋" w:hAnsi="仿宋" w:eastAsia="仿宋"/>
          <w:color w:val="000000"/>
          <w:sz w:val="32"/>
          <w:szCs w:val="32"/>
        </w:rPr>
        <w:t>，增长</w:t>
      </w:r>
      <w:r>
        <w:rPr>
          <w:rFonts w:hint="eastAsia" w:ascii="仿宋" w:hAnsi="仿宋" w:eastAsia="仿宋"/>
          <w:color w:val="000000"/>
          <w:sz w:val="32"/>
          <w:szCs w:val="32"/>
          <w:lang w:val="en-US" w:eastAsia="zh-CN"/>
        </w:rPr>
        <w:t>824.1</w:t>
      </w:r>
      <w:r>
        <w:rPr>
          <w:rFonts w:ascii="仿宋" w:hAnsi="仿宋" w:eastAsia="仿宋"/>
          <w:color w:val="000000"/>
          <w:sz w:val="32"/>
          <w:szCs w:val="32"/>
        </w:rPr>
        <w:t>%</w:t>
      </w:r>
      <w:r>
        <w:rPr>
          <w:rFonts w:hint="eastAsia" w:ascii="仿宋" w:hAnsi="仿宋" w:eastAsia="仿宋"/>
          <w:color w:val="000000"/>
          <w:sz w:val="32"/>
          <w:szCs w:val="32"/>
          <w:lang w:eastAsia="zh-CN"/>
        </w:rPr>
        <w:t>、</w:t>
      </w:r>
      <w:r>
        <w:rPr>
          <w:rFonts w:hint="eastAsia" w:ascii="仿宋" w:hAnsi="仿宋" w:eastAsia="仿宋"/>
          <w:color w:val="000000"/>
          <w:sz w:val="32"/>
          <w:szCs w:val="32"/>
          <w:lang w:val="en-US" w:eastAsia="zh-CN"/>
        </w:rPr>
        <w:t>793.1%</w:t>
      </w:r>
      <w:r>
        <w:rPr>
          <w:rFonts w:hint="eastAsia" w:ascii="仿宋" w:hAnsi="仿宋" w:eastAsia="仿宋"/>
          <w:color w:val="000000"/>
          <w:sz w:val="32"/>
          <w:szCs w:val="32"/>
        </w:rPr>
        <w:t>。主要变动原因是</w:t>
      </w:r>
      <w:r>
        <w:rPr>
          <w:rFonts w:hint="eastAsia" w:ascii="仿宋_GB2312" w:eastAsia="仿宋_GB2312"/>
          <w:sz w:val="32"/>
          <w:szCs w:val="32"/>
        </w:rPr>
        <w:t>因为</w:t>
      </w:r>
      <w:r>
        <w:rPr>
          <w:rFonts w:hint="eastAsia" w:ascii="仿宋_GB2312" w:eastAsia="仿宋_GB2312"/>
          <w:sz w:val="32"/>
          <w:szCs w:val="32"/>
          <w:lang w:eastAsia="zh-CN"/>
        </w:rPr>
        <w:t>增加了</w:t>
      </w:r>
      <w:r>
        <w:rPr>
          <w:rFonts w:hint="eastAsia" w:ascii="仿宋_GB2312" w:eastAsia="仿宋_GB2312"/>
          <w:sz w:val="32"/>
          <w:szCs w:val="32"/>
          <w:lang w:val="en-US" w:eastAsia="zh-CN"/>
        </w:rPr>
        <w:t>2019年专项债券资金、2019年一般债券资金、艾滋病资金、创建卫生城市资金等专项工作经费</w:t>
      </w:r>
      <w:r>
        <w:rPr>
          <w:rFonts w:hint="eastAsia" w:ascii="仿宋_GB2312" w:hAnsi="仿宋" w:eastAsia="仿宋_GB2312"/>
          <w:sz w:val="32"/>
          <w:szCs w:val="32"/>
          <w:lang w:eastAsia="zh-CN"/>
        </w:rPr>
        <w:t>。</w:t>
      </w:r>
    </w:p>
    <w:p>
      <w:pPr>
        <w:spacing w:line="600" w:lineRule="exact"/>
        <w:rPr>
          <w:rFonts w:ascii="仿宋_GB2312" w:eastAsia="仿宋_GB2312"/>
          <w:color w:val="000000"/>
          <w:sz w:val="32"/>
          <w:szCs w:val="32"/>
        </w:rPr>
      </w:pPr>
      <w:r>
        <w:rPr>
          <w:rFonts w:hint="eastAsia" w:ascii="仿宋_GB2312" w:hAnsi="仿宋" w:eastAsia="仿宋_GB2312"/>
          <w:sz w:val="32"/>
          <w:szCs w:val="32"/>
          <w:lang w:eastAsia="zh-CN"/>
        </w:rPr>
        <w:drawing>
          <wp:anchor distT="0" distB="0" distL="114300" distR="114300" simplePos="0" relativeHeight="251658240" behindDoc="0" locked="0" layoutInCell="1" allowOverlap="1">
            <wp:simplePos x="0" y="0"/>
            <wp:positionH relativeFrom="column">
              <wp:posOffset>147320</wp:posOffset>
            </wp:positionH>
            <wp:positionV relativeFrom="paragraph">
              <wp:posOffset>48895</wp:posOffset>
            </wp:positionV>
            <wp:extent cx="5080000" cy="3309620"/>
            <wp:effectExtent l="4445" t="4445" r="20955" b="19685"/>
            <wp:wrapTopAndBottom/>
            <wp:docPr id="1"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anchor>
        </w:drawing>
      </w:r>
      <w:r>
        <w:rPr>
          <w:rFonts w:hint="eastAsia" w:ascii="仿宋_GB2312" w:hAnsi="仿宋" w:eastAsia="仿宋_GB2312"/>
          <w:sz w:val="32"/>
          <w:szCs w:val="32"/>
          <w:lang w:val="en-US" w:eastAsia="zh-CN"/>
        </w:rPr>
        <w:t xml:space="preserve">     </w:t>
      </w:r>
      <w:r>
        <w:rPr>
          <w:rFonts w:hint="eastAsia" w:ascii="仿宋" w:hAnsi="仿宋" w:eastAsia="仿宋"/>
          <w:color w:val="000000" w:themeColor="text1"/>
          <w:sz w:val="32"/>
          <w:szCs w:val="32"/>
        </w:rPr>
        <w:t>（图</w:t>
      </w:r>
      <w:r>
        <w:rPr>
          <w:rFonts w:ascii="仿宋" w:hAnsi="仿宋" w:eastAsia="仿宋"/>
          <w:color w:val="000000" w:themeColor="text1"/>
          <w:sz w:val="32"/>
          <w:szCs w:val="32"/>
        </w:rPr>
        <w:t>1</w:t>
      </w:r>
      <w:r>
        <w:rPr>
          <w:rFonts w:hint="eastAsia" w:ascii="仿宋" w:hAnsi="仿宋" w:eastAsia="仿宋"/>
          <w:color w:val="000000" w:themeColor="text1"/>
          <w:sz w:val="32"/>
          <w:szCs w:val="32"/>
        </w:rPr>
        <w:t>：收、支决算总计变动情况图）（柱状图）</w:t>
      </w:r>
    </w:p>
    <w:p>
      <w:pPr>
        <w:pStyle w:val="23"/>
        <w:numPr>
          <w:ilvl w:val="0"/>
          <w:numId w:val="1"/>
        </w:numPr>
        <w:spacing w:line="600" w:lineRule="exact"/>
        <w:ind w:firstLineChars="0"/>
        <w:outlineLvl w:val="1"/>
        <w:rPr>
          <w:rStyle w:val="25"/>
          <w:rFonts w:ascii="黑体" w:hAnsi="黑体" w:eastAsia="黑体"/>
          <w:b w:val="0"/>
        </w:rPr>
      </w:pPr>
      <w:bookmarkStart w:id="26" w:name="_Toc15377206"/>
      <w:bookmarkStart w:id="27" w:name="_Toc15396604"/>
      <w:r>
        <w:rPr>
          <w:rFonts w:hint="eastAsia" w:ascii="黑体" w:hAnsi="黑体" w:eastAsia="黑体"/>
          <w:color w:val="000000"/>
          <w:sz w:val="32"/>
          <w:szCs w:val="32"/>
        </w:rPr>
        <w:t>收</w:t>
      </w:r>
      <w:r>
        <w:rPr>
          <w:rStyle w:val="25"/>
          <w:rFonts w:hint="eastAsia" w:ascii="黑体" w:hAnsi="黑体" w:eastAsia="黑体"/>
          <w:b w:val="0"/>
        </w:rPr>
        <w:t>入决算情况说明</w:t>
      </w:r>
      <w:bookmarkEnd w:id="26"/>
      <w:bookmarkEnd w:id="27"/>
    </w:p>
    <w:p>
      <w:pPr>
        <w:spacing w:line="600" w:lineRule="exact"/>
        <w:ind w:firstLine="640" w:firstLineChars="200"/>
        <w:outlineLvl w:val="1"/>
        <w:rPr>
          <w:rFonts w:hint="eastAsia" w:ascii="仿宋" w:hAnsi="仿宋" w:eastAsia="仿宋"/>
          <w:color w:val="000000"/>
          <w:sz w:val="32"/>
          <w:szCs w:val="32"/>
          <w:lang w:val="en-US" w:eastAsia="zh-CN"/>
        </w:rPr>
      </w:pPr>
      <w:r>
        <w:rPr>
          <w:rFonts w:ascii="仿宋" w:hAnsi="仿宋" w:eastAsia="仿宋"/>
          <w:color w:val="000000"/>
          <w:sz w:val="32"/>
          <w:szCs w:val="32"/>
        </w:rPr>
        <w:t>201</w:t>
      </w:r>
      <w:r>
        <w:rPr>
          <w:rFonts w:hint="eastAsia" w:ascii="仿宋" w:hAnsi="仿宋" w:eastAsia="仿宋"/>
          <w:color w:val="000000"/>
          <w:sz w:val="32"/>
          <w:szCs w:val="32"/>
        </w:rPr>
        <w:t>9年本年收入合计</w:t>
      </w:r>
      <w:r>
        <w:rPr>
          <w:rFonts w:hint="eastAsia" w:ascii="仿宋" w:hAnsi="仿宋" w:eastAsia="仿宋"/>
          <w:color w:val="000000"/>
          <w:sz w:val="32"/>
          <w:szCs w:val="32"/>
          <w:lang w:val="en-US" w:eastAsia="zh-CN"/>
        </w:rPr>
        <w:t>8756.46</w:t>
      </w:r>
      <w:r>
        <w:rPr>
          <w:rFonts w:hint="eastAsia" w:ascii="仿宋" w:hAnsi="仿宋" w:eastAsia="仿宋"/>
          <w:color w:val="000000"/>
          <w:sz w:val="32"/>
          <w:szCs w:val="32"/>
        </w:rPr>
        <w:t>万元，其中：一般公共预算财政拨款收入4727.45万元，占</w:t>
      </w:r>
      <w:r>
        <w:rPr>
          <w:rFonts w:hint="eastAsia" w:ascii="仿宋" w:hAnsi="仿宋" w:eastAsia="仿宋"/>
          <w:color w:val="000000"/>
          <w:sz w:val="32"/>
          <w:szCs w:val="32"/>
          <w:lang w:val="en-US" w:eastAsia="zh-CN"/>
        </w:rPr>
        <w:t>53.99</w:t>
      </w:r>
      <w:r>
        <w:rPr>
          <w:rFonts w:ascii="仿宋" w:hAnsi="仿宋" w:eastAsia="仿宋"/>
          <w:color w:val="000000"/>
          <w:sz w:val="32"/>
          <w:szCs w:val="32"/>
        </w:rPr>
        <w:t>%</w:t>
      </w:r>
      <w:r>
        <w:rPr>
          <w:rFonts w:hint="eastAsia" w:ascii="仿宋" w:hAnsi="仿宋" w:eastAsia="仿宋"/>
          <w:color w:val="000000"/>
          <w:sz w:val="32"/>
          <w:szCs w:val="32"/>
        </w:rPr>
        <w:t>；政府性基金预算财政拨款收入</w:t>
      </w:r>
      <w:r>
        <w:rPr>
          <w:rFonts w:hint="eastAsia" w:ascii="仿宋" w:hAnsi="仿宋" w:eastAsia="仿宋"/>
          <w:color w:val="000000"/>
          <w:sz w:val="32"/>
          <w:szCs w:val="32"/>
          <w:lang w:val="en-US" w:eastAsia="zh-CN"/>
        </w:rPr>
        <w:t>4000</w:t>
      </w:r>
      <w:r>
        <w:rPr>
          <w:rFonts w:hint="eastAsia" w:ascii="仿宋" w:hAnsi="仿宋" w:eastAsia="仿宋"/>
          <w:color w:val="000000"/>
          <w:sz w:val="32"/>
          <w:szCs w:val="32"/>
        </w:rPr>
        <w:t>万元，占</w:t>
      </w:r>
      <w:r>
        <w:rPr>
          <w:rFonts w:hint="eastAsia" w:ascii="仿宋" w:hAnsi="仿宋" w:eastAsia="仿宋"/>
          <w:color w:val="000000"/>
          <w:sz w:val="32"/>
          <w:szCs w:val="32"/>
          <w:lang w:val="en-US" w:eastAsia="zh-CN"/>
        </w:rPr>
        <w:t>45.68</w:t>
      </w:r>
      <w:r>
        <w:rPr>
          <w:rFonts w:ascii="仿宋" w:hAnsi="仿宋" w:eastAsia="仿宋"/>
          <w:color w:val="000000"/>
          <w:sz w:val="32"/>
          <w:szCs w:val="32"/>
        </w:rPr>
        <w:t>%</w:t>
      </w:r>
      <w:r>
        <w:rPr>
          <w:rFonts w:hint="eastAsia" w:ascii="仿宋" w:hAnsi="仿宋" w:eastAsia="仿宋"/>
          <w:color w:val="000000"/>
          <w:sz w:val="32"/>
          <w:szCs w:val="32"/>
        </w:rPr>
        <w:t>；</w:t>
      </w:r>
      <w:r>
        <w:rPr>
          <w:rFonts w:hint="eastAsia" w:ascii="仿宋" w:hAnsi="仿宋" w:eastAsia="仿宋"/>
          <w:color w:val="000000" w:themeColor="text1"/>
          <w:sz w:val="32"/>
          <w:szCs w:val="32"/>
        </w:rPr>
        <w:t>上级补助收入</w:t>
      </w:r>
      <w:r>
        <w:rPr>
          <w:rFonts w:hint="eastAsia" w:ascii="仿宋" w:hAnsi="仿宋" w:eastAsia="仿宋"/>
          <w:color w:val="000000" w:themeColor="text1"/>
          <w:sz w:val="32"/>
          <w:szCs w:val="32"/>
          <w:lang w:val="en-US" w:eastAsia="zh-CN"/>
        </w:rPr>
        <w:t>0</w:t>
      </w:r>
      <w:r>
        <w:rPr>
          <w:rFonts w:hint="eastAsia" w:ascii="仿宋" w:hAnsi="仿宋" w:eastAsia="仿宋"/>
          <w:color w:val="000000"/>
          <w:sz w:val="32"/>
          <w:szCs w:val="32"/>
        </w:rPr>
        <w:t>万元；事业收入</w:t>
      </w:r>
      <w:r>
        <w:rPr>
          <w:rFonts w:hint="eastAsia" w:ascii="仿宋" w:hAnsi="仿宋" w:eastAsia="仿宋"/>
          <w:color w:val="000000"/>
          <w:sz w:val="32"/>
          <w:szCs w:val="32"/>
          <w:lang w:val="en-US" w:eastAsia="zh-CN"/>
        </w:rPr>
        <w:t>0</w:t>
      </w:r>
      <w:r>
        <w:rPr>
          <w:rFonts w:hint="eastAsia" w:ascii="仿宋" w:hAnsi="仿宋" w:eastAsia="仿宋"/>
          <w:color w:val="000000"/>
          <w:sz w:val="32"/>
          <w:szCs w:val="32"/>
        </w:rPr>
        <w:t>万元；经营收入</w:t>
      </w:r>
      <w:r>
        <w:rPr>
          <w:rFonts w:hint="eastAsia" w:ascii="仿宋" w:hAnsi="仿宋" w:eastAsia="仿宋"/>
          <w:color w:val="000000"/>
          <w:sz w:val="32"/>
          <w:szCs w:val="32"/>
          <w:lang w:val="en-US" w:eastAsia="zh-CN"/>
        </w:rPr>
        <w:t>0</w:t>
      </w:r>
      <w:r>
        <w:rPr>
          <w:rFonts w:hint="eastAsia" w:ascii="仿宋" w:hAnsi="仿宋" w:eastAsia="仿宋"/>
          <w:color w:val="000000"/>
          <w:sz w:val="32"/>
          <w:szCs w:val="32"/>
        </w:rPr>
        <w:t>万元；附属单位上缴收入</w:t>
      </w:r>
      <w:r>
        <w:rPr>
          <w:rFonts w:hint="eastAsia" w:ascii="仿宋" w:hAnsi="仿宋" w:eastAsia="仿宋"/>
          <w:color w:val="000000"/>
          <w:sz w:val="32"/>
          <w:szCs w:val="32"/>
          <w:lang w:val="en-US" w:eastAsia="zh-CN"/>
        </w:rPr>
        <w:t>0</w:t>
      </w:r>
      <w:r>
        <w:rPr>
          <w:rFonts w:hint="eastAsia" w:ascii="仿宋" w:hAnsi="仿宋" w:eastAsia="仿宋"/>
          <w:color w:val="000000"/>
          <w:sz w:val="32"/>
          <w:szCs w:val="32"/>
        </w:rPr>
        <w:t>万元；其他收入24.43万元，占</w:t>
      </w:r>
      <w:r>
        <w:rPr>
          <w:rFonts w:hint="eastAsia" w:ascii="仿宋" w:hAnsi="仿宋" w:eastAsia="仿宋"/>
          <w:color w:val="000000"/>
          <w:sz w:val="32"/>
          <w:szCs w:val="32"/>
          <w:lang w:val="en-US" w:eastAsia="zh-CN"/>
        </w:rPr>
        <w:t>0.27</w:t>
      </w:r>
      <w:r>
        <w:rPr>
          <w:rFonts w:ascii="仿宋" w:hAnsi="仿宋" w:eastAsia="仿宋"/>
          <w:color w:val="000000"/>
          <w:sz w:val="32"/>
          <w:szCs w:val="32"/>
        </w:rPr>
        <w:t>%</w:t>
      </w:r>
      <w:r>
        <w:rPr>
          <w:rFonts w:hint="eastAsia" w:ascii="仿宋" w:hAnsi="仿宋" w:eastAsia="仿宋"/>
          <w:color w:val="000000"/>
          <w:sz w:val="32"/>
          <w:szCs w:val="32"/>
          <w:lang w:eastAsia="zh-CN"/>
        </w:rPr>
        <w:t>；年初结转和结余4.58万元，占</w:t>
      </w:r>
      <w:r>
        <w:rPr>
          <w:rFonts w:hint="eastAsia" w:ascii="仿宋" w:hAnsi="仿宋" w:eastAsia="仿宋"/>
          <w:color w:val="000000"/>
          <w:sz w:val="32"/>
          <w:szCs w:val="32"/>
          <w:lang w:val="en-US" w:eastAsia="zh-CN"/>
        </w:rPr>
        <w:t>0.06%。</w:t>
      </w:r>
    </w:p>
    <w:p>
      <w:pPr>
        <w:spacing w:line="600" w:lineRule="exact"/>
        <w:ind w:firstLine="640" w:firstLineChars="200"/>
        <w:outlineLvl w:val="1"/>
        <w:rPr>
          <w:rFonts w:hint="eastAsia" w:ascii="仿宋" w:hAnsi="仿宋" w:eastAsia="仿宋"/>
          <w:color w:val="000000"/>
          <w:sz w:val="32"/>
          <w:szCs w:val="32"/>
          <w:lang w:val="en-US" w:eastAsia="zh-CN"/>
        </w:rPr>
      </w:pPr>
    </w:p>
    <w:p>
      <w:pPr>
        <w:spacing w:line="600" w:lineRule="exact"/>
        <w:ind w:firstLine="640" w:firstLineChars="200"/>
        <w:outlineLvl w:val="1"/>
        <w:rPr>
          <w:rFonts w:hint="eastAsia" w:ascii="仿宋" w:hAnsi="仿宋" w:eastAsia="仿宋"/>
          <w:color w:val="000000"/>
          <w:sz w:val="32"/>
          <w:szCs w:val="32"/>
          <w:lang w:val="en-US" w:eastAsia="zh-CN"/>
        </w:rPr>
      </w:pPr>
    </w:p>
    <w:p>
      <w:pPr>
        <w:spacing w:line="600" w:lineRule="exact"/>
        <w:ind w:firstLine="640" w:firstLineChars="200"/>
        <w:outlineLvl w:val="1"/>
        <w:rPr>
          <w:rFonts w:hint="default" w:ascii="仿宋" w:hAnsi="仿宋" w:eastAsia="仿宋"/>
          <w:color w:val="000000"/>
          <w:sz w:val="32"/>
          <w:szCs w:val="32"/>
          <w:lang w:val="en-US" w:eastAsia="zh-CN"/>
        </w:rPr>
      </w:pPr>
    </w:p>
    <w:p>
      <w:pPr>
        <w:spacing w:line="600" w:lineRule="exact"/>
        <w:ind w:firstLine="640" w:firstLineChars="200"/>
        <w:outlineLvl w:val="1"/>
        <w:rPr>
          <w:rFonts w:ascii="仿宋" w:hAnsi="仿宋" w:eastAsia="仿宋"/>
          <w:color w:val="000000"/>
          <w:sz w:val="32"/>
          <w:szCs w:val="32"/>
        </w:rPr>
      </w:pPr>
    </w:p>
    <w:p>
      <w:pPr>
        <w:tabs>
          <w:tab w:val="left" w:pos="3493"/>
        </w:tabs>
        <w:spacing w:line="600" w:lineRule="exact"/>
        <w:ind w:firstLine="1920" w:firstLineChars="600"/>
        <w:rPr>
          <w:rFonts w:ascii="仿宋_GB2312" w:eastAsia="仿宋_GB2312"/>
          <w:color w:val="FF0000"/>
          <w:sz w:val="32"/>
          <w:szCs w:val="32"/>
        </w:rPr>
      </w:pPr>
      <w:r>
        <w:rPr>
          <w:rFonts w:hint="eastAsia" w:ascii="仿宋" w:hAnsi="仿宋" w:eastAsia="仿宋"/>
          <w:color w:val="000000"/>
          <w:sz w:val="32"/>
          <w:szCs w:val="32"/>
          <w:lang w:val="en-US" w:eastAsia="zh-CN"/>
        </w:rPr>
        <w:drawing>
          <wp:anchor distT="0" distB="0" distL="114300" distR="114300" simplePos="0" relativeHeight="251659264" behindDoc="0" locked="0" layoutInCell="1" allowOverlap="1">
            <wp:simplePos x="0" y="0"/>
            <wp:positionH relativeFrom="column">
              <wp:posOffset>410845</wp:posOffset>
            </wp:positionH>
            <wp:positionV relativeFrom="paragraph">
              <wp:posOffset>-3519805</wp:posOffset>
            </wp:positionV>
            <wp:extent cx="4775200" cy="3115310"/>
            <wp:effectExtent l="4445" t="4445" r="20955" b="23495"/>
            <wp:wrapTopAndBottom/>
            <wp:docPr id="2"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anchor>
        </w:drawing>
      </w:r>
      <w:r>
        <w:rPr>
          <w:rFonts w:hint="eastAsia" w:ascii="仿宋" w:hAnsi="仿宋" w:eastAsia="仿宋"/>
          <w:color w:val="000000" w:themeColor="text1"/>
          <w:sz w:val="32"/>
          <w:szCs w:val="32"/>
        </w:rPr>
        <w:t>（图2：收入决算结构图）（饼状图）</w:t>
      </w:r>
    </w:p>
    <w:p>
      <w:pPr>
        <w:pStyle w:val="23"/>
        <w:numPr>
          <w:ilvl w:val="0"/>
          <w:numId w:val="1"/>
        </w:numPr>
        <w:spacing w:line="600" w:lineRule="exact"/>
        <w:ind w:firstLineChars="0"/>
        <w:outlineLvl w:val="1"/>
        <w:rPr>
          <w:rStyle w:val="25"/>
          <w:rFonts w:ascii="黑体" w:hAnsi="黑体" w:eastAsia="黑体"/>
          <w:b w:val="0"/>
        </w:rPr>
      </w:pPr>
      <w:bookmarkStart w:id="28" w:name="_Toc15377207"/>
      <w:bookmarkStart w:id="29" w:name="_Toc15396605"/>
      <w:r>
        <w:rPr>
          <w:rFonts w:hint="eastAsia" w:ascii="黑体" w:hAnsi="黑体" w:eastAsia="黑体"/>
          <w:color w:val="000000"/>
          <w:sz w:val="32"/>
          <w:szCs w:val="32"/>
        </w:rPr>
        <w:t>支</w:t>
      </w:r>
      <w:r>
        <w:rPr>
          <w:rStyle w:val="25"/>
          <w:rFonts w:hint="eastAsia" w:ascii="黑体" w:hAnsi="黑体" w:eastAsia="黑体"/>
          <w:b w:val="0"/>
        </w:rPr>
        <w:t>出决算情况说明</w:t>
      </w:r>
      <w:bookmarkEnd w:id="28"/>
      <w:bookmarkEnd w:id="29"/>
    </w:p>
    <w:p>
      <w:pPr>
        <w:spacing w:line="600" w:lineRule="exact"/>
        <w:ind w:firstLine="640" w:firstLineChars="200"/>
        <w:outlineLvl w:val="1"/>
        <w:rPr>
          <w:rFonts w:hint="eastAsia" w:ascii="仿宋" w:hAnsi="仿宋" w:eastAsia="仿宋"/>
          <w:color w:val="000000"/>
          <w:sz w:val="32"/>
          <w:szCs w:val="32"/>
        </w:rPr>
      </w:pPr>
      <w:r>
        <w:rPr>
          <w:rFonts w:ascii="仿宋" w:hAnsi="仿宋" w:eastAsia="仿宋"/>
          <w:color w:val="000000"/>
          <w:sz w:val="32"/>
          <w:szCs w:val="32"/>
        </w:rPr>
        <w:t>201</w:t>
      </w:r>
      <w:r>
        <w:rPr>
          <w:rFonts w:hint="eastAsia" w:ascii="仿宋" w:hAnsi="仿宋" w:eastAsia="仿宋"/>
          <w:color w:val="000000"/>
          <w:sz w:val="32"/>
          <w:szCs w:val="32"/>
        </w:rPr>
        <w:t>9年本年支出合计</w:t>
      </w:r>
      <w:r>
        <w:rPr>
          <w:rFonts w:hint="eastAsia" w:ascii="仿宋" w:hAnsi="仿宋" w:eastAsia="仿宋"/>
          <w:color w:val="000000"/>
          <w:sz w:val="32"/>
          <w:szCs w:val="32"/>
          <w:lang w:val="en-US" w:eastAsia="zh-CN"/>
        </w:rPr>
        <w:t>8756.46</w:t>
      </w:r>
      <w:r>
        <w:rPr>
          <w:rFonts w:hint="eastAsia" w:ascii="仿宋" w:hAnsi="仿宋" w:eastAsia="仿宋"/>
          <w:color w:val="000000"/>
          <w:sz w:val="32"/>
          <w:szCs w:val="32"/>
        </w:rPr>
        <w:t>万元，其中：基本支出903.57万元，占</w:t>
      </w:r>
      <w:r>
        <w:rPr>
          <w:rFonts w:hint="eastAsia" w:ascii="仿宋" w:hAnsi="仿宋" w:eastAsia="仿宋"/>
          <w:color w:val="000000"/>
          <w:sz w:val="32"/>
          <w:szCs w:val="32"/>
          <w:lang w:val="en-US" w:eastAsia="zh-CN"/>
        </w:rPr>
        <w:t>10.32</w:t>
      </w:r>
      <w:r>
        <w:rPr>
          <w:rFonts w:ascii="仿宋" w:hAnsi="仿宋" w:eastAsia="仿宋"/>
          <w:color w:val="000000"/>
          <w:sz w:val="32"/>
          <w:szCs w:val="32"/>
        </w:rPr>
        <w:t>%</w:t>
      </w:r>
      <w:r>
        <w:rPr>
          <w:rFonts w:hint="eastAsia" w:ascii="仿宋" w:hAnsi="仿宋" w:eastAsia="仿宋"/>
          <w:color w:val="000000"/>
          <w:sz w:val="32"/>
          <w:szCs w:val="32"/>
        </w:rPr>
        <w:t>；项目支出7843.26万元，占</w:t>
      </w:r>
      <w:r>
        <w:rPr>
          <w:rFonts w:hint="eastAsia" w:ascii="仿宋" w:hAnsi="仿宋" w:eastAsia="仿宋"/>
          <w:color w:val="000000"/>
          <w:sz w:val="32"/>
          <w:szCs w:val="32"/>
          <w:lang w:val="en-US" w:eastAsia="zh-CN"/>
        </w:rPr>
        <w:t>89.68</w:t>
      </w:r>
      <w:r>
        <w:rPr>
          <w:rFonts w:ascii="仿宋" w:hAnsi="仿宋" w:eastAsia="仿宋"/>
          <w:color w:val="000000"/>
          <w:sz w:val="32"/>
          <w:szCs w:val="32"/>
        </w:rPr>
        <w:t>%</w:t>
      </w:r>
      <w:r>
        <w:rPr>
          <w:rFonts w:hint="eastAsia" w:ascii="仿宋" w:hAnsi="仿宋" w:eastAsia="仿宋"/>
          <w:color w:val="000000"/>
          <w:sz w:val="32"/>
          <w:szCs w:val="32"/>
        </w:rPr>
        <w:t>；上缴上级支出</w:t>
      </w:r>
      <w:r>
        <w:rPr>
          <w:rFonts w:hint="eastAsia" w:ascii="仿宋" w:hAnsi="仿宋" w:eastAsia="仿宋"/>
          <w:color w:val="000000"/>
          <w:sz w:val="32"/>
          <w:szCs w:val="32"/>
          <w:lang w:val="en-US" w:eastAsia="zh-CN"/>
        </w:rPr>
        <w:t>0</w:t>
      </w:r>
      <w:r>
        <w:rPr>
          <w:rFonts w:hint="eastAsia" w:ascii="仿宋" w:hAnsi="仿宋" w:eastAsia="仿宋"/>
          <w:color w:val="000000"/>
          <w:sz w:val="32"/>
          <w:szCs w:val="32"/>
        </w:rPr>
        <w:t>万元；经营支出</w:t>
      </w:r>
      <w:r>
        <w:rPr>
          <w:rFonts w:hint="eastAsia" w:ascii="仿宋" w:hAnsi="仿宋" w:eastAsia="仿宋"/>
          <w:color w:val="000000"/>
          <w:sz w:val="32"/>
          <w:szCs w:val="32"/>
          <w:lang w:val="en-US" w:eastAsia="zh-CN"/>
        </w:rPr>
        <w:t>0</w:t>
      </w:r>
      <w:r>
        <w:rPr>
          <w:rFonts w:hint="eastAsia" w:ascii="仿宋" w:hAnsi="仿宋" w:eastAsia="仿宋"/>
          <w:color w:val="000000"/>
          <w:sz w:val="32"/>
          <w:szCs w:val="32"/>
        </w:rPr>
        <w:t>万元；对附属单位补助支出</w:t>
      </w:r>
      <w:r>
        <w:rPr>
          <w:rFonts w:hint="eastAsia" w:ascii="仿宋" w:hAnsi="仿宋" w:eastAsia="仿宋"/>
          <w:color w:val="000000"/>
          <w:sz w:val="32"/>
          <w:szCs w:val="32"/>
          <w:lang w:val="en-US" w:eastAsia="zh-CN"/>
        </w:rPr>
        <w:t>0</w:t>
      </w:r>
      <w:r>
        <w:rPr>
          <w:rFonts w:hint="eastAsia" w:ascii="仿宋" w:hAnsi="仿宋" w:eastAsia="仿宋"/>
          <w:color w:val="000000"/>
          <w:sz w:val="32"/>
          <w:szCs w:val="32"/>
        </w:rPr>
        <w:t>万元。</w:t>
      </w:r>
    </w:p>
    <w:p>
      <w:pPr>
        <w:spacing w:line="600" w:lineRule="exact"/>
        <w:ind w:firstLine="640" w:firstLineChars="200"/>
        <w:outlineLvl w:val="1"/>
        <w:rPr>
          <w:rFonts w:ascii="仿宋" w:hAnsi="仿宋" w:eastAsia="仿宋"/>
          <w:color w:val="000000" w:themeColor="text1"/>
          <w:sz w:val="32"/>
          <w:szCs w:val="32"/>
        </w:rPr>
      </w:pPr>
      <w:r>
        <w:rPr>
          <w:rFonts w:hint="eastAsia" w:ascii="仿宋" w:hAnsi="仿宋" w:eastAsia="仿宋"/>
          <w:color w:val="000000"/>
          <w:sz w:val="32"/>
          <w:szCs w:val="32"/>
          <w:lang w:eastAsia="zh-CN"/>
        </w:rPr>
        <w:drawing>
          <wp:anchor distT="0" distB="0" distL="114300" distR="114300" simplePos="0" relativeHeight="251660288" behindDoc="0" locked="0" layoutInCell="1" allowOverlap="1">
            <wp:simplePos x="0" y="0"/>
            <wp:positionH relativeFrom="column">
              <wp:posOffset>687070</wp:posOffset>
            </wp:positionH>
            <wp:positionV relativeFrom="paragraph">
              <wp:posOffset>84455</wp:posOffset>
            </wp:positionV>
            <wp:extent cx="4195445" cy="3265805"/>
            <wp:effectExtent l="4445" t="4445" r="10160" b="6350"/>
            <wp:wrapTopAndBottom/>
            <wp:docPr id="3"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anchor>
        </w:drawing>
      </w:r>
      <w:r>
        <w:rPr>
          <w:rFonts w:hint="eastAsia" w:ascii="仿宋" w:hAnsi="仿宋" w:eastAsia="仿宋"/>
          <w:color w:val="000000"/>
          <w:sz w:val="32"/>
          <w:szCs w:val="32"/>
          <w:lang w:val="en-US" w:eastAsia="zh-CN"/>
        </w:rPr>
        <w:t xml:space="preserve">         </w:t>
      </w:r>
      <w:r>
        <w:rPr>
          <w:rFonts w:hint="eastAsia" w:ascii="仿宋" w:hAnsi="仿宋" w:eastAsia="仿宋"/>
          <w:color w:val="000000" w:themeColor="text1"/>
          <w:sz w:val="32"/>
          <w:szCs w:val="32"/>
        </w:rPr>
        <w:t>（图3：支出决算结构图）（饼状图）</w:t>
      </w:r>
    </w:p>
    <w:p>
      <w:pPr>
        <w:spacing w:line="600" w:lineRule="exact"/>
        <w:ind w:firstLine="640" w:firstLineChars="200"/>
        <w:rPr>
          <w:rFonts w:ascii="仿宋_GB2312" w:eastAsia="仿宋_GB2312"/>
          <w:color w:val="FF0000"/>
          <w:sz w:val="32"/>
          <w:szCs w:val="32"/>
        </w:rPr>
      </w:pPr>
    </w:p>
    <w:p>
      <w:pPr>
        <w:spacing w:line="600" w:lineRule="exact"/>
        <w:ind w:firstLine="640" w:firstLineChars="200"/>
        <w:outlineLvl w:val="1"/>
        <w:rPr>
          <w:rStyle w:val="25"/>
          <w:rFonts w:ascii="黑体" w:hAnsi="黑体" w:eastAsia="黑体"/>
          <w:b w:val="0"/>
        </w:rPr>
      </w:pPr>
      <w:bookmarkStart w:id="30" w:name="_Toc15396606"/>
      <w:bookmarkStart w:id="31" w:name="_Toc15377208"/>
      <w:r>
        <w:rPr>
          <w:rFonts w:hint="eastAsia" w:ascii="黑体" w:hAnsi="黑体" w:eastAsia="黑体"/>
          <w:color w:val="000000"/>
          <w:sz w:val="32"/>
          <w:szCs w:val="32"/>
        </w:rPr>
        <w:t>四、财</w:t>
      </w:r>
      <w:r>
        <w:rPr>
          <w:rStyle w:val="25"/>
          <w:rFonts w:hint="eastAsia" w:ascii="黑体" w:hAnsi="黑体" w:eastAsia="黑体"/>
          <w:b w:val="0"/>
        </w:rPr>
        <w:t>政拨款收入支出决算总体情况说明</w:t>
      </w:r>
      <w:bookmarkEnd w:id="30"/>
      <w:bookmarkEnd w:id="31"/>
    </w:p>
    <w:p>
      <w:pPr>
        <w:snapToGrid w:val="0"/>
        <w:spacing w:line="520" w:lineRule="exact"/>
        <w:ind w:firstLine="640" w:firstLineChars="200"/>
        <w:rPr>
          <w:rFonts w:ascii="仿宋" w:hAnsi="仿宋" w:eastAsia="仿宋"/>
          <w:color w:val="000000"/>
          <w:sz w:val="32"/>
          <w:szCs w:val="32"/>
        </w:rPr>
      </w:pPr>
      <w:r>
        <w:rPr>
          <w:rFonts w:ascii="仿宋" w:hAnsi="仿宋" w:eastAsia="仿宋"/>
          <w:color w:val="000000"/>
          <w:sz w:val="32"/>
          <w:szCs w:val="32"/>
        </w:rPr>
        <w:t>201</w:t>
      </w:r>
      <w:r>
        <w:rPr>
          <w:rFonts w:hint="eastAsia" w:ascii="仿宋" w:hAnsi="仿宋" w:eastAsia="仿宋"/>
          <w:color w:val="000000"/>
          <w:sz w:val="32"/>
          <w:szCs w:val="32"/>
        </w:rPr>
        <w:t>9年财政拨款收、支总计</w:t>
      </w:r>
      <w:r>
        <w:rPr>
          <w:rFonts w:hint="eastAsia" w:ascii="仿宋" w:hAnsi="仿宋" w:eastAsia="仿宋"/>
          <w:color w:val="000000"/>
          <w:sz w:val="32"/>
          <w:szCs w:val="32"/>
          <w:lang w:eastAsia="zh-CN"/>
        </w:rPr>
        <w:t>均为</w:t>
      </w:r>
      <w:r>
        <w:rPr>
          <w:rFonts w:hint="eastAsia" w:ascii="仿宋" w:hAnsi="仿宋" w:eastAsia="仿宋"/>
          <w:color w:val="000000"/>
          <w:sz w:val="32"/>
          <w:szCs w:val="32"/>
          <w:lang w:val="en-US" w:eastAsia="zh-CN"/>
        </w:rPr>
        <w:t>8756.46</w:t>
      </w:r>
      <w:r>
        <w:rPr>
          <w:rFonts w:hint="eastAsia" w:ascii="仿宋" w:hAnsi="仿宋" w:eastAsia="仿宋"/>
          <w:color w:val="000000"/>
          <w:sz w:val="32"/>
          <w:szCs w:val="32"/>
        </w:rPr>
        <w:t>万元。与</w:t>
      </w:r>
      <w:r>
        <w:rPr>
          <w:rFonts w:ascii="仿宋" w:hAnsi="仿宋" w:eastAsia="仿宋"/>
          <w:color w:val="000000"/>
          <w:sz w:val="32"/>
          <w:szCs w:val="32"/>
        </w:rPr>
        <w:t>201</w:t>
      </w:r>
      <w:r>
        <w:rPr>
          <w:rFonts w:hint="eastAsia" w:ascii="仿宋" w:hAnsi="仿宋" w:eastAsia="仿宋"/>
          <w:color w:val="000000"/>
          <w:sz w:val="32"/>
          <w:szCs w:val="32"/>
        </w:rPr>
        <w:t>8年相比，财政拨款收、支总计各增加</w:t>
      </w:r>
      <w:r>
        <w:rPr>
          <w:rFonts w:hint="eastAsia" w:ascii="仿宋" w:hAnsi="仿宋" w:eastAsia="仿宋"/>
          <w:color w:val="000000"/>
          <w:sz w:val="32"/>
          <w:szCs w:val="32"/>
          <w:lang w:val="en-US" w:eastAsia="zh-CN"/>
        </w:rPr>
        <w:t>7808.9</w:t>
      </w:r>
      <w:r>
        <w:rPr>
          <w:rFonts w:hint="eastAsia" w:ascii="仿宋" w:hAnsi="仿宋" w:eastAsia="仿宋"/>
          <w:color w:val="000000"/>
          <w:sz w:val="32"/>
          <w:szCs w:val="32"/>
        </w:rPr>
        <w:t>万元</w:t>
      </w:r>
      <w:r>
        <w:rPr>
          <w:rFonts w:hint="eastAsia" w:ascii="仿宋" w:hAnsi="仿宋" w:eastAsia="仿宋"/>
          <w:color w:val="000000"/>
          <w:sz w:val="32"/>
          <w:szCs w:val="32"/>
          <w:lang w:eastAsia="zh-CN"/>
        </w:rPr>
        <w:t>、</w:t>
      </w:r>
      <w:r>
        <w:rPr>
          <w:rFonts w:hint="eastAsia" w:ascii="仿宋" w:hAnsi="仿宋" w:eastAsia="仿宋"/>
          <w:color w:val="000000"/>
          <w:sz w:val="32"/>
          <w:szCs w:val="32"/>
          <w:lang w:val="en-US" w:eastAsia="zh-CN"/>
        </w:rPr>
        <w:t>7777.1万元</w:t>
      </w:r>
      <w:r>
        <w:rPr>
          <w:rFonts w:hint="eastAsia" w:ascii="仿宋" w:hAnsi="仿宋" w:eastAsia="仿宋"/>
          <w:color w:val="000000"/>
          <w:sz w:val="32"/>
          <w:szCs w:val="32"/>
        </w:rPr>
        <w:t>，增长</w:t>
      </w:r>
      <w:r>
        <w:rPr>
          <w:rFonts w:hint="eastAsia" w:ascii="仿宋" w:hAnsi="仿宋" w:eastAsia="仿宋"/>
          <w:color w:val="000000"/>
          <w:sz w:val="32"/>
          <w:szCs w:val="32"/>
          <w:lang w:val="en-US" w:eastAsia="zh-CN"/>
        </w:rPr>
        <w:t>824.1</w:t>
      </w:r>
      <w:r>
        <w:rPr>
          <w:rFonts w:ascii="仿宋" w:hAnsi="仿宋" w:eastAsia="仿宋"/>
          <w:color w:val="000000"/>
          <w:sz w:val="32"/>
          <w:szCs w:val="32"/>
        </w:rPr>
        <w:t>%</w:t>
      </w:r>
      <w:r>
        <w:rPr>
          <w:rFonts w:hint="eastAsia" w:ascii="仿宋" w:hAnsi="仿宋" w:eastAsia="仿宋"/>
          <w:color w:val="000000"/>
          <w:sz w:val="32"/>
          <w:szCs w:val="32"/>
          <w:lang w:eastAsia="zh-CN"/>
        </w:rPr>
        <w:t>、</w:t>
      </w:r>
      <w:r>
        <w:rPr>
          <w:rFonts w:hint="eastAsia" w:ascii="仿宋" w:hAnsi="仿宋" w:eastAsia="仿宋"/>
          <w:color w:val="000000"/>
          <w:sz w:val="32"/>
          <w:szCs w:val="32"/>
          <w:lang w:val="en-US" w:eastAsia="zh-CN"/>
        </w:rPr>
        <w:t>793.1%</w:t>
      </w:r>
      <w:r>
        <w:rPr>
          <w:rFonts w:hint="eastAsia" w:ascii="仿宋" w:hAnsi="仿宋" w:eastAsia="仿宋"/>
          <w:color w:val="000000"/>
          <w:sz w:val="32"/>
          <w:szCs w:val="32"/>
        </w:rPr>
        <w:t>。主要变动原因是</w:t>
      </w:r>
      <w:r>
        <w:rPr>
          <w:rFonts w:hint="eastAsia" w:ascii="仿宋_GB2312" w:eastAsia="仿宋_GB2312"/>
          <w:sz w:val="32"/>
          <w:szCs w:val="32"/>
        </w:rPr>
        <w:t>因为</w:t>
      </w:r>
      <w:r>
        <w:rPr>
          <w:rFonts w:hint="eastAsia" w:ascii="仿宋_GB2312" w:eastAsia="仿宋_GB2312"/>
          <w:sz w:val="32"/>
          <w:szCs w:val="32"/>
          <w:lang w:eastAsia="zh-CN"/>
        </w:rPr>
        <w:t>增加了</w:t>
      </w:r>
      <w:r>
        <w:rPr>
          <w:rFonts w:hint="eastAsia" w:ascii="仿宋_GB2312" w:eastAsia="仿宋_GB2312"/>
          <w:sz w:val="32"/>
          <w:szCs w:val="32"/>
          <w:lang w:val="en-US" w:eastAsia="zh-CN"/>
        </w:rPr>
        <w:t>2019年专项债券资金、2019年一般债券资金、艾滋病资金、创建卫生城市资金等专项工作经费</w:t>
      </w:r>
      <w:r>
        <w:rPr>
          <w:rFonts w:hint="eastAsia" w:ascii="仿宋_GB2312" w:hAnsi="仿宋" w:eastAsia="仿宋_GB2312"/>
          <w:sz w:val="32"/>
          <w:szCs w:val="32"/>
          <w:lang w:eastAsia="zh-CN"/>
        </w:rPr>
        <w:t>。</w:t>
      </w:r>
    </w:p>
    <w:p>
      <w:pPr>
        <w:spacing w:line="600" w:lineRule="exact"/>
        <w:rPr>
          <w:rFonts w:ascii="仿宋" w:hAnsi="仿宋" w:eastAsia="仿宋"/>
          <w:color w:val="000000" w:themeColor="text1"/>
          <w:sz w:val="32"/>
          <w:szCs w:val="32"/>
        </w:rPr>
      </w:pPr>
      <w:r>
        <w:rPr>
          <w:rFonts w:hint="eastAsia" w:ascii="仿宋_GB2312" w:hAnsi="仿宋" w:eastAsia="仿宋_GB2312"/>
          <w:sz w:val="32"/>
          <w:szCs w:val="32"/>
          <w:lang w:eastAsia="zh-CN"/>
        </w:rPr>
        <w:drawing>
          <wp:anchor distT="0" distB="0" distL="114300" distR="114300" simplePos="0" relativeHeight="251661312" behindDoc="0" locked="0" layoutInCell="1" allowOverlap="1">
            <wp:simplePos x="0" y="0"/>
            <wp:positionH relativeFrom="column">
              <wp:posOffset>271145</wp:posOffset>
            </wp:positionH>
            <wp:positionV relativeFrom="paragraph">
              <wp:posOffset>120650</wp:posOffset>
            </wp:positionV>
            <wp:extent cx="5004435" cy="3138170"/>
            <wp:effectExtent l="4445" t="4445" r="20320" b="19685"/>
            <wp:wrapTopAndBottom/>
            <wp:docPr id="5" name="图表 5"/>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anchor>
        </w:drawing>
      </w:r>
      <w:r>
        <w:rPr>
          <w:rFonts w:hint="eastAsia" w:ascii="仿宋_GB2312" w:hAnsi="仿宋" w:eastAsia="仿宋_GB2312"/>
          <w:sz w:val="32"/>
          <w:szCs w:val="32"/>
          <w:lang w:val="en-US" w:eastAsia="zh-CN"/>
        </w:rPr>
        <w:t xml:space="preserve">   </w:t>
      </w:r>
      <w:r>
        <w:rPr>
          <w:rFonts w:hint="eastAsia" w:ascii="仿宋" w:hAnsi="仿宋" w:eastAsia="仿宋"/>
          <w:color w:val="000000" w:themeColor="text1"/>
          <w:sz w:val="32"/>
          <w:szCs w:val="32"/>
        </w:rPr>
        <w:t>（图4：财政拨款收、支决算总计变动情况）（柱状图）</w:t>
      </w:r>
    </w:p>
    <w:p>
      <w:pPr>
        <w:spacing w:line="600" w:lineRule="exact"/>
        <w:ind w:firstLine="640"/>
        <w:rPr>
          <w:rFonts w:ascii="仿宋" w:hAnsi="仿宋" w:eastAsia="仿宋"/>
          <w:b/>
          <w:color w:val="00B050"/>
          <w:sz w:val="32"/>
          <w:szCs w:val="32"/>
        </w:rPr>
      </w:pPr>
    </w:p>
    <w:p>
      <w:pPr>
        <w:spacing w:line="600" w:lineRule="exact"/>
        <w:ind w:firstLine="640" w:firstLineChars="200"/>
        <w:outlineLvl w:val="1"/>
        <w:rPr>
          <w:rStyle w:val="25"/>
          <w:rFonts w:ascii="黑体" w:hAnsi="黑体" w:eastAsia="黑体"/>
          <w:b w:val="0"/>
        </w:rPr>
      </w:pPr>
      <w:bookmarkStart w:id="32" w:name="_Toc15377209"/>
      <w:bookmarkStart w:id="33" w:name="_Toc15396607"/>
      <w:r>
        <w:rPr>
          <w:rFonts w:hint="eastAsia" w:ascii="黑体" w:hAnsi="黑体" w:eastAsia="黑体"/>
          <w:color w:val="000000"/>
          <w:sz w:val="32"/>
          <w:szCs w:val="32"/>
        </w:rPr>
        <w:t>五、</w:t>
      </w:r>
      <w:r>
        <w:rPr>
          <w:rFonts w:hint="eastAsia" w:ascii="黑体" w:hAnsi="黑体" w:eastAsia="黑体"/>
          <w:b/>
          <w:color w:val="000000"/>
          <w:sz w:val="32"/>
          <w:szCs w:val="32"/>
        </w:rPr>
        <w:t>一</w:t>
      </w:r>
      <w:r>
        <w:rPr>
          <w:rStyle w:val="25"/>
          <w:rFonts w:hint="eastAsia" w:ascii="黑体" w:hAnsi="黑体" w:eastAsia="黑体"/>
          <w:b w:val="0"/>
        </w:rPr>
        <w:t>般公共预算财政拨款支出决算情况说明</w:t>
      </w:r>
      <w:bookmarkEnd w:id="32"/>
      <w:bookmarkEnd w:id="33"/>
    </w:p>
    <w:p>
      <w:pPr>
        <w:spacing w:line="600" w:lineRule="exact"/>
        <w:ind w:firstLine="643" w:firstLineChars="200"/>
        <w:outlineLvl w:val="2"/>
        <w:rPr>
          <w:rFonts w:ascii="仿宋" w:hAnsi="仿宋" w:eastAsia="仿宋"/>
          <w:b/>
          <w:color w:val="000000"/>
          <w:sz w:val="32"/>
          <w:szCs w:val="32"/>
        </w:rPr>
      </w:pPr>
      <w:bookmarkStart w:id="34" w:name="_Toc15377210"/>
      <w:r>
        <w:rPr>
          <w:rFonts w:hint="eastAsia" w:ascii="仿宋" w:hAnsi="仿宋" w:eastAsia="仿宋"/>
          <w:b/>
          <w:color w:val="000000"/>
          <w:sz w:val="32"/>
          <w:szCs w:val="32"/>
        </w:rPr>
        <w:t>（一）一般公共预算财政拨款支出决算总体情况</w:t>
      </w:r>
      <w:bookmarkEnd w:id="34"/>
    </w:p>
    <w:p>
      <w:pPr>
        <w:snapToGrid w:val="0"/>
        <w:spacing w:line="520" w:lineRule="exact"/>
        <w:ind w:firstLine="640" w:firstLineChars="200"/>
        <w:rPr>
          <w:rFonts w:hint="eastAsia" w:ascii="仿宋_GB2312" w:hAnsi="仿宋" w:eastAsia="仿宋_GB2312"/>
          <w:sz w:val="32"/>
          <w:szCs w:val="32"/>
          <w:lang w:eastAsia="zh-CN"/>
        </w:rPr>
      </w:pPr>
      <w:r>
        <w:rPr>
          <w:rFonts w:ascii="仿宋" w:hAnsi="仿宋" w:eastAsia="仿宋"/>
          <w:color w:val="000000"/>
          <w:sz w:val="32"/>
          <w:szCs w:val="32"/>
        </w:rPr>
        <w:t>201</w:t>
      </w:r>
      <w:r>
        <w:rPr>
          <w:rFonts w:hint="eastAsia" w:ascii="仿宋" w:hAnsi="仿宋" w:eastAsia="仿宋"/>
          <w:color w:val="000000"/>
          <w:sz w:val="32"/>
          <w:szCs w:val="32"/>
        </w:rPr>
        <w:t>9年一般公共预算财政拨款支出</w:t>
      </w:r>
      <w:r>
        <w:rPr>
          <w:rFonts w:hint="eastAsia" w:ascii="仿宋" w:hAnsi="仿宋" w:eastAsia="仿宋"/>
          <w:color w:val="000000"/>
          <w:sz w:val="32"/>
          <w:szCs w:val="32"/>
          <w:lang w:val="en-US" w:eastAsia="zh-CN"/>
        </w:rPr>
        <w:t>4732.03</w:t>
      </w:r>
      <w:r>
        <w:rPr>
          <w:rFonts w:hint="eastAsia" w:ascii="仿宋" w:hAnsi="仿宋" w:eastAsia="仿宋"/>
          <w:color w:val="000000"/>
          <w:sz w:val="32"/>
          <w:szCs w:val="32"/>
        </w:rPr>
        <w:t>万元，占本年支出合计的</w:t>
      </w:r>
      <w:r>
        <w:rPr>
          <w:rFonts w:hint="eastAsia" w:ascii="仿宋" w:hAnsi="仿宋" w:eastAsia="仿宋"/>
          <w:color w:val="000000"/>
          <w:sz w:val="32"/>
          <w:szCs w:val="32"/>
          <w:lang w:val="en-US" w:eastAsia="zh-CN"/>
        </w:rPr>
        <w:t>54.19</w:t>
      </w:r>
      <w:r>
        <w:rPr>
          <w:rFonts w:ascii="仿宋" w:hAnsi="仿宋" w:eastAsia="仿宋"/>
          <w:color w:val="000000"/>
          <w:sz w:val="32"/>
          <w:szCs w:val="32"/>
        </w:rPr>
        <w:t>%</w:t>
      </w:r>
      <w:r>
        <w:rPr>
          <w:rFonts w:hint="eastAsia" w:ascii="仿宋" w:hAnsi="仿宋" w:eastAsia="仿宋"/>
          <w:color w:val="000000"/>
          <w:sz w:val="32"/>
          <w:szCs w:val="32"/>
        </w:rPr>
        <w:t>。与</w:t>
      </w:r>
      <w:r>
        <w:rPr>
          <w:rFonts w:ascii="仿宋" w:hAnsi="仿宋" w:eastAsia="仿宋"/>
          <w:color w:val="000000"/>
          <w:sz w:val="32"/>
          <w:szCs w:val="32"/>
        </w:rPr>
        <w:t>201</w:t>
      </w:r>
      <w:r>
        <w:rPr>
          <w:rFonts w:hint="eastAsia" w:ascii="仿宋" w:hAnsi="仿宋" w:eastAsia="仿宋"/>
          <w:color w:val="000000"/>
          <w:sz w:val="32"/>
          <w:szCs w:val="32"/>
        </w:rPr>
        <w:t>8年相比，一般公共预算财政拨款增加</w:t>
      </w:r>
      <w:r>
        <w:rPr>
          <w:rFonts w:hint="eastAsia" w:ascii="仿宋" w:hAnsi="仿宋" w:eastAsia="仿宋"/>
          <w:color w:val="000000"/>
          <w:sz w:val="32"/>
          <w:szCs w:val="32"/>
          <w:lang w:val="en-US" w:eastAsia="zh-CN"/>
        </w:rPr>
        <w:t>3752.67</w:t>
      </w:r>
      <w:r>
        <w:rPr>
          <w:rFonts w:hint="eastAsia" w:ascii="仿宋" w:hAnsi="仿宋" w:eastAsia="仿宋"/>
          <w:color w:val="000000"/>
          <w:sz w:val="32"/>
          <w:szCs w:val="32"/>
        </w:rPr>
        <w:t>万元，增长</w:t>
      </w:r>
      <w:r>
        <w:rPr>
          <w:rFonts w:hint="eastAsia" w:ascii="仿宋" w:hAnsi="仿宋" w:eastAsia="仿宋"/>
          <w:color w:val="000000"/>
          <w:sz w:val="32"/>
          <w:szCs w:val="32"/>
          <w:lang w:val="en-US" w:eastAsia="zh-CN"/>
        </w:rPr>
        <w:t>383.18</w:t>
      </w:r>
      <w:r>
        <w:rPr>
          <w:rFonts w:ascii="仿宋" w:hAnsi="仿宋" w:eastAsia="仿宋"/>
          <w:color w:val="000000"/>
          <w:sz w:val="32"/>
          <w:szCs w:val="32"/>
        </w:rPr>
        <w:t>%</w:t>
      </w:r>
      <w:r>
        <w:rPr>
          <w:rFonts w:hint="eastAsia" w:ascii="仿宋" w:hAnsi="仿宋" w:eastAsia="仿宋"/>
          <w:color w:val="000000"/>
          <w:sz w:val="32"/>
          <w:szCs w:val="32"/>
        </w:rPr>
        <w:t>。主要变动原因是</w:t>
      </w:r>
      <w:r>
        <w:rPr>
          <w:rFonts w:hint="eastAsia" w:ascii="仿宋" w:hAnsi="仿宋" w:eastAsia="仿宋"/>
          <w:color w:val="000000"/>
          <w:sz w:val="32"/>
          <w:szCs w:val="32"/>
          <w:lang w:eastAsia="zh-CN"/>
        </w:rPr>
        <w:t>增加了</w:t>
      </w:r>
      <w:r>
        <w:rPr>
          <w:rFonts w:hint="eastAsia" w:ascii="仿宋_GB2312" w:eastAsia="仿宋_GB2312"/>
          <w:sz w:val="32"/>
          <w:szCs w:val="32"/>
          <w:lang w:val="en-US" w:eastAsia="zh-CN"/>
        </w:rPr>
        <w:t>艾滋病资金、创建卫生城市资金等专项工作经费</w:t>
      </w:r>
      <w:r>
        <w:rPr>
          <w:rFonts w:hint="eastAsia" w:ascii="仿宋_GB2312" w:hAnsi="仿宋" w:eastAsia="仿宋_GB2312"/>
          <w:sz w:val="32"/>
          <w:szCs w:val="32"/>
          <w:lang w:eastAsia="zh-CN"/>
        </w:rPr>
        <w:t>。</w:t>
      </w:r>
    </w:p>
    <w:p>
      <w:pPr>
        <w:snapToGrid w:val="0"/>
        <w:spacing w:line="520" w:lineRule="exact"/>
        <w:ind w:firstLine="640" w:firstLineChars="200"/>
        <w:rPr>
          <w:rFonts w:ascii="仿宋" w:hAnsi="仿宋" w:eastAsia="仿宋"/>
          <w:color w:val="000000"/>
          <w:sz w:val="32"/>
          <w:szCs w:val="32"/>
        </w:rPr>
      </w:pPr>
      <w:r>
        <w:rPr>
          <w:rFonts w:hint="eastAsia" w:ascii="仿宋_GB2312" w:hAnsi="仿宋" w:eastAsia="仿宋_GB2312"/>
          <w:sz w:val="32"/>
          <w:szCs w:val="32"/>
          <w:lang w:eastAsia="zh-CN"/>
        </w:rPr>
        <w:drawing>
          <wp:anchor distT="0" distB="0" distL="114300" distR="114300" simplePos="0" relativeHeight="251665408" behindDoc="0" locked="0" layoutInCell="1" allowOverlap="1">
            <wp:simplePos x="0" y="0"/>
            <wp:positionH relativeFrom="column">
              <wp:posOffset>299720</wp:posOffset>
            </wp:positionH>
            <wp:positionV relativeFrom="paragraph">
              <wp:posOffset>5080</wp:posOffset>
            </wp:positionV>
            <wp:extent cx="5004435" cy="2262505"/>
            <wp:effectExtent l="4445" t="4445" r="20320" b="19050"/>
            <wp:wrapTopAndBottom/>
            <wp:docPr id="7" name="图表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anchor>
        </w:drawing>
      </w:r>
    </w:p>
    <w:p>
      <w:pPr>
        <w:spacing w:line="600" w:lineRule="exact"/>
        <w:ind w:firstLine="640" w:firstLineChars="200"/>
        <w:rPr>
          <w:rFonts w:ascii="仿宋" w:hAnsi="仿宋" w:eastAsia="仿宋"/>
          <w:color w:val="000000" w:themeColor="text1"/>
          <w:sz w:val="32"/>
          <w:szCs w:val="32"/>
        </w:rPr>
      </w:pPr>
      <w:r>
        <w:rPr>
          <w:rFonts w:hint="eastAsia" w:ascii="仿宋" w:hAnsi="仿宋" w:eastAsia="仿宋"/>
          <w:color w:val="000000" w:themeColor="text1"/>
          <w:sz w:val="32"/>
          <w:szCs w:val="32"/>
        </w:rPr>
        <w:t>（图5：一般公共预算财政拨款支出决算变动情况）（柱状图）</w:t>
      </w:r>
    </w:p>
    <w:p>
      <w:pPr>
        <w:spacing w:line="600" w:lineRule="exact"/>
        <w:ind w:firstLine="640" w:firstLineChars="200"/>
        <w:rPr>
          <w:rFonts w:ascii="仿宋" w:hAnsi="仿宋" w:eastAsia="仿宋"/>
          <w:color w:val="000000" w:themeColor="text1"/>
          <w:sz w:val="32"/>
          <w:szCs w:val="32"/>
        </w:rPr>
      </w:pPr>
    </w:p>
    <w:p>
      <w:pPr>
        <w:spacing w:line="600" w:lineRule="exact"/>
        <w:ind w:firstLine="643" w:firstLineChars="200"/>
        <w:outlineLvl w:val="2"/>
        <w:rPr>
          <w:rFonts w:ascii="仿宋" w:hAnsi="仿宋" w:eastAsia="仿宋"/>
          <w:b/>
          <w:color w:val="000000"/>
          <w:sz w:val="32"/>
          <w:szCs w:val="32"/>
        </w:rPr>
      </w:pPr>
      <w:bookmarkStart w:id="35" w:name="_Toc15377211"/>
      <w:r>
        <w:rPr>
          <w:rFonts w:hint="eastAsia" w:ascii="仿宋" w:hAnsi="仿宋" w:eastAsia="仿宋"/>
          <w:b/>
          <w:color w:val="000000"/>
          <w:sz w:val="32"/>
          <w:szCs w:val="32"/>
        </w:rPr>
        <w:t>（二）一般公共预算财政拨款支出决算结构情况</w:t>
      </w:r>
      <w:bookmarkEnd w:id="35"/>
    </w:p>
    <w:p>
      <w:pPr>
        <w:spacing w:line="600" w:lineRule="exact"/>
        <w:ind w:firstLine="640"/>
        <w:rPr>
          <w:rFonts w:hint="eastAsia" w:ascii="仿宋" w:hAnsi="仿宋" w:eastAsia="仿宋"/>
          <w:color w:val="000000" w:themeColor="text1"/>
          <w:sz w:val="32"/>
          <w:szCs w:val="32"/>
          <w:lang w:val="en-US" w:eastAsia="zh-CN"/>
        </w:rPr>
      </w:pPr>
      <w:r>
        <w:rPr>
          <w:rFonts w:hint="eastAsia" w:ascii="仿宋" w:hAnsi="仿宋" w:eastAsia="仿宋"/>
          <w:color w:val="000000" w:themeColor="text1"/>
          <w:sz w:val="32"/>
          <w:szCs w:val="32"/>
          <w:lang w:val="en-US" w:eastAsia="zh-CN"/>
        </w:rPr>
        <w:drawing>
          <wp:anchor distT="0" distB="0" distL="114300" distR="114300" simplePos="0" relativeHeight="251667456" behindDoc="0" locked="0" layoutInCell="1" allowOverlap="1">
            <wp:simplePos x="0" y="0"/>
            <wp:positionH relativeFrom="column">
              <wp:posOffset>553720</wp:posOffset>
            </wp:positionH>
            <wp:positionV relativeFrom="paragraph">
              <wp:posOffset>2387600</wp:posOffset>
            </wp:positionV>
            <wp:extent cx="3813810" cy="1981835"/>
            <wp:effectExtent l="4445" t="4445" r="10795" b="13970"/>
            <wp:wrapTopAndBottom/>
            <wp:docPr id="4"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anchor>
        </w:drawing>
      </w:r>
      <w:r>
        <w:rPr>
          <w:rFonts w:ascii="仿宋" w:hAnsi="仿宋" w:eastAsia="仿宋"/>
          <w:color w:val="000000"/>
          <w:sz w:val="32"/>
          <w:szCs w:val="32"/>
        </w:rPr>
        <w:t>201</w:t>
      </w:r>
      <w:r>
        <w:rPr>
          <w:rFonts w:hint="eastAsia" w:ascii="仿宋" w:hAnsi="仿宋" w:eastAsia="仿宋"/>
          <w:color w:val="000000"/>
          <w:sz w:val="32"/>
          <w:szCs w:val="32"/>
        </w:rPr>
        <w:t>9年一般公共预算财</w:t>
      </w:r>
      <w:r>
        <w:rPr>
          <w:rFonts w:hint="eastAsia" w:ascii="仿宋" w:hAnsi="仿宋" w:eastAsia="仿宋"/>
          <w:color w:val="000000" w:themeColor="text1"/>
          <w:sz w:val="32"/>
          <w:szCs w:val="32"/>
        </w:rPr>
        <w:t>政拨款支出</w:t>
      </w:r>
      <w:r>
        <w:rPr>
          <w:rFonts w:hint="eastAsia" w:ascii="仿宋" w:hAnsi="仿宋" w:eastAsia="仿宋"/>
          <w:color w:val="000000"/>
          <w:sz w:val="32"/>
          <w:szCs w:val="32"/>
          <w:lang w:val="en-US" w:eastAsia="zh-CN"/>
        </w:rPr>
        <w:t>4732.03</w:t>
      </w:r>
      <w:r>
        <w:rPr>
          <w:rFonts w:hint="eastAsia" w:ascii="仿宋" w:hAnsi="仿宋" w:eastAsia="仿宋"/>
          <w:color w:val="000000" w:themeColor="text1"/>
          <w:sz w:val="32"/>
          <w:szCs w:val="32"/>
        </w:rPr>
        <w:t>万元，主要用于以下方面</w:t>
      </w:r>
      <w:r>
        <w:rPr>
          <w:rFonts w:ascii="仿宋" w:hAnsi="仿宋" w:eastAsia="仿宋"/>
          <w:color w:val="000000" w:themeColor="text1"/>
          <w:sz w:val="32"/>
          <w:szCs w:val="32"/>
        </w:rPr>
        <w:t>:</w:t>
      </w:r>
      <w:r>
        <w:rPr>
          <w:rFonts w:hint="eastAsia" w:ascii="仿宋" w:hAnsi="仿宋" w:eastAsia="仿宋"/>
          <w:b/>
          <w:color w:val="000000" w:themeColor="text1"/>
          <w:sz w:val="32"/>
          <w:szCs w:val="32"/>
        </w:rPr>
        <w:t>一般公共服务（类）</w:t>
      </w:r>
      <w:r>
        <w:rPr>
          <w:rFonts w:hint="eastAsia" w:ascii="仿宋" w:hAnsi="仿宋" w:eastAsia="仿宋"/>
          <w:color w:val="000000" w:themeColor="text1"/>
          <w:sz w:val="32"/>
          <w:szCs w:val="32"/>
        </w:rPr>
        <w:t>支出</w:t>
      </w:r>
      <w:r>
        <w:rPr>
          <w:rFonts w:hint="eastAsia" w:ascii="仿宋" w:hAnsi="仿宋" w:eastAsia="仿宋"/>
          <w:color w:val="000000" w:themeColor="text1"/>
          <w:sz w:val="32"/>
          <w:szCs w:val="32"/>
          <w:lang w:val="en-US" w:eastAsia="zh-CN"/>
        </w:rPr>
        <w:t>0</w:t>
      </w:r>
      <w:r>
        <w:rPr>
          <w:rFonts w:hint="eastAsia" w:ascii="仿宋" w:hAnsi="仿宋" w:eastAsia="仿宋"/>
          <w:color w:val="000000" w:themeColor="text1"/>
          <w:sz w:val="32"/>
          <w:szCs w:val="32"/>
        </w:rPr>
        <w:t>万元，占</w:t>
      </w:r>
      <w:r>
        <w:rPr>
          <w:rFonts w:hint="eastAsia" w:ascii="仿宋" w:hAnsi="仿宋" w:eastAsia="仿宋"/>
          <w:color w:val="000000" w:themeColor="text1"/>
          <w:sz w:val="32"/>
          <w:szCs w:val="32"/>
          <w:lang w:val="en-US" w:eastAsia="zh-CN"/>
        </w:rPr>
        <w:t>0</w:t>
      </w:r>
      <w:r>
        <w:rPr>
          <w:rFonts w:ascii="仿宋" w:hAnsi="仿宋" w:eastAsia="仿宋"/>
          <w:color w:val="000000" w:themeColor="text1"/>
          <w:sz w:val="32"/>
          <w:szCs w:val="32"/>
        </w:rPr>
        <w:t>%</w:t>
      </w:r>
      <w:r>
        <w:rPr>
          <w:rFonts w:hint="eastAsia" w:ascii="仿宋" w:hAnsi="仿宋" w:eastAsia="仿宋"/>
          <w:color w:val="000000" w:themeColor="text1"/>
          <w:sz w:val="32"/>
          <w:szCs w:val="32"/>
        </w:rPr>
        <w:t>；</w:t>
      </w:r>
      <w:r>
        <w:rPr>
          <w:rFonts w:hint="eastAsia" w:ascii="仿宋" w:hAnsi="仿宋" w:eastAsia="仿宋"/>
          <w:b/>
          <w:color w:val="000000" w:themeColor="text1"/>
          <w:sz w:val="32"/>
          <w:szCs w:val="32"/>
        </w:rPr>
        <w:t>教育支出（类）</w:t>
      </w:r>
      <w:r>
        <w:rPr>
          <w:rFonts w:hint="eastAsia" w:ascii="仿宋" w:hAnsi="仿宋" w:eastAsia="仿宋"/>
          <w:color w:val="000000" w:themeColor="text1"/>
          <w:sz w:val="32"/>
          <w:szCs w:val="32"/>
          <w:lang w:val="en-US" w:eastAsia="zh-CN"/>
        </w:rPr>
        <w:t>0</w:t>
      </w:r>
      <w:r>
        <w:rPr>
          <w:rFonts w:hint="eastAsia" w:ascii="仿宋" w:hAnsi="仿宋" w:eastAsia="仿宋"/>
          <w:color w:val="000000" w:themeColor="text1"/>
          <w:sz w:val="32"/>
          <w:szCs w:val="32"/>
        </w:rPr>
        <w:t>万元，占</w:t>
      </w:r>
      <w:r>
        <w:rPr>
          <w:rFonts w:hint="eastAsia" w:ascii="仿宋" w:hAnsi="仿宋" w:eastAsia="仿宋"/>
          <w:color w:val="000000" w:themeColor="text1"/>
          <w:sz w:val="32"/>
          <w:szCs w:val="32"/>
          <w:lang w:val="en-US" w:eastAsia="zh-CN"/>
        </w:rPr>
        <w:t>0</w:t>
      </w:r>
      <w:r>
        <w:rPr>
          <w:rFonts w:ascii="仿宋" w:hAnsi="仿宋" w:eastAsia="仿宋"/>
          <w:color w:val="000000" w:themeColor="text1"/>
          <w:sz w:val="32"/>
          <w:szCs w:val="32"/>
        </w:rPr>
        <w:t>%</w:t>
      </w:r>
      <w:r>
        <w:rPr>
          <w:rFonts w:hint="eastAsia" w:ascii="仿宋" w:hAnsi="仿宋" w:eastAsia="仿宋"/>
          <w:color w:val="000000" w:themeColor="text1"/>
          <w:sz w:val="32"/>
          <w:szCs w:val="32"/>
        </w:rPr>
        <w:t>；</w:t>
      </w:r>
      <w:r>
        <w:rPr>
          <w:rFonts w:hint="eastAsia" w:ascii="仿宋" w:hAnsi="仿宋" w:eastAsia="仿宋"/>
          <w:b/>
          <w:color w:val="000000" w:themeColor="text1"/>
          <w:sz w:val="32"/>
          <w:szCs w:val="32"/>
        </w:rPr>
        <w:t>科学技术（类）</w:t>
      </w:r>
      <w:r>
        <w:rPr>
          <w:rFonts w:hint="eastAsia" w:ascii="仿宋" w:hAnsi="仿宋" w:eastAsia="仿宋"/>
          <w:color w:val="000000" w:themeColor="text1"/>
          <w:sz w:val="32"/>
          <w:szCs w:val="32"/>
        </w:rPr>
        <w:t>支出</w:t>
      </w:r>
      <w:r>
        <w:rPr>
          <w:rFonts w:hint="eastAsia" w:ascii="仿宋" w:hAnsi="仿宋" w:eastAsia="仿宋"/>
          <w:color w:val="000000" w:themeColor="text1"/>
          <w:sz w:val="32"/>
          <w:szCs w:val="32"/>
          <w:lang w:val="en-US" w:eastAsia="zh-CN"/>
        </w:rPr>
        <w:t>0</w:t>
      </w:r>
      <w:r>
        <w:rPr>
          <w:rFonts w:hint="eastAsia" w:ascii="仿宋" w:hAnsi="仿宋" w:eastAsia="仿宋"/>
          <w:color w:val="000000" w:themeColor="text1"/>
          <w:sz w:val="32"/>
          <w:szCs w:val="32"/>
        </w:rPr>
        <w:t>万元，占</w:t>
      </w:r>
      <w:r>
        <w:rPr>
          <w:rFonts w:hint="eastAsia" w:ascii="仿宋" w:hAnsi="仿宋" w:eastAsia="仿宋"/>
          <w:color w:val="000000" w:themeColor="text1"/>
          <w:sz w:val="32"/>
          <w:szCs w:val="32"/>
          <w:lang w:val="en-US" w:eastAsia="zh-CN"/>
        </w:rPr>
        <w:t>0</w:t>
      </w:r>
      <w:r>
        <w:rPr>
          <w:rFonts w:ascii="仿宋" w:hAnsi="仿宋" w:eastAsia="仿宋"/>
          <w:color w:val="000000" w:themeColor="text1"/>
          <w:sz w:val="32"/>
          <w:szCs w:val="32"/>
        </w:rPr>
        <w:t>%</w:t>
      </w:r>
      <w:r>
        <w:rPr>
          <w:rFonts w:hint="eastAsia" w:ascii="仿宋" w:hAnsi="仿宋" w:eastAsia="仿宋"/>
          <w:color w:val="000000" w:themeColor="text1"/>
          <w:sz w:val="32"/>
          <w:szCs w:val="32"/>
        </w:rPr>
        <w:t>；</w:t>
      </w:r>
      <w:r>
        <w:rPr>
          <w:rFonts w:hint="eastAsia" w:ascii="仿宋" w:hAnsi="仿宋" w:eastAsia="仿宋"/>
          <w:b/>
          <w:bCs/>
          <w:color w:val="000000" w:themeColor="text1"/>
          <w:sz w:val="32"/>
          <w:szCs w:val="32"/>
        </w:rPr>
        <w:t>文化旅游体育与传媒（类）支出</w:t>
      </w:r>
      <w:r>
        <w:rPr>
          <w:rFonts w:hint="eastAsia" w:ascii="仿宋" w:hAnsi="仿宋" w:eastAsia="仿宋"/>
          <w:b/>
          <w:bCs/>
          <w:color w:val="000000" w:themeColor="text1"/>
          <w:sz w:val="32"/>
          <w:szCs w:val="32"/>
          <w:lang w:val="en-US" w:eastAsia="zh-CN"/>
        </w:rPr>
        <w:t>0</w:t>
      </w:r>
      <w:r>
        <w:rPr>
          <w:rFonts w:hint="eastAsia" w:ascii="仿宋" w:hAnsi="仿宋" w:eastAsia="仿宋"/>
          <w:b/>
          <w:bCs/>
          <w:color w:val="000000" w:themeColor="text1"/>
          <w:sz w:val="32"/>
          <w:szCs w:val="32"/>
        </w:rPr>
        <w:t>万元，占</w:t>
      </w:r>
      <w:r>
        <w:rPr>
          <w:rFonts w:hint="eastAsia" w:ascii="仿宋" w:hAnsi="仿宋" w:eastAsia="仿宋"/>
          <w:b/>
          <w:bCs/>
          <w:color w:val="000000" w:themeColor="text1"/>
          <w:sz w:val="32"/>
          <w:szCs w:val="32"/>
          <w:lang w:val="en-US" w:eastAsia="zh-CN"/>
        </w:rPr>
        <w:t>0</w:t>
      </w:r>
      <w:r>
        <w:rPr>
          <w:rFonts w:ascii="仿宋" w:hAnsi="仿宋" w:eastAsia="仿宋"/>
          <w:b/>
          <w:bCs/>
          <w:color w:val="000000" w:themeColor="text1"/>
          <w:sz w:val="32"/>
          <w:szCs w:val="32"/>
        </w:rPr>
        <w:t>%</w:t>
      </w:r>
      <w:r>
        <w:rPr>
          <w:rFonts w:hint="eastAsia" w:ascii="仿宋" w:hAnsi="仿宋" w:eastAsia="仿宋"/>
          <w:color w:val="000000" w:themeColor="text1"/>
          <w:sz w:val="32"/>
          <w:szCs w:val="32"/>
        </w:rPr>
        <w:t>；</w:t>
      </w:r>
      <w:r>
        <w:rPr>
          <w:rFonts w:hint="eastAsia" w:ascii="仿宋" w:hAnsi="仿宋" w:eastAsia="仿宋"/>
          <w:b/>
          <w:color w:val="000000" w:themeColor="text1"/>
          <w:sz w:val="32"/>
          <w:szCs w:val="32"/>
        </w:rPr>
        <w:t>社会保障和就业（类）</w:t>
      </w:r>
      <w:r>
        <w:rPr>
          <w:rFonts w:hint="eastAsia" w:ascii="仿宋" w:hAnsi="仿宋" w:eastAsia="仿宋"/>
          <w:color w:val="000000" w:themeColor="text1"/>
          <w:sz w:val="32"/>
          <w:szCs w:val="32"/>
        </w:rPr>
        <w:t>支出</w:t>
      </w:r>
      <w:r>
        <w:rPr>
          <w:rFonts w:hint="eastAsia" w:ascii="仿宋" w:hAnsi="仿宋" w:eastAsia="仿宋"/>
          <w:color w:val="000000" w:themeColor="text1"/>
          <w:sz w:val="32"/>
          <w:szCs w:val="32"/>
          <w:lang w:val="en-US" w:eastAsia="zh-CN"/>
        </w:rPr>
        <w:t>0</w:t>
      </w:r>
      <w:r>
        <w:rPr>
          <w:rFonts w:hint="eastAsia" w:ascii="仿宋" w:hAnsi="仿宋" w:eastAsia="仿宋"/>
          <w:color w:val="000000" w:themeColor="text1"/>
          <w:sz w:val="32"/>
          <w:szCs w:val="32"/>
        </w:rPr>
        <w:t>万元，占</w:t>
      </w:r>
      <w:r>
        <w:rPr>
          <w:rFonts w:hint="eastAsia" w:ascii="仿宋" w:hAnsi="仿宋" w:eastAsia="仿宋"/>
          <w:color w:val="000000" w:themeColor="text1"/>
          <w:sz w:val="32"/>
          <w:szCs w:val="32"/>
          <w:lang w:val="en-US" w:eastAsia="zh-CN"/>
        </w:rPr>
        <w:t>0</w:t>
      </w:r>
      <w:r>
        <w:rPr>
          <w:rFonts w:ascii="仿宋" w:hAnsi="仿宋" w:eastAsia="仿宋"/>
          <w:color w:val="000000" w:themeColor="text1"/>
          <w:sz w:val="32"/>
          <w:szCs w:val="32"/>
        </w:rPr>
        <w:t>%</w:t>
      </w:r>
      <w:r>
        <w:rPr>
          <w:rFonts w:hint="eastAsia" w:ascii="仿宋" w:hAnsi="仿宋" w:eastAsia="仿宋"/>
          <w:color w:val="000000" w:themeColor="text1"/>
          <w:sz w:val="32"/>
          <w:szCs w:val="32"/>
        </w:rPr>
        <w:t>；</w:t>
      </w:r>
      <w:r>
        <w:rPr>
          <w:rFonts w:hint="eastAsia" w:ascii="仿宋" w:hAnsi="仿宋" w:eastAsia="仿宋"/>
          <w:b/>
          <w:bCs/>
          <w:color w:val="000000" w:themeColor="text1"/>
          <w:sz w:val="32"/>
          <w:szCs w:val="32"/>
        </w:rPr>
        <w:t>卫生健康支出</w:t>
      </w:r>
      <w:r>
        <w:rPr>
          <w:rFonts w:hint="eastAsia" w:ascii="仿宋" w:hAnsi="仿宋" w:eastAsia="仿宋"/>
          <w:color w:val="000000"/>
          <w:sz w:val="32"/>
          <w:szCs w:val="32"/>
          <w:lang w:val="en-US" w:eastAsia="zh-CN"/>
        </w:rPr>
        <w:t>4732.03</w:t>
      </w:r>
      <w:r>
        <w:rPr>
          <w:rFonts w:hint="eastAsia" w:ascii="仿宋" w:hAnsi="仿宋" w:eastAsia="仿宋"/>
          <w:color w:val="000000" w:themeColor="text1"/>
          <w:sz w:val="32"/>
          <w:szCs w:val="32"/>
        </w:rPr>
        <w:t>万元，占</w:t>
      </w:r>
      <w:r>
        <w:rPr>
          <w:rFonts w:hint="eastAsia" w:ascii="仿宋" w:hAnsi="仿宋" w:eastAsia="仿宋"/>
          <w:color w:val="000000" w:themeColor="text1"/>
          <w:sz w:val="32"/>
          <w:szCs w:val="32"/>
          <w:lang w:val="en-US" w:eastAsia="zh-CN"/>
        </w:rPr>
        <w:t>100</w:t>
      </w:r>
      <w:r>
        <w:rPr>
          <w:rFonts w:ascii="仿宋" w:hAnsi="仿宋" w:eastAsia="仿宋"/>
          <w:color w:val="000000" w:themeColor="text1"/>
          <w:sz w:val="32"/>
          <w:szCs w:val="32"/>
        </w:rPr>
        <w:t>%</w:t>
      </w:r>
      <w:r>
        <w:rPr>
          <w:rFonts w:hint="eastAsia" w:ascii="仿宋" w:hAnsi="仿宋" w:eastAsia="仿宋"/>
          <w:color w:val="000000" w:themeColor="text1"/>
          <w:sz w:val="32"/>
          <w:szCs w:val="32"/>
        </w:rPr>
        <w:t>；住房保障支出</w:t>
      </w:r>
      <w:r>
        <w:rPr>
          <w:rFonts w:hint="eastAsia" w:ascii="仿宋" w:hAnsi="仿宋" w:eastAsia="仿宋"/>
          <w:color w:val="000000" w:themeColor="text1"/>
          <w:sz w:val="32"/>
          <w:szCs w:val="32"/>
          <w:lang w:val="en-US" w:eastAsia="zh-CN"/>
        </w:rPr>
        <w:t>0</w:t>
      </w:r>
      <w:r>
        <w:rPr>
          <w:rFonts w:hint="eastAsia" w:ascii="仿宋" w:hAnsi="仿宋" w:eastAsia="仿宋"/>
          <w:color w:val="000000" w:themeColor="text1"/>
          <w:sz w:val="32"/>
          <w:szCs w:val="32"/>
        </w:rPr>
        <w:t>万元，占</w:t>
      </w:r>
      <w:r>
        <w:rPr>
          <w:rFonts w:hint="eastAsia" w:ascii="仿宋" w:hAnsi="仿宋" w:eastAsia="仿宋"/>
          <w:color w:val="000000" w:themeColor="text1"/>
          <w:sz w:val="32"/>
          <w:szCs w:val="32"/>
          <w:lang w:val="en-US" w:eastAsia="zh-CN"/>
        </w:rPr>
        <w:t>0</w:t>
      </w:r>
      <w:r>
        <w:rPr>
          <w:rFonts w:ascii="仿宋" w:hAnsi="仿宋" w:eastAsia="仿宋"/>
          <w:color w:val="000000" w:themeColor="text1"/>
          <w:sz w:val="32"/>
          <w:szCs w:val="32"/>
        </w:rPr>
        <w:t>%</w:t>
      </w:r>
      <w:r>
        <w:rPr>
          <w:rFonts w:hint="eastAsia" w:ascii="仿宋" w:hAnsi="仿宋" w:eastAsia="仿宋"/>
          <w:color w:val="000000" w:themeColor="text1"/>
          <w:sz w:val="32"/>
          <w:szCs w:val="32"/>
          <w:lang w:eastAsia="zh-CN"/>
        </w:rPr>
        <w:t>。</w:t>
      </w:r>
    </w:p>
    <w:p>
      <w:pPr>
        <w:spacing w:line="600" w:lineRule="exact"/>
        <w:ind w:firstLine="640" w:firstLineChars="200"/>
        <w:rPr>
          <w:rFonts w:ascii="仿宋" w:hAnsi="仿宋" w:eastAsia="仿宋"/>
          <w:color w:val="000000"/>
          <w:sz w:val="32"/>
          <w:szCs w:val="32"/>
        </w:rPr>
      </w:pPr>
      <w:r>
        <w:rPr>
          <w:rFonts w:hint="eastAsia" w:ascii="仿宋" w:hAnsi="仿宋" w:eastAsia="仿宋"/>
          <w:color w:val="000000"/>
          <w:sz w:val="32"/>
          <w:szCs w:val="32"/>
        </w:rPr>
        <w:t>（图6：一般公共预算财政拨款支出决算结构）</w:t>
      </w:r>
    </w:p>
    <w:p>
      <w:pPr>
        <w:tabs>
          <w:tab w:val="right" w:pos="8306"/>
        </w:tabs>
        <w:spacing w:line="600" w:lineRule="exact"/>
        <w:ind w:firstLine="640" w:firstLineChars="200"/>
        <w:outlineLvl w:val="1"/>
        <w:rPr>
          <w:rStyle w:val="25"/>
        </w:rPr>
      </w:pPr>
      <w:bookmarkStart w:id="36" w:name="_Toc15396608"/>
      <w:bookmarkStart w:id="37" w:name="_Toc15377214"/>
      <w:r>
        <w:rPr>
          <w:rFonts w:hint="eastAsia" w:ascii="黑体" w:eastAsia="黑体"/>
          <w:color w:val="000000"/>
          <w:sz w:val="32"/>
          <w:szCs w:val="32"/>
        </w:rPr>
        <w:t>六</w:t>
      </w:r>
      <w:r>
        <w:rPr>
          <w:rFonts w:hint="eastAsia" w:ascii="黑体" w:eastAsia="黑体"/>
          <w:b/>
          <w:color w:val="000000"/>
          <w:sz w:val="32"/>
          <w:szCs w:val="32"/>
        </w:rPr>
        <w:t>、</w:t>
      </w:r>
      <w:r>
        <w:rPr>
          <w:rFonts w:hint="eastAsia" w:ascii="黑体" w:hAnsi="黑体" w:eastAsia="黑体"/>
          <w:b/>
          <w:color w:val="000000"/>
          <w:sz w:val="32"/>
          <w:szCs w:val="32"/>
        </w:rPr>
        <w:t>一</w:t>
      </w:r>
      <w:r>
        <w:rPr>
          <w:rStyle w:val="25"/>
          <w:rFonts w:hint="eastAsia" w:ascii="黑体" w:hAnsi="黑体" w:eastAsia="黑体"/>
          <w:b w:val="0"/>
        </w:rPr>
        <w:t>般公共预算财政拨款基本支出决算情况说明</w:t>
      </w:r>
      <w:bookmarkEnd w:id="36"/>
      <w:bookmarkEnd w:id="37"/>
      <w:r>
        <w:rPr>
          <w:rStyle w:val="25"/>
          <w:rFonts w:ascii="黑体" w:hAnsi="黑体" w:eastAsia="黑体"/>
          <w:b w:val="0"/>
        </w:rPr>
        <w:tab/>
      </w:r>
    </w:p>
    <w:p>
      <w:pPr>
        <w:spacing w:line="600" w:lineRule="exact"/>
        <w:ind w:firstLine="645"/>
        <w:rPr>
          <w:rFonts w:ascii="仿宋" w:hAnsi="仿宋" w:eastAsia="仿宋"/>
          <w:color w:val="000000"/>
          <w:sz w:val="32"/>
          <w:szCs w:val="32"/>
        </w:rPr>
      </w:pPr>
      <w:r>
        <w:rPr>
          <w:rFonts w:ascii="仿宋" w:hAnsi="仿宋" w:eastAsia="仿宋"/>
          <w:color w:val="000000"/>
          <w:sz w:val="32"/>
          <w:szCs w:val="32"/>
        </w:rPr>
        <w:t>201</w:t>
      </w:r>
      <w:r>
        <w:rPr>
          <w:rFonts w:hint="eastAsia" w:ascii="仿宋" w:hAnsi="仿宋" w:eastAsia="仿宋"/>
          <w:color w:val="000000"/>
          <w:sz w:val="32"/>
          <w:szCs w:val="32"/>
        </w:rPr>
        <w:t>9年一般公共预算财政拨款基本支出4732.03万元，其中：</w:t>
      </w:r>
    </w:p>
    <w:p>
      <w:pPr>
        <w:spacing w:line="600" w:lineRule="exact"/>
        <w:ind w:firstLine="645"/>
        <w:rPr>
          <w:rFonts w:ascii="仿宋" w:hAnsi="仿宋" w:eastAsia="仿宋"/>
          <w:color w:val="000000"/>
          <w:sz w:val="32"/>
          <w:szCs w:val="32"/>
        </w:rPr>
      </w:pPr>
      <w:r>
        <w:rPr>
          <w:rFonts w:hint="eastAsia" w:ascii="仿宋" w:hAnsi="仿宋" w:eastAsia="仿宋"/>
          <w:color w:val="000000"/>
          <w:sz w:val="32"/>
          <w:szCs w:val="32"/>
        </w:rPr>
        <w:t>人员经费</w:t>
      </w:r>
      <w:r>
        <w:rPr>
          <w:rFonts w:hint="eastAsia" w:ascii="仿宋" w:hAnsi="仿宋" w:eastAsia="仿宋"/>
          <w:color w:val="000000"/>
          <w:sz w:val="32"/>
          <w:szCs w:val="32"/>
          <w:lang w:val="en-US" w:eastAsia="zh-CN"/>
        </w:rPr>
        <w:t>1325.22</w:t>
      </w:r>
      <w:r>
        <w:rPr>
          <w:rFonts w:hint="eastAsia" w:ascii="仿宋" w:hAnsi="仿宋" w:eastAsia="仿宋"/>
          <w:color w:val="000000"/>
          <w:sz w:val="32"/>
          <w:szCs w:val="32"/>
        </w:rPr>
        <w:t>万元，主要包括：基本工资、津贴补贴、奖金、伙食补助费、绩效工资、机关事业单位基本养老保险缴费、职业年金缴费、其他社会保障缴费、其他工资福利支出、离休费、退休费、抚恤金、生活补助、医疗费补助、奖励金、住房公积金、其他对个人和家庭的补助支出等。</w:t>
      </w:r>
      <w:r>
        <w:rPr>
          <w:rFonts w:ascii="仿宋" w:hAnsi="仿宋" w:eastAsia="仿宋"/>
          <w:color w:val="000000"/>
          <w:sz w:val="32"/>
          <w:szCs w:val="32"/>
        </w:rPr>
        <w:br w:type="textWrapping"/>
      </w:r>
      <w:r>
        <w:rPr>
          <w:rFonts w:hint="eastAsia" w:ascii="仿宋" w:hAnsi="仿宋" w:eastAsia="仿宋"/>
          <w:color w:val="000000"/>
          <w:sz w:val="32"/>
          <w:szCs w:val="32"/>
        </w:rPr>
        <w:t>　　日常公用经费</w:t>
      </w:r>
      <w:r>
        <w:rPr>
          <w:rFonts w:hint="eastAsia" w:ascii="仿宋" w:hAnsi="仿宋" w:eastAsia="仿宋"/>
          <w:color w:val="000000"/>
          <w:sz w:val="32"/>
          <w:szCs w:val="32"/>
          <w:lang w:val="en-US" w:eastAsia="zh-CN"/>
        </w:rPr>
        <w:t>295.69</w:t>
      </w:r>
      <w:r>
        <w:rPr>
          <w:rFonts w:hint="eastAsia" w:ascii="仿宋" w:hAnsi="仿宋" w:eastAsia="仿宋"/>
          <w:color w:val="000000"/>
          <w:sz w:val="32"/>
          <w:szCs w:val="32"/>
        </w:rPr>
        <w:t>万元，主要包括：办公费、印刷费、咨询费、手续费、水费、电费、邮电费、取暖费、物业管理费、差旅费、因公出国（境）费用、维修（护）费、租赁费、会议费、培训费、公务接待费、劳务费、委托业务费、工会经费、福利费、公务用车运行维护费、其他交通费、税金及附加费用、其他商品和服务支出、办公设备购置、专用设备购置、信息网络及软件购置更新、其他资本性支出等。</w:t>
      </w:r>
    </w:p>
    <w:p>
      <w:pPr>
        <w:spacing w:line="600" w:lineRule="exact"/>
        <w:ind w:firstLine="640"/>
        <w:outlineLvl w:val="1"/>
        <w:rPr>
          <w:rStyle w:val="25"/>
          <w:rFonts w:ascii="黑体" w:hAnsi="黑体" w:eastAsia="黑体"/>
          <w:b w:val="0"/>
        </w:rPr>
      </w:pPr>
      <w:bookmarkStart w:id="38" w:name="_Toc15377215"/>
      <w:bookmarkStart w:id="39" w:name="_Toc15396609"/>
      <w:r>
        <w:rPr>
          <w:rFonts w:hint="eastAsia" w:ascii="黑体" w:eastAsia="黑体"/>
          <w:color w:val="000000"/>
          <w:sz w:val="32"/>
          <w:szCs w:val="32"/>
        </w:rPr>
        <w:t>七、</w:t>
      </w:r>
      <w:r>
        <w:rPr>
          <w:rStyle w:val="25"/>
          <w:rFonts w:hint="eastAsia" w:ascii="黑体" w:hAnsi="黑体" w:eastAsia="黑体"/>
        </w:rPr>
        <w:t>“</w:t>
      </w:r>
      <w:r>
        <w:rPr>
          <w:rStyle w:val="25"/>
          <w:rFonts w:hint="eastAsia" w:ascii="黑体" w:hAnsi="黑体" w:eastAsia="黑体"/>
          <w:b w:val="0"/>
        </w:rPr>
        <w:t>三公”经费财政拨款支出决算情况说明</w:t>
      </w:r>
      <w:bookmarkEnd w:id="38"/>
      <w:bookmarkEnd w:id="39"/>
    </w:p>
    <w:p>
      <w:pPr>
        <w:spacing w:line="600" w:lineRule="exact"/>
        <w:ind w:firstLine="640"/>
        <w:outlineLvl w:val="2"/>
        <w:rPr>
          <w:rFonts w:ascii="仿宋" w:hAnsi="仿宋" w:eastAsia="仿宋"/>
          <w:b/>
          <w:color w:val="000000"/>
          <w:sz w:val="32"/>
          <w:szCs w:val="32"/>
        </w:rPr>
      </w:pPr>
      <w:bookmarkStart w:id="40" w:name="_Toc15377216"/>
      <w:r>
        <w:rPr>
          <w:rFonts w:hint="eastAsia" w:ascii="仿宋" w:hAnsi="仿宋" w:eastAsia="仿宋"/>
          <w:b/>
          <w:color w:val="000000"/>
          <w:sz w:val="32"/>
          <w:szCs w:val="32"/>
        </w:rPr>
        <w:t>（一）“三公”经费财政拨款支出决算总体情况说明</w:t>
      </w:r>
      <w:bookmarkEnd w:id="40"/>
    </w:p>
    <w:p>
      <w:pPr>
        <w:spacing w:line="600" w:lineRule="exact"/>
        <w:ind w:firstLine="640"/>
        <w:rPr>
          <w:rFonts w:ascii="仿宋" w:hAnsi="仿宋" w:eastAsia="仿宋"/>
          <w:color w:val="000000"/>
          <w:sz w:val="32"/>
          <w:szCs w:val="32"/>
        </w:rPr>
      </w:pPr>
      <w:r>
        <w:rPr>
          <w:rFonts w:ascii="仿宋" w:hAnsi="仿宋" w:eastAsia="仿宋"/>
          <w:color w:val="000000"/>
          <w:sz w:val="32"/>
          <w:szCs w:val="32"/>
        </w:rPr>
        <w:t>201</w:t>
      </w:r>
      <w:r>
        <w:rPr>
          <w:rFonts w:hint="eastAsia" w:ascii="仿宋" w:hAnsi="仿宋" w:eastAsia="仿宋"/>
          <w:color w:val="000000"/>
          <w:sz w:val="32"/>
          <w:szCs w:val="32"/>
        </w:rPr>
        <w:t>9年“三公”经费财政拨款支出决算为</w:t>
      </w:r>
      <w:r>
        <w:rPr>
          <w:rFonts w:hint="eastAsia" w:ascii="仿宋" w:hAnsi="仿宋" w:eastAsia="仿宋"/>
          <w:color w:val="000000"/>
          <w:sz w:val="32"/>
          <w:szCs w:val="32"/>
          <w:lang w:val="en-US" w:eastAsia="zh-CN"/>
        </w:rPr>
        <w:t>5.48</w:t>
      </w:r>
      <w:r>
        <w:rPr>
          <w:rFonts w:hint="eastAsia" w:ascii="仿宋" w:hAnsi="仿宋" w:eastAsia="仿宋"/>
          <w:color w:val="000000"/>
          <w:sz w:val="32"/>
          <w:szCs w:val="32"/>
        </w:rPr>
        <w:t>万元，完成预算</w:t>
      </w:r>
      <w:r>
        <w:rPr>
          <w:rFonts w:hint="eastAsia" w:ascii="仿宋" w:hAnsi="仿宋" w:eastAsia="仿宋"/>
          <w:color w:val="000000"/>
          <w:sz w:val="32"/>
          <w:szCs w:val="32"/>
          <w:lang w:val="en-US" w:eastAsia="zh-CN"/>
        </w:rPr>
        <w:t>49.37</w:t>
      </w:r>
      <w:r>
        <w:rPr>
          <w:rFonts w:ascii="仿宋" w:hAnsi="仿宋" w:eastAsia="仿宋"/>
          <w:color w:val="000000"/>
          <w:sz w:val="32"/>
          <w:szCs w:val="32"/>
        </w:rPr>
        <w:t>%</w:t>
      </w:r>
      <w:r>
        <w:rPr>
          <w:rFonts w:hint="eastAsia" w:ascii="仿宋" w:hAnsi="仿宋" w:eastAsia="仿宋"/>
          <w:color w:val="000000"/>
          <w:sz w:val="32"/>
          <w:szCs w:val="32"/>
        </w:rPr>
        <w:t>，决算数小于预算数（或与预算数持平）的主要原因是</w:t>
      </w:r>
      <w:r>
        <w:rPr>
          <w:rFonts w:hint="eastAsia" w:ascii="仿宋" w:hAnsi="仿宋" w:eastAsia="仿宋"/>
          <w:color w:val="000000"/>
          <w:sz w:val="32"/>
          <w:szCs w:val="32"/>
          <w:lang w:eastAsia="zh-CN"/>
        </w:rPr>
        <w:t>实际支出较少</w:t>
      </w:r>
      <w:r>
        <w:rPr>
          <w:rFonts w:hint="eastAsia" w:ascii="仿宋" w:hAnsi="仿宋" w:eastAsia="仿宋"/>
          <w:color w:val="000000"/>
          <w:sz w:val="32"/>
          <w:szCs w:val="32"/>
        </w:rPr>
        <w:t>。</w:t>
      </w:r>
    </w:p>
    <w:p>
      <w:pPr>
        <w:spacing w:line="600" w:lineRule="exact"/>
        <w:ind w:firstLine="640"/>
        <w:outlineLvl w:val="2"/>
        <w:rPr>
          <w:rFonts w:ascii="仿宋" w:hAnsi="仿宋" w:eastAsia="仿宋"/>
          <w:b/>
          <w:color w:val="000000"/>
          <w:sz w:val="32"/>
          <w:szCs w:val="32"/>
        </w:rPr>
      </w:pPr>
      <w:bookmarkStart w:id="41" w:name="_Toc15377217"/>
      <w:r>
        <w:rPr>
          <w:rFonts w:hint="eastAsia" w:ascii="仿宋" w:hAnsi="仿宋" w:eastAsia="仿宋"/>
          <w:b/>
          <w:color w:val="000000"/>
          <w:sz w:val="32"/>
          <w:szCs w:val="32"/>
        </w:rPr>
        <w:t>（二）“三公”经费财政拨款支出决算具体情况说明</w:t>
      </w:r>
      <w:bookmarkEnd w:id="41"/>
    </w:p>
    <w:p>
      <w:pPr>
        <w:spacing w:line="600" w:lineRule="exact"/>
        <w:ind w:firstLine="640"/>
        <w:rPr>
          <w:rFonts w:hint="eastAsia" w:ascii="仿宋" w:hAnsi="仿宋" w:eastAsia="仿宋"/>
          <w:color w:val="000000"/>
          <w:sz w:val="32"/>
          <w:szCs w:val="32"/>
        </w:rPr>
      </w:pPr>
      <w:r>
        <w:rPr>
          <w:rFonts w:ascii="仿宋" w:hAnsi="仿宋" w:eastAsia="仿宋"/>
          <w:color w:val="000000"/>
          <w:sz w:val="32"/>
          <w:szCs w:val="32"/>
        </w:rPr>
        <w:t>201</w:t>
      </w:r>
      <w:r>
        <w:rPr>
          <w:rFonts w:hint="eastAsia" w:ascii="仿宋" w:hAnsi="仿宋" w:eastAsia="仿宋"/>
          <w:color w:val="000000"/>
          <w:sz w:val="32"/>
          <w:szCs w:val="32"/>
        </w:rPr>
        <w:t>9年“三公”经费财政拨款支出决算中，因公出国（境）费支出决算</w:t>
      </w:r>
      <w:r>
        <w:rPr>
          <w:rFonts w:hint="eastAsia" w:ascii="仿宋" w:hAnsi="仿宋" w:eastAsia="仿宋"/>
          <w:color w:val="000000"/>
          <w:sz w:val="32"/>
          <w:szCs w:val="32"/>
          <w:lang w:val="en-US" w:eastAsia="zh-CN"/>
        </w:rPr>
        <w:t>0</w:t>
      </w:r>
      <w:r>
        <w:rPr>
          <w:rFonts w:hint="eastAsia" w:ascii="仿宋" w:hAnsi="仿宋" w:eastAsia="仿宋"/>
          <w:color w:val="000000"/>
          <w:sz w:val="32"/>
          <w:szCs w:val="32"/>
        </w:rPr>
        <w:t>万元，占</w:t>
      </w:r>
      <w:r>
        <w:rPr>
          <w:rFonts w:hint="eastAsia" w:ascii="仿宋" w:hAnsi="仿宋" w:eastAsia="仿宋"/>
          <w:color w:val="000000"/>
          <w:sz w:val="32"/>
          <w:szCs w:val="32"/>
          <w:lang w:val="en-US" w:eastAsia="zh-CN"/>
        </w:rPr>
        <w:t>0</w:t>
      </w:r>
      <w:r>
        <w:rPr>
          <w:rFonts w:ascii="仿宋" w:hAnsi="仿宋" w:eastAsia="仿宋"/>
          <w:color w:val="000000"/>
          <w:sz w:val="32"/>
          <w:szCs w:val="32"/>
        </w:rPr>
        <w:t>%</w:t>
      </w:r>
      <w:r>
        <w:rPr>
          <w:rFonts w:hint="eastAsia" w:ascii="仿宋" w:hAnsi="仿宋" w:eastAsia="仿宋"/>
          <w:color w:val="000000"/>
          <w:sz w:val="32"/>
          <w:szCs w:val="32"/>
        </w:rPr>
        <w:t>；公务用车购置及运行维护费支出决算</w:t>
      </w:r>
      <w:r>
        <w:rPr>
          <w:rFonts w:hint="eastAsia" w:ascii="仿宋" w:hAnsi="仿宋" w:eastAsia="仿宋"/>
          <w:color w:val="000000"/>
          <w:sz w:val="32"/>
          <w:szCs w:val="32"/>
          <w:lang w:val="en-US" w:eastAsia="zh-CN"/>
        </w:rPr>
        <w:t>2.65</w:t>
      </w:r>
      <w:r>
        <w:rPr>
          <w:rFonts w:hint="eastAsia" w:ascii="仿宋" w:hAnsi="仿宋" w:eastAsia="仿宋"/>
          <w:color w:val="000000"/>
          <w:sz w:val="32"/>
          <w:szCs w:val="32"/>
        </w:rPr>
        <w:t>万元，占</w:t>
      </w:r>
      <w:r>
        <w:rPr>
          <w:rFonts w:hint="eastAsia" w:ascii="仿宋" w:hAnsi="仿宋" w:eastAsia="仿宋"/>
          <w:color w:val="000000"/>
          <w:sz w:val="32"/>
          <w:szCs w:val="32"/>
          <w:lang w:val="en-US" w:eastAsia="zh-CN"/>
        </w:rPr>
        <w:t>48.36</w:t>
      </w:r>
      <w:r>
        <w:rPr>
          <w:rFonts w:ascii="仿宋" w:hAnsi="仿宋" w:eastAsia="仿宋"/>
          <w:color w:val="000000"/>
          <w:sz w:val="32"/>
          <w:szCs w:val="32"/>
        </w:rPr>
        <w:t>%</w:t>
      </w:r>
      <w:r>
        <w:rPr>
          <w:rFonts w:hint="eastAsia" w:ascii="仿宋" w:hAnsi="仿宋" w:eastAsia="仿宋"/>
          <w:color w:val="000000"/>
          <w:sz w:val="32"/>
          <w:szCs w:val="32"/>
        </w:rPr>
        <w:t>；公务接待费支出决算</w:t>
      </w:r>
      <w:r>
        <w:rPr>
          <w:rFonts w:hint="eastAsia" w:ascii="仿宋" w:hAnsi="仿宋" w:eastAsia="仿宋"/>
          <w:color w:val="000000"/>
          <w:sz w:val="32"/>
          <w:szCs w:val="32"/>
          <w:lang w:val="en-US" w:eastAsia="zh-CN"/>
        </w:rPr>
        <w:t>2.83</w:t>
      </w:r>
      <w:r>
        <w:rPr>
          <w:rFonts w:hint="eastAsia" w:ascii="仿宋" w:hAnsi="仿宋" w:eastAsia="仿宋"/>
          <w:color w:val="000000"/>
          <w:sz w:val="32"/>
          <w:szCs w:val="32"/>
        </w:rPr>
        <w:t>万元，占</w:t>
      </w:r>
      <w:r>
        <w:rPr>
          <w:rFonts w:hint="eastAsia" w:ascii="仿宋" w:hAnsi="仿宋" w:eastAsia="仿宋"/>
          <w:color w:val="000000"/>
          <w:sz w:val="32"/>
          <w:szCs w:val="32"/>
          <w:lang w:val="en-US" w:eastAsia="zh-CN"/>
        </w:rPr>
        <w:t>51.64</w:t>
      </w:r>
      <w:r>
        <w:rPr>
          <w:rFonts w:ascii="仿宋" w:hAnsi="仿宋" w:eastAsia="仿宋"/>
          <w:color w:val="000000"/>
          <w:sz w:val="32"/>
          <w:szCs w:val="32"/>
        </w:rPr>
        <w:t>%</w:t>
      </w:r>
      <w:r>
        <w:rPr>
          <w:rFonts w:hint="eastAsia" w:ascii="仿宋" w:hAnsi="仿宋" w:eastAsia="仿宋"/>
          <w:color w:val="000000"/>
          <w:sz w:val="32"/>
          <w:szCs w:val="32"/>
        </w:rPr>
        <w:t>。具体情况如下：</w:t>
      </w:r>
    </w:p>
    <w:p>
      <w:pPr>
        <w:spacing w:line="600" w:lineRule="exact"/>
        <w:ind w:firstLine="640"/>
        <w:rPr>
          <w:rFonts w:ascii="仿宋" w:hAnsi="仿宋" w:eastAsia="仿宋"/>
          <w:color w:val="000000"/>
          <w:sz w:val="32"/>
          <w:szCs w:val="32"/>
        </w:rPr>
      </w:pPr>
      <w:r>
        <w:rPr>
          <w:rFonts w:hint="eastAsia" w:ascii="仿宋" w:hAnsi="仿宋" w:eastAsia="仿宋"/>
          <w:color w:val="000000"/>
          <w:sz w:val="32"/>
          <w:szCs w:val="32"/>
          <w:lang w:eastAsia="zh-CN"/>
        </w:rPr>
        <w:drawing>
          <wp:anchor distT="0" distB="0" distL="114300" distR="114300" simplePos="0" relativeHeight="251666432" behindDoc="0" locked="0" layoutInCell="1" allowOverlap="1">
            <wp:simplePos x="0" y="0"/>
            <wp:positionH relativeFrom="column">
              <wp:posOffset>77470</wp:posOffset>
            </wp:positionH>
            <wp:positionV relativeFrom="paragraph">
              <wp:posOffset>48895</wp:posOffset>
            </wp:positionV>
            <wp:extent cx="4585970" cy="2877185"/>
            <wp:effectExtent l="4445" t="5080" r="19685" b="13335"/>
            <wp:wrapTopAndBottom/>
            <wp:docPr id="8" name="图表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anchor>
        </w:drawing>
      </w:r>
      <w:r>
        <w:rPr>
          <w:rFonts w:hint="eastAsia" w:ascii="仿宋" w:hAnsi="仿宋" w:eastAsia="仿宋"/>
          <w:color w:val="000000"/>
          <w:sz w:val="32"/>
          <w:szCs w:val="32"/>
        </w:rPr>
        <w:t>（图7：“三公”经费财政拨款支出结构）（饼状图）</w:t>
      </w:r>
    </w:p>
    <w:p>
      <w:pPr>
        <w:spacing w:line="600" w:lineRule="exact"/>
        <w:ind w:firstLine="640"/>
        <w:rPr>
          <w:rFonts w:ascii="仿宋_GB2312" w:eastAsia="仿宋_GB2312"/>
          <w:color w:val="000000"/>
          <w:sz w:val="32"/>
          <w:szCs w:val="32"/>
        </w:rPr>
      </w:pPr>
      <w:r>
        <w:rPr>
          <w:rFonts w:ascii="仿宋_GB2312" w:eastAsia="仿宋_GB2312"/>
          <w:b/>
          <w:color w:val="000000"/>
          <w:sz w:val="32"/>
          <w:szCs w:val="32"/>
        </w:rPr>
        <w:t>1.</w:t>
      </w:r>
      <w:r>
        <w:rPr>
          <w:rFonts w:hint="eastAsia" w:ascii="仿宋_GB2312" w:eastAsia="仿宋_GB2312"/>
          <w:b/>
          <w:color w:val="000000"/>
          <w:sz w:val="32"/>
          <w:szCs w:val="32"/>
        </w:rPr>
        <w:t>因公出国（境）经费支出</w:t>
      </w:r>
      <w:r>
        <w:rPr>
          <w:rFonts w:hint="eastAsia" w:ascii="仿宋_GB2312" w:eastAsia="仿宋_GB2312"/>
          <w:color w:val="000000"/>
          <w:sz w:val="32"/>
          <w:szCs w:val="32"/>
          <w:lang w:val="en-US" w:eastAsia="zh-CN"/>
        </w:rPr>
        <w:t>0</w:t>
      </w:r>
      <w:r>
        <w:rPr>
          <w:rFonts w:hint="eastAsia" w:ascii="仿宋_GB2312" w:eastAsia="仿宋_GB2312"/>
          <w:color w:val="000000"/>
          <w:sz w:val="32"/>
          <w:szCs w:val="32"/>
        </w:rPr>
        <w:t>万元，</w:t>
      </w:r>
      <w:r>
        <w:rPr>
          <w:rStyle w:val="14"/>
          <w:rFonts w:hint="eastAsia" w:ascii="仿宋" w:hAnsi="仿宋" w:eastAsia="仿宋"/>
          <w:b w:val="0"/>
          <w:bCs/>
          <w:color w:val="000000"/>
          <w:sz w:val="32"/>
          <w:szCs w:val="32"/>
        </w:rPr>
        <w:t>完成预算</w:t>
      </w:r>
      <w:r>
        <w:rPr>
          <w:rStyle w:val="14"/>
          <w:rFonts w:hint="eastAsia" w:ascii="仿宋" w:hAnsi="仿宋" w:eastAsia="仿宋"/>
          <w:b w:val="0"/>
          <w:bCs/>
          <w:color w:val="000000"/>
          <w:sz w:val="32"/>
          <w:szCs w:val="32"/>
          <w:lang w:val="en-US" w:eastAsia="zh-CN"/>
        </w:rPr>
        <w:t>0</w:t>
      </w:r>
      <w:r>
        <w:rPr>
          <w:rStyle w:val="14"/>
          <w:rFonts w:ascii="仿宋" w:hAnsi="仿宋" w:eastAsia="仿宋"/>
          <w:b w:val="0"/>
          <w:bCs/>
          <w:color w:val="000000"/>
          <w:sz w:val="32"/>
          <w:szCs w:val="32"/>
        </w:rPr>
        <w:t>%</w:t>
      </w:r>
      <w:r>
        <w:rPr>
          <w:rStyle w:val="14"/>
          <w:rFonts w:hint="eastAsia" w:ascii="仿宋" w:hAnsi="仿宋" w:eastAsia="仿宋"/>
          <w:b w:val="0"/>
          <w:bCs/>
          <w:color w:val="000000"/>
          <w:sz w:val="32"/>
          <w:szCs w:val="32"/>
        </w:rPr>
        <w:t>。</w:t>
      </w:r>
      <w:r>
        <w:rPr>
          <w:rFonts w:hint="eastAsia" w:ascii="仿宋_GB2312" w:eastAsia="仿宋_GB2312"/>
          <w:color w:val="000000"/>
          <w:sz w:val="32"/>
          <w:szCs w:val="32"/>
        </w:rPr>
        <w:t>全年安排因公出国（境）团组</w:t>
      </w:r>
      <w:r>
        <w:rPr>
          <w:rFonts w:hint="eastAsia" w:ascii="仿宋_GB2312" w:eastAsia="仿宋_GB2312"/>
          <w:color w:val="000000"/>
          <w:sz w:val="32"/>
          <w:szCs w:val="32"/>
          <w:lang w:val="en-US" w:eastAsia="zh-CN"/>
        </w:rPr>
        <w:t>0</w:t>
      </w:r>
      <w:r>
        <w:rPr>
          <w:rFonts w:hint="eastAsia" w:ascii="仿宋_GB2312" w:eastAsia="仿宋_GB2312"/>
          <w:color w:val="000000"/>
          <w:sz w:val="32"/>
          <w:szCs w:val="32"/>
        </w:rPr>
        <w:t>次，出国（境）</w:t>
      </w:r>
      <w:r>
        <w:rPr>
          <w:rFonts w:hint="eastAsia" w:ascii="仿宋_GB2312" w:eastAsia="仿宋_GB2312"/>
          <w:color w:val="000000"/>
          <w:sz w:val="32"/>
          <w:szCs w:val="32"/>
          <w:lang w:val="en-US" w:eastAsia="zh-CN"/>
        </w:rPr>
        <w:t>0</w:t>
      </w:r>
      <w:r>
        <w:rPr>
          <w:rFonts w:hint="eastAsia" w:ascii="仿宋_GB2312" w:eastAsia="仿宋_GB2312"/>
          <w:color w:val="000000"/>
          <w:sz w:val="32"/>
          <w:szCs w:val="32"/>
        </w:rPr>
        <w:t>人。因公出国（境）支出决算比</w:t>
      </w:r>
      <w:r>
        <w:rPr>
          <w:rFonts w:ascii="仿宋_GB2312" w:eastAsia="仿宋_GB2312"/>
          <w:color w:val="000000"/>
          <w:sz w:val="32"/>
          <w:szCs w:val="32"/>
        </w:rPr>
        <w:t>201</w:t>
      </w:r>
      <w:r>
        <w:rPr>
          <w:rFonts w:hint="eastAsia" w:ascii="仿宋_GB2312" w:eastAsia="仿宋_GB2312"/>
          <w:color w:val="000000"/>
          <w:sz w:val="32"/>
          <w:szCs w:val="32"/>
        </w:rPr>
        <w:t>8年增加</w:t>
      </w:r>
      <w:r>
        <w:rPr>
          <w:rFonts w:ascii="仿宋_GB2312" w:eastAsia="仿宋_GB2312"/>
          <w:color w:val="000000"/>
          <w:sz w:val="32"/>
          <w:szCs w:val="32"/>
        </w:rPr>
        <w:t>/</w:t>
      </w:r>
      <w:r>
        <w:rPr>
          <w:rFonts w:hint="eastAsia" w:ascii="仿宋_GB2312" w:eastAsia="仿宋_GB2312"/>
          <w:color w:val="000000"/>
          <w:sz w:val="32"/>
          <w:szCs w:val="32"/>
        </w:rPr>
        <w:t>减少</w:t>
      </w:r>
      <w:r>
        <w:rPr>
          <w:rFonts w:hint="eastAsia" w:ascii="仿宋_GB2312" w:eastAsia="仿宋_GB2312"/>
          <w:color w:val="000000"/>
          <w:sz w:val="32"/>
          <w:szCs w:val="32"/>
          <w:lang w:val="en-US" w:eastAsia="zh-CN"/>
        </w:rPr>
        <w:t>0</w:t>
      </w:r>
      <w:r>
        <w:rPr>
          <w:rFonts w:hint="eastAsia" w:ascii="仿宋_GB2312" w:eastAsia="仿宋_GB2312"/>
          <w:color w:val="000000"/>
          <w:sz w:val="32"/>
          <w:szCs w:val="32"/>
        </w:rPr>
        <w:t>万元，增长</w:t>
      </w:r>
      <w:r>
        <w:rPr>
          <w:rFonts w:ascii="仿宋_GB2312" w:eastAsia="仿宋_GB2312"/>
          <w:color w:val="000000"/>
          <w:sz w:val="32"/>
          <w:szCs w:val="32"/>
        </w:rPr>
        <w:t>/</w:t>
      </w:r>
      <w:r>
        <w:rPr>
          <w:rFonts w:hint="eastAsia" w:ascii="仿宋_GB2312" w:eastAsia="仿宋_GB2312"/>
          <w:color w:val="000000"/>
          <w:sz w:val="32"/>
          <w:szCs w:val="32"/>
        </w:rPr>
        <w:t>下降</w:t>
      </w:r>
      <w:r>
        <w:rPr>
          <w:rFonts w:hint="eastAsia" w:ascii="仿宋_GB2312" w:eastAsia="仿宋_GB2312"/>
          <w:color w:val="000000"/>
          <w:sz w:val="32"/>
          <w:szCs w:val="32"/>
          <w:lang w:val="en-US" w:eastAsia="zh-CN"/>
        </w:rPr>
        <w:t>0</w:t>
      </w:r>
      <w:r>
        <w:rPr>
          <w:rFonts w:ascii="仿宋_GB2312" w:eastAsia="仿宋_GB2312"/>
          <w:color w:val="000000"/>
          <w:sz w:val="32"/>
          <w:szCs w:val="32"/>
        </w:rPr>
        <w:t>%</w:t>
      </w:r>
      <w:r>
        <w:rPr>
          <w:rFonts w:hint="eastAsia" w:ascii="仿宋_GB2312" w:eastAsia="仿宋_GB2312"/>
          <w:color w:val="000000"/>
          <w:sz w:val="32"/>
          <w:szCs w:val="32"/>
        </w:rPr>
        <w:t>。</w:t>
      </w:r>
    </w:p>
    <w:p>
      <w:pPr>
        <w:spacing w:line="600" w:lineRule="exact"/>
        <w:ind w:firstLine="640"/>
        <w:rPr>
          <w:rFonts w:ascii="仿宋_GB2312" w:eastAsia="仿宋_GB2312"/>
          <w:b/>
          <w:color w:val="000000"/>
          <w:sz w:val="32"/>
          <w:szCs w:val="32"/>
        </w:rPr>
      </w:pPr>
      <w:r>
        <w:rPr>
          <w:rFonts w:ascii="仿宋_GB2312" w:eastAsia="仿宋_GB2312"/>
          <w:b/>
          <w:color w:val="000000"/>
          <w:sz w:val="32"/>
          <w:szCs w:val="32"/>
        </w:rPr>
        <w:t>2.</w:t>
      </w:r>
      <w:r>
        <w:rPr>
          <w:rFonts w:hint="eastAsia" w:ascii="仿宋_GB2312" w:eastAsia="仿宋_GB2312"/>
          <w:b/>
          <w:color w:val="000000"/>
          <w:sz w:val="32"/>
          <w:szCs w:val="32"/>
        </w:rPr>
        <w:t>公务用车购置及运行维护费支出</w:t>
      </w:r>
      <w:r>
        <w:rPr>
          <w:rFonts w:hint="eastAsia" w:ascii="仿宋" w:hAnsi="仿宋" w:eastAsia="仿宋"/>
          <w:color w:val="000000"/>
          <w:sz w:val="32"/>
          <w:szCs w:val="32"/>
          <w:lang w:val="en-US" w:eastAsia="zh-CN"/>
        </w:rPr>
        <w:t>2.65</w:t>
      </w:r>
      <w:r>
        <w:rPr>
          <w:rFonts w:hint="eastAsia" w:ascii="仿宋_GB2312" w:eastAsia="仿宋_GB2312"/>
          <w:color w:val="000000"/>
          <w:sz w:val="32"/>
          <w:szCs w:val="32"/>
        </w:rPr>
        <w:t>万元,</w:t>
      </w:r>
      <w:r>
        <w:rPr>
          <w:rStyle w:val="14"/>
          <w:rFonts w:hint="eastAsia" w:ascii="仿宋" w:hAnsi="仿宋" w:eastAsia="仿宋"/>
          <w:b w:val="0"/>
          <w:bCs/>
          <w:color w:val="000000"/>
          <w:sz w:val="32"/>
          <w:szCs w:val="32"/>
        </w:rPr>
        <w:t>完成预算</w:t>
      </w:r>
      <w:r>
        <w:rPr>
          <w:rStyle w:val="14"/>
          <w:rFonts w:hint="eastAsia" w:ascii="仿宋" w:hAnsi="仿宋" w:eastAsia="仿宋"/>
          <w:b w:val="0"/>
          <w:bCs/>
          <w:color w:val="000000"/>
          <w:sz w:val="32"/>
          <w:szCs w:val="32"/>
          <w:lang w:val="en-US" w:eastAsia="zh-CN"/>
        </w:rPr>
        <w:t>66.25</w:t>
      </w:r>
      <w:r>
        <w:rPr>
          <w:rStyle w:val="14"/>
          <w:rFonts w:ascii="仿宋" w:hAnsi="仿宋" w:eastAsia="仿宋"/>
          <w:b w:val="0"/>
          <w:bCs/>
          <w:color w:val="000000"/>
          <w:sz w:val="32"/>
          <w:szCs w:val="32"/>
        </w:rPr>
        <w:t>%</w:t>
      </w:r>
      <w:r>
        <w:rPr>
          <w:rStyle w:val="14"/>
          <w:rFonts w:hint="eastAsia" w:ascii="仿宋" w:hAnsi="仿宋" w:eastAsia="仿宋"/>
          <w:b w:val="0"/>
          <w:bCs/>
          <w:color w:val="000000"/>
          <w:sz w:val="32"/>
          <w:szCs w:val="32"/>
        </w:rPr>
        <w:t>。</w:t>
      </w:r>
    </w:p>
    <w:p>
      <w:pPr>
        <w:spacing w:line="60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其中：</w:t>
      </w:r>
      <w:r>
        <w:rPr>
          <w:rFonts w:hint="eastAsia" w:ascii="仿宋_GB2312" w:eastAsia="仿宋_GB2312"/>
          <w:b/>
          <w:color w:val="000000"/>
          <w:sz w:val="32"/>
          <w:szCs w:val="32"/>
        </w:rPr>
        <w:t>公务用车购置支出</w:t>
      </w:r>
      <w:r>
        <w:rPr>
          <w:rFonts w:hint="eastAsia" w:ascii="仿宋_GB2312" w:eastAsia="仿宋_GB2312"/>
          <w:color w:val="000000"/>
          <w:sz w:val="32"/>
          <w:szCs w:val="32"/>
          <w:lang w:val="en-US" w:eastAsia="zh-CN"/>
        </w:rPr>
        <w:t>0</w:t>
      </w:r>
      <w:r>
        <w:rPr>
          <w:rFonts w:hint="eastAsia" w:ascii="仿宋_GB2312" w:eastAsia="仿宋_GB2312"/>
          <w:color w:val="000000"/>
          <w:sz w:val="32"/>
          <w:szCs w:val="32"/>
        </w:rPr>
        <w:t>万元。全年按规定更新购置公务用车</w:t>
      </w:r>
      <w:r>
        <w:rPr>
          <w:rFonts w:hint="eastAsia" w:ascii="仿宋_GB2312" w:eastAsia="仿宋_GB2312"/>
          <w:color w:val="000000"/>
          <w:sz w:val="32"/>
          <w:szCs w:val="32"/>
          <w:lang w:val="en-US" w:eastAsia="zh-CN"/>
        </w:rPr>
        <w:t>0</w:t>
      </w:r>
      <w:r>
        <w:rPr>
          <w:rFonts w:hint="eastAsia" w:ascii="仿宋_GB2312" w:eastAsia="仿宋_GB2312"/>
          <w:color w:val="000000"/>
          <w:sz w:val="32"/>
          <w:szCs w:val="32"/>
        </w:rPr>
        <w:t>辆，金额</w:t>
      </w:r>
      <w:r>
        <w:rPr>
          <w:rFonts w:hint="eastAsia" w:ascii="仿宋_GB2312" w:eastAsia="仿宋_GB2312"/>
          <w:color w:val="000000"/>
          <w:sz w:val="32"/>
          <w:szCs w:val="32"/>
          <w:lang w:val="en-US" w:eastAsia="zh-CN"/>
        </w:rPr>
        <w:t>0</w:t>
      </w:r>
      <w:r>
        <w:rPr>
          <w:rFonts w:ascii="仿宋_GB2312" w:eastAsia="仿宋_GB2312"/>
          <w:color w:val="000000"/>
          <w:sz w:val="32"/>
          <w:szCs w:val="32"/>
        </w:rPr>
        <w:t>元。</w:t>
      </w:r>
      <w:r>
        <w:rPr>
          <w:rFonts w:hint="eastAsia" w:ascii="仿宋_GB2312" w:eastAsia="仿宋_GB2312"/>
          <w:color w:val="000000"/>
          <w:sz w:val="32"/>
          <w:szCs w:val="32"/>
        </w:rPr>
        <w:t>截至</w:t>
      </w:r>
      <w:r>
        <w:rPr>
          <w:rFonts w:ascii="仿宋_GB2312" w:eastAsia="仿宋_GB2312"/>
          <w:color w:val="000000"/>
          <w:sz w:val="32"/>
          <w:szCs w:val="32"/>
        </w:rPr>
        <w:t>201</w:t>
      </w:r>
      <w:r>
        <w:rPr>
          <w:rFonts w:hint="eastAsia" w:ascii="仿宋_GB2312" w:eastAsia="仿宋_GB2312"/>
          <w:color w:val="000000"/>
          <w:sz w:val="32"/>
          <w:szCs w:val="32"/>
        </w:rPr>
        <w:t>9年</w:t>
      </w:r>
      <w:r>
        <w:rPr>
          <w:rFonts w:ascii="仿宋_GB2312" w:eastAsia="仿宋_GB2312"/>
          <w:color w:val="000000"/>
          <w:sz w:val="32"/>
          <w:szCs w:val="32"/>
        </w:rPr>
        <w:t>12</w:t>
      </w:r>
      <w:r>
        <w:rPr>
          <w:rFonts w:hint="eastAsia" w:ascii="仿宋_GB2312" w:eastAsia="仿宋_GB2312"/>
          <w:color w:val="000000"/>
          <w:sz w:val="32"/>
          <w:szCs w:val="32"/>
        </w:rPr>
        <w:t>月底，单位共有公务用车</w:t>
      </w:r>
      <w:r>
        <w:rPr>
          <w:rFonts w:hint="eastAsia" w:ascii="仿宋_GB2312" w:eastAsia="仿宋_GB2312"/>
          <w:color w:val="000000"/>
          <w:sz w:val="32"/>
          <w:szCs w:val="32"/>
          <w:lang w:val="en-US" w:eastAsia="zh-CN"/>
        </w:rPr>
        <w:t>1</w:t>
      </w:r>
      <w:r>
        <w:rPr>
          <w:rFonts w:hint="eastAsia" w:ascii="仿宋_GB2312" w:eastAsia="仿宋_GB2312"/>
          <w:color w:val="000000"/>
          <w:sz w:val="32"/>
          <w:szCs w:val="32"/>
        </w:rPr>
        <w:t>辆，其中：主要领导干部用车</w:t>
      </w:r>
      <w:r>
        <w:rPr>
          <w:rFonts w:hint="eastAsia" w:ascii="仿宋_GB2312" w:eastAsia="仿宋_GB2312"/>
          <w:color w:val="000000"/>
          <w:sz w:val="32"/>
          <w:szCs w:val="32"/>
          <w:lang w:val="en-US" w:eastAsia="zh-CN"/>
        </w:rPr>
        <w:t>1</w:t>
      </w:r>
      <w:r>
        <w:rPr>
          <w:rFonts w:hint="eastAsia" w:ascii="仿宋_GB2312" w:eastAsia="仿宋_GB2312"/>
          <w:color w:val="000000"/>
          <w:sz w:val="32"/>
          <w:szCs w:val="32"/>
        </w:rPr>
        <w:t>辆</w:t>
      </w:r>
    </w:p>
    <w:p>
      <w:pPr>
        <w:spacing w:line="600" w:lineRule="exact"/>
        <w:ind w:firstLine="640"/>
        <w:rPr>
          <w:rFonts w:ascii="仿宋_GB2312" w:eastAsia="仿宋_GB2312"/>
          <w:color w:val="000000"/>
          <w:sz w:val="32"/>
          <w:szCs w:val="32"/>
        </w:rPr>
      </w:pPr>
      <w:r>
        <w:rPr>
          <w:rFonts w:hint="eastAsia" w:ascii="仿宋_GB2312" w:eastAsia="仿宋_GB2312"/>
          <w:b/>
          <w:color w:val="000000"/>
          <w:sz w:val="32"/>
          <w:szCs w:val="32"/>
        </w:rPr>
        <w:t>公务用车运行维护费支出</w:t>
      </w:r>
      <w:r>
        <w:rPr>
          <w:rFonts w:hint="eastAsia" w:ascii="仿宋_GB2312" w:eastAsia="仿宋_GB2312"/>
          <w:color w:val="000000"/>
          <w:sz w:val="32"/>
          <w:szCs w:val="32"/>
          <w:lang w:val="en-US" w:eastAsia="zh-CN"/>
        </w:rPr>
        <w:t>2.65</w:t>
      </w:r>
      <w:r>
        <w:rPr>
          <w:rFonts w:hint="eastAsia" w:ascii="仿宋_GB2312" w:eastAsia="仿宋_GB2312"/>
          <w:color w:val="000000"/>
          <w:sz w:val="32"/>
          <w:szCs w:val="32"/>
        </w:rPr>
        <w:t>万元。主要用于</w:t>
      </w:r>
      <w:r>
        <w:rPr>
          <w:rFonts w:hint="eastAsia" w:ascii="仿宋_GB2312" w:eastAsia="仿宋_GB2312"/>
          <w:color w:val="000000"/>
          <w:sz w:val="32"/>
          <w:szCs w:val="32"/>
          <w:lang w:eastAsia="zh-CN"/>
        </w:rPr>
        <w:t>卫生健康局</w:t>
      </w:r>
      <w:r>
        <w:rPr>
          <w:rFonts w:hint="eastAsia" w:ascii="仿宋_GB2312" w:eastAsia="仿宋_GB2312"/>
          <w:color w:val="000000"/>
          <w:sz w:val="32"/>
          <w:szCs w:val="32"/>
          <w:lang w:val="en-US" w:eastAsia="zh-CN"/>
        </w:rPr>
        <w:t>2019年开展本年度计生等各项工作</w:t>
      </w:r>
      <w:r>
        <w:rPr>
          <w:rFonts w:hint="eastAsia" w:ascii="仿宋_GB2312" w:eastAsia="仿宋_GB2312"/>
          <w:color w:val="000000"/>
          <w:sz w:val="32"/>
          <w:szCs w:val="32"/>
        </w:rPr>
        <w:t>所需的公务用车燃料费、维修费、过路过桥费、保险费等支出。</w:t>
      </w:r>
    </w:p>
    <w:p>
      <w:pPr>
        <w:spacing w:line="600" w:lineRule="exact"/>
        <w:ind w:firstLine="640"/>
        <w:rPr>
          <w:rFonts w:ascii="仿宋_GB2312" w:eastAsia="仿宋_GB2312"/>
          <w:color w:val="000000"/>
          <w:sz w:val="32"/>
          <w:szCs w:val="32"/>
        </w:rPr>
      </w:pPr>
      <w:r>
        <w:rPr>
          <w:rFonts w:ascii="仿宋_GB2312" w:eastAsia="仿宋_GB2312"/>
          <w:b/>
          <w:color w:val="000000"/>
          <w:sz w:val="32"/>
          <w:szCs w:val="32"/>
        </w:rPr>
        <w:t>3.</w:t>
      </w:r>
      <w:r>
        <w:rPr>
          <w:rFonts w:hint="eastAsia" w:ascii="仿宋_GB2312" w:eastAsia="仿宋_GB2312"/>
          <w:b/>
          <w:color w:val="000000"/>
          <w:sz w:val="32"/>
          <w:szCs w:val="32"/>
        </w:rPr>
        <w:t>公务接待费支出</w:t>
      </w:r>
      <w:r>
        <w:rPr>
          <w:rFonts w:hint="eastAsia" w:ascii="仿宋_GB2312" w:eastAsia="仿宋_GB2312"/>
          <w:color w:val="000000"/>
          <w:sz w:val="32"/>
          <w:szCs w:val="32"/>
          <w:lang w:val="en-US" w:eastAsia="zh-CN"/>
        </w:rPr>
        <w:t>2.83</w:t>
      </w:r>
      <w:r>
        <w:rPr>
          <w:rFonts w:hint="eastAsia" w:ascii="仿宋_GB2312" w:eastAsia="仿宋_GB2312"/>
          <w:color w:val="000000"/>
          <w:sz w:val="32"/>
          <w:szCs w:val="32"/>
        </w:rPr>
        <w:t>万元，</w:t>
      </w:r>
      <w:r>
        <w:rPr>
          <w:rStyle w:val="14"/>
          <w:rFonts w:hint="eastAsia" w:ascii="仿宋" w:hAnsi="仿宋" w:eastAsia="仿宋"/>
          <w:b w:val="0"/>
          <w:bCs/>
          <w:color w:val="000000"/>
          <w:sz w:val="32"/>
          <w:szCs w:val="32"/>
        </w:rPr>
        <w:t>完成预算</w:t>
      </w:r>
      <w:r>
        <w:rPr>
          <w:rStyle w:val="14"/>
          <w:rFonts w:hint="eastAsia" w:ascii="仿宋" w:hAnsi="仿宋" w:eastAsia="仿宋"/>
          <w:b w:val="0"/>
          <w:bCs/>
          <w:color w:val="000000"/>
          <w:sz w:val="32"/>
          <w:szCs w:val="32"/>
          <w:lang w:val="en-US" w:eastAsia="zh-CN"/>
        </w:rPr>
        <w:t>39.86</w:t>
      </w:r>
      <w:r>
        <w:rPr>
          <w:rStyle w:val="14"/>
          <w:rFonts w:ascii="仿宋" w:hAnsi="仿宋" w:eastAsia="仿宋"/>
          <w:b w:val="0"/>
          <w:bCs/>
          <w:color w:val="000000"/>
          <w:sz w:val="32"/>
          <w:szCs w:val="32"/>
        </w:rPr>
        <w:t>%</w:t>
      </w:r>
      <w:r>
        <w:rPr>
          <w:rStyle w:val="14"/>
          <w:rFonts w:hint="eastAsia" w:ascii="仿宋" w:hAnsi="仿宋" w:eastAsia="仿宋"/>
          <w:b w:val="0"/>
          <w:bCs/>
          <w:color w:val="000000"/>
          <w:sz w:val="32"/>
          <w:szCs w:val="32"/>
        </w:rPr>
        <w:t>。</w:t>
      </w:r>
      <w:r>
        <w:rPr>
          <w:rFonts w:hint="eastAsia" w:ascii="仿宋" w:hAnsi="仿宋" w:eastAsia="仿宋"/>
          <w:b/>
          <w:color w:val="000000"/>
          <w:sz w:val="32"/>
          <w:szCs w:val="32"/>
        </w:rPr>
        <w:t>国内公务接待支出</w:t>
      </w:r>
      <w:r>
        <w:rPr>
          <w:rFonts w:hint="eastAsia" w:ascii="仿宋" w:hAnsi="仿宋" w:eastAsia="仿宋"/>
          <w:color w:val="000000"/>
          <w:sz w:val="32"/>
          <w:szCs w:val="32"/>
          <w:lang w:val="en-US" w:eastAsia="zh-CN"/>
        </w:rPr>
        <w:t>2.83</w:t>
      </w:r>
      <w:r>
        <w:rPr>
          <w:rFonts w:hint="eastAsia" w:ascii="仿宋_GB2312" w:eastAsia="仿宋_GB2312"/>
          <w:color w:val="000000"/>
          <w:sz w:val="32"/>
          <w:szCs w:val="32"/>
        </w:rPr>
        <w:t>万元，主要用于执行公务、开展业务活动开支的交通费、住宿费、用餐费等。</w:t>
      </w:r>
    </w:p>
    <w:p>
      <w:pPr>
        <w:spacing w:line="600" w:lineRule="exact"/>
        <w:ind w:firstLine="640"/>
        <w:outlineLvl w:val="1"/>
        <w:rPr>
          <w:rFonts w:hint="eastAsia" w:ascii="仿宋_GB2312" w:eastAsia="仿宋_GB2312"/>
          <w:color w:val="000000"/>
          <w:sz w:val="32"/>
          <w:szCs w:val="32"/>
        </w:rPr>
      </w:pPr>
      <w:r>
        <w:rPr>
          <w:rFonts w:hint="eastAsia" w:ascii="仿宋" w:hAnsi="仿宋" w:eastAsia="仿宋"/>
          <w:b/>
          <w:color w:val="000000"/>
          <w:sz w:val="32"/>
          <w:szCs w:val="32"/>
        </w:rPr>
        <w:t>外事接待支出</w:t>
      </w:r>
      <w:r>
        <w:rPr>
          <w:rFonts w:hint="eastAsia" w:ascii="仿宋" w:hAnsi="仿宋" w:eastAsia="仿宋"/>
          <w:b/>
          <w:color w:val="000000"/>
          <w:sz w:val="32"/>
          <w:szCs w:val="32"/>
          <w:lang w:val="en-US" w:eastAsia="zh-CN"/>
        </w:rPr>
        <w:t>0</w:t>
      </w:r>
      <w:r>
        <w:rPr>
          <w:rFonts w:hint="eastAsia" w:ascii="仿宋_GB2312" w:eastAsia="仿宋_GB2312"/>
          <w:color w:val="000000"/>
          <w:sz w:val="32"/>
          <w:szCs w:val="32"/>
        </w:rPr>
        <w:t>万元</w:t>
      </w:r>
      <w:bookmarkStart w:id="42" w:name="_Toc15377218"/>
      <w:bookmarkStart w:id="43" w:name="_Toc15396610"/>
    </w:p>
    <w:p>
      <w:pPr>
        <w:spacing w:line="600" w:lineRule="exact"/>
        <w:ind w:firstLine="640"/>
        <w:outlineLvl w:val="1"/>
        <w:rPr>
          <w:rStyle w:val="25"/>
          <w:rFonts w:ascii="黑体" w:hAnsi="黑体" w:eastAsia="黑体"/>
        </w:rPr>
      </w:pPr>
      <w:r>
        <w:rPr>
          <w:rFonts w:hint="eastAsia" w:ascii="黑体" w:eastAsia="黑体"/>
          <w:color w:val="000000"/>
          <w:sz w:val="32"/>
          <w:szCs w:val="32"/>
        </w:rPr>
        <w:t>八、</w:t>
      </w:r>
      <w:r>
        <w:rPr>
          <w:rStyle w:val="25"/>
          <w:rFonts w:hint="eastAsia" w:ascii="黑体" w:hAnsi="黑体" w:eastAsia="黑体"/>
          <w:b w:val="0"/>
        </w:rPr>
        <w:t>政府性基金预算支出决算情况说明</w:t>
      </w:r>
      <w:bookmarkEnd w:id="42"/>
      <w:bookmarkEnd w:id="43"/>
    </w:p>
    <w:p>
      <w:pPr>
        <w:spacing w:line="600" w:lineRule="exact"/>
        <w:ind w:firstLine="640"/>
        <w:rPr>
          <w:rFonts w:ascii="仿宋_GB2312" w:eastAsia="仿宋_GB2312"/>
          <w:color w:val="000000"/>
          <w:sz w:val="32"/>
          <w:szCs w:val="32"/>
        </w:rPr>
      </w:pPr>
      <w:r>
        <w:rPr>
          <w:rFonts w:ascii="仿宋_GB2312" w:eastAsia="仿宋_GB2312"/>
          <w:color w:val="000000"/>
          <w:sz w:val="32"/>
          <w:szCs w:val="32"/>
        </w:rPr>
        <w:t>201</w:t>
      </w:r>
      <w:r>
        <w:rPr>
          <w:rFonts w:hint="eastAsia" w:ascii="仿宋_GB2312" w:eastAsia="仿宋_GB2312"/>
          <w:color w:val="000000"/>
          <w:sz w:val="32"/>
          <w:szCs w:val="32"/>
        </w:rPr>
        <w:t>9年政府性基金预算拨款支出</w:t>
      </w:r>
      <w:r>
        <w:rPr>
          <w:rFonts w:hint="eastAsia" w:ascii="仿宋_GB2312" w:eastAsia="仿宋_GB2312"/>
          <w:color w:val="000000"/>
          <w:sz w:val="32"/>
          <w:szCs w:val="32"/>
          <w:lang w:val="en-US" w:eastAsia="zh-CN"/>
        </w:rPr>
        <w:t>4000</w:t>
      </w:r>
      <w:r>
        <w:rPr>
          <w:rFonts w:hint="eastAsia" w:ascii="仿宋_GB2312" w:eastAsia="仿宋_GB2312"/>
          <w:color w:val="000000"/>
          <w:sz w:val="32"/>
          <w:szCs w:val="32"/>
        </w:rPr>
        <w:t>万元。</w:t>
      </w:r>
    </w:p>
    <w:p>
      <w:pPr>
        <w:spacing w:line="600" w:lineRule="exact"/>
        <w:ind w:firstLine="640"/>
        <w:rPr>
          <w:rFonts w:ascii="仿宋_GB2312" w:eastAsia="仿宋_GB2312"/>
          <w:color w:val="000000"/>
          <w:sz w:val="32"/>
          <w:szCs w:val="32"/>
        </w:rPr>
      </w:pPr>
    </w:p>
    <w:p>
      <w:pPr>
        <w:numPr>
          <w:ilvl w:val="0"/>
          <w:numId w:val="2"/>
        </w:numPr>
        <w:spacing w:line="600" w:lineRule="exact"/>
        <w:ind w:firstLine="640"/>
        <w:outlineLvl w:val="1"/>
        <w:rPr>
          <w:rStyle w:val="25"/>
          <w:rFonts w:ascii="黑体" w:hAnsi="黑体" w:eastAsia="黑体"/>
          <w:b w:val="0"/>
        </w:rPr>
      </w:pPr>
      <w:bookmarkStart w:id="44" w:name="_Toc15396611"/>
      <w:bookmarkStart w:id="45" w:name="_Toc15377219"/>
      <w:r>
        <w:rPr>
          <w:rStyle w:val="25"/>
          <w:rFonts w:hint="eastAsia" w:ascii="黑体" w:hAnsi="黑体" w:eastAsia="黑体"/>
          <w:b w:val="0"/>
        </w:rPr>
        <w:t>国有资本经营预算支出决算情况说明</w:t>
      </w:r>
      <w:bookmarkEnd w:id="44"/>
      <w:bookmarkEnd w:id="45"/>
    </w:p>
    <w:p>
      <w:pPr>
        <w:spacing w:line="600" w:lineRule="exact"/>
        <w:ind w:firstLine="640"/>
        <w:rPr>
          <w:rFonts w:ascii="仿宋_GB2312" w:eastAsia="仿宋_GB2312"/>
          <w:color w:val="000000"/>
          <w:sz w:val="32"/>
          <w:szCs w:val="32"/>
        </w:rPr>
      </w:pPr>
      <w:r>
        <w:rPr>
          <w:rFonts w:ascii="仿宋_GB2312" w:eastAsia="仿宋_GB2312"/>
          <w:color w:val="000000"/>
          <w:sz w:val="32"/>
          <w:szCs w:val="32"/>
        </w:rPr>
        <w:t>201</w:t>
      </w:r>
      <w:r>
        <w:rPr>
          <w:rFonts w:hint="eastAsia" w:ascii="仿宋_GB2312" w:eastAsia="仿宋_GB2312"/>
          <w:color w:val="000000"/>
          <w:sz w:val="32"/>
          <w:szCs w:val="32"/>
        </w:rPr>
        <w:t>9年国有资本经营预算拨款支出</w:t>
      </w:r>
      <w:r>
        <w:rPr>
          <w:rFonts w:hint="eastAsia" w:ascii="仿宋_GB2312" w:eastAsia="仿宋_GB2312"/>
          <w:color w:val="000000"/>
          <w:sz w:val="32"/>
          <w:szCs w:val="32"/>
          <w:lang w:val="en-US" w:eastAsia="zh-CN"/>
        </w:rPr>
        <w:t>0</w:t>
      </w:r>
      <w:r>
        <w:rPr>
          <w:rFonts w:hint="eastAsia" w:ascii="仿宋_GB2312" w:eastAsia="仿宋_GB2312"/>
          <w:color w:val="000000"/>
          <w:sz w:val="32"/>
          <w:szCs w:val="32"/>
        </w:rPr>
        <w:t>万元。</w:t>
      </w:r>
    </w:p>
    <w:p>
      <w:pPr>
        <w:spacing w:line="580" w:lineRule="exact"/>
        <w:jc w:val="center"/>
        <w:rPr>
          <w:rFonts w:ascii="方正小标宋简体" w:hAnsi="方正小标宋简体" w:eastAsia="方正小标宋简体" w:cs="方正小标宋简体"/>
          <w:sz w:val="44"/>
          <w:szCs w:val="44"/>
        </w:rPr>
      </w:pPr>
    </w:p>
    <w:p>
      <w:pPr>
        <w:spacing w:line="600" w:lineRule="exact"/>
        <w:ind w:firstLine="800" w:firstLineChars="250"/>
        <w:outlineLvl w:val="1"/>
        <w:rPr>
          <w:rStyle w:val="25"/>
          <w:rFonts w:ascii="黑体" w:hAnsi="黑体" w:eastAsia="黑体"/>
        </w:rPr>
      </w:pPr>
      <w:bookmarkStart w:id="46" w:name="_Toc15377221"/>
      <w:bookmarkStart w:id="47" w:name="_Toc15396612"/>
      <w:r>
        <w:rPr>
          <w:rFonts w:hint="eastAsia" w:ascii="黑体" w:hAnsi="黑体" w:eastAsia="黑体"/>
          <w:color w:val="000000"/>
          <w:sz w:val="32"/>
          <w:szCs w:val="32"/>
        </w:rPr>
        <w:t>十</w:t>
      </w:r>
      <w:r>
        <w:rPr>
          <w:rStyle w:val="25"/>
          <w:rFonts w:hint="eastAsia" w:ascii="黑体" w:hAnsi="黑体" w:eastAsia="黑体"/>
        </w:rPr>
        <w:t>、</w:t>
      </w:r>
      <w:r>
        <w:rPr>
          <w:rStyle w:val="25"/>
          <w:rFonts w:hint="eastAsia" w:ascii="黑体" w:hAnsi="黑体" w:eastAsia="黑体"/>
          <w:b w:val="0"/>
        </w:rPr>
        <w:t>其他重要事项的情况说明</w:t>
      </w:r>
      <w:bookmarkEnd w:id="46"/>
      <w:bookmarkEnd w:id="47"/>
    </w:p>
    <w:p>
      <w:pPr>
        <w:spacing w:line="600" w:lineRule="exact"/>
        <w:ind w:firstLine="643" w:firstLineChars="200"/>
        <w:outlineLvl w:val="2"/>
        <w:rPr>
          <w:rFonts w:hint="eastAsia" w:ascii="仿宋" w:hAnsi="仿宋" w:eastAsia="仿宋"/>
          <w:b/>
          <w:color w:val="000000"/>
          <w:sz w:val="32"/>
          <w:szCs w:val="32"/>
        </w:rPr>
      </w:pPr>
      <w:bookmarkStart w:id="48" w:name="_Toc15377222"/>
      <w:r>
        <w:rPr>
          <w:rFonts w:hint="eastAsia" w:ascii="仿宋" w:hAnsi="仿宋" w:eastAsia="仿宋"/>
          <w:b/>
          <w:color w:val="000000"/>
          <w:sz w:val="32"/>
          <w:szCs w:val="32"/>
        </w:rPr>
        <w:t>（一）机关运行经费支出情况</w:t>
      </w:r>
      <w:bookmarkEnd w:id="48"/>
    </w:p>
    <w:p>
      <w:pPr>
        <w:autoSpaceDE w:val="0"/>
        <w:autoSpaceDN w:val="0"/>
        <w:adjustRightInd w:val="0"/>
        <w:spacing w:line="600" w:lineRule="exact"/>
        <w:ind w:firstLine="960" w:firstLineChars="300"/>
        <w:jc w:val="left"/>
        <w:rPr>
          <w:rFonts w:hint="eastAsia" w:ascii="仿宋_GB2312" w:eastAsia="仿宋_GB2312"/>
          <w:color w:val="000000"/>
          <w:sz w:val="32"/>
          <w:szCs w:val="32"/>
          <w:lang w:eastAsia="zh-CN"/>
        </w:rPr>
      </w:pPr>
      <w:r>
        <w:rPr>
          <w:rFonts w:hint="eastAsia" w:ascii="仿宋_GB2312" w:eastAsia="仿宋_GB2312"/>
          <w:color w:val="000000"/>
          <w:sz w:val="32"/>
          <w:szCs w:val="32"/>
          <w:lang w:eastAsia="zh-CN"/>
        </w:rPr>
        <w:t>无</w:t>
      </w:r>
    </w:p>
    <w:p>
      <w:pPr>
        <w:autoSpaceDE w:val="0"/>
        <w:autoSpaceDN w:val="0"/>
        <w:adjustRightInd w:val="0"/>
        <w:spacing w:line="600" w:lineRule="exact"/>
        <w:ind w:firstLine="643" w:firstLineChars="200"/>
        <w:jc w:val="left"/>
        <w:outlineLvl w:val="2"/>
        <w:rPr>
          <w:rFonts w:hint="eastAsia" w:ascii="仿宋" w:hAnsi="仿宋" w:eastAsia="仿宋"/>
          <w:b/>
          <w:color w:val="000000"/>
          <w:sz w:val="32"/>
          <w:szCs w:val="32"/>
        </w:rPr>
      </w:pPr>
      <w:bookmarkStart w:id="49" w:name="_Toc15377223"/>
      <w:r>
        <w:rPr>
          <w:rFonts w:hint="eastAsia" w:ascii="仿宋" w:hAnsi="仿宋" w:eastAsia="仿宋"/>
          <w:b/>
          <w:color w:val="000000"/>
          <w:sz w:val="32"/>
          <w:szCs w:val="32"/>
        </w:rPr>
        <w:t>（二）政府采购支出情况</w:t>
      </w:r>
      <w:bookmarkEnd w:id="49"/>
    </w:p>
    <w:p>
      <w:pPr>
        <w:autoSpaceDE w:val="0"/>
        <w:autoSpaceDN w:val="0"/>
        <w:adjustRightInd w:val="0"/>
        <w:spacing w:line="600" w:lineRule="exact"/>
        <w:ind w:firstLine="960" w:firstLineChars="300"/>
        <w:jc w:val="left"/>
        <w:outlineLvl w:val="2"/>
        <w:rPr>
          <w:rFonts w:hint="eastAsia" w:ascii="仿宋" w:hAnsi="仿宋" w:eastAsia="仿宋"/>
          <w:b/>
          <w:color w:val="000000"/>
          <w:sz w:val="32"/>
          <w:szCs w:val="32"/>
          <w:lang w:eastAsia="zh-CN"/>
        </w:rPr>
      </w:pPr>
      <w:r>
        <w:rPr>
          <w:rFonts w:hint="eastAsia" w:ascii="仿宋" w:hAnsi="仿宋" w:eastAsia="仿宋"/>
          <w:b w:val="0"/>
          <w:bCs/>
          <w:color w:val="000000"/>
          <w:sz w:val="32"/>
          <w:szCs w:val="32"/>
          <w:lang w:eastAsia="zh-CN"/>
        </w:rPr>
        <w:t>无</w:t>
      </w:r>
    </w:p>
    <w:p>
      <w:pPr>
        <w:autoSpaceDE w:val="0"/>
        <w:autoSpaceDN w:val="0"/>
        <w:adjustRightInd w:val="0"/>
        <w:spacing w:line="600" w:lineRule="exact"/>
        <w:ind w:firstLine="643" w:firstLineChars="200"/>
        <w:jc w:val="left"/>
        <w:outlineLvl w:val="2"/>
        <w:rPr>
          <w:rFonts w:ascii="仿宋" w:hAnsi="仿宋" w:eastAsia="仿宋"/>
          <w:b/>
          <w:color w:val="000000"/>
          <w:sz w:val="32"/>
          <w:szCs w:val="32"/>
        </w:rPr>
      </w:pPr>
      <w:bookmarkStart w:id="50" w:name="_Toc15377224"/>
      <w:r>
        <w:rPr>
          <w:rFonts w:hint="eastAsia" w:ascii="仿宋" w:hAnsi="仿宋" w:eastAsia="仿宋"/>
          <w:b/>
          <w:color w:val="000000"/>
          <w:sz w:val="32"/>
          <w:szCs w:val="32"/>
        </w:rPr>
        <w:t>（三）国有资产占有使用情况</w:t>
      </w:r>
      <w:bookmarkEnd w:id="50"/>
    </w:p>
    <w:p>
      <w:pPr>
        <w:autoSpaceDE w:val="0"/>
        <w:autoSpaceDN w:val="0"/>
        <w:adjustRightInd w:val="0"/>
        <w:spacing w:line="600" w:lineRule="exact"/>
        <w:ind w:firstLine="640" w:firstLineChars="200"/>
        <w:jc w:val="left"/>
        <w:rPr>
          <w:rFonts w:ascii="仿宋" w:hAnsi="仿宋" w:eastAsia="仿宋"/>
          <w:b/>
          <w:color w:val="FF0000"/>
          <w:sz w:val="32"/>
          <w:szCs w:val="32"/>
        </w:rPr>
      </w:pPr>
      <w:r>
        <w:rPr>
          <w:rFonts w:hint="eastAsia" w:ascii="仿宋_GB2312" w:eastAsia="仿宋_GB2312"/>
          <w:color w:val="000000"/>
          <w:sz w:val="32"/>
          <w:szCs w:val="32"/>
        </w:rPr>
        <w:t>截至</w:t>
      </w:r>
      <w:r>
        <w:rPr>
          <w:rFonts w:ascii="仿宋_GB2312" w:eastAsia="仿宋_GB2312"/>
          <w:color w:val="000000"/>
          <w:sz w:val="32"/>
          <w:szCs w:val="32"/>
        </w:rPr>
        <w:t>201</w:t>
      </w:r>
      <w:r>
        <w:rPr>
          <w:rFonts w:hint="eastAsia" w:ascii="仿宋_GB2312" w:eastAsia="仿宋_GB2312"/>
          <w:color w:val="000000"/>
          <w:sz w:val="32"/>
          <w:szCs w:val="32"/>
        </w:rPr>
        <w:t>9年</w:t>
      </w:r>
      <w:r>
        <w:rPr>
          <w:rFonts w:ascii="仿宋_GB2312" w:eastAsia="仿宋_GB2312"/>
          <w:color w:val="000000"/>
          <w:sz w:val="32"/>
          <w:szCs w:val="32"/>
        </w:rPr>
        <w:t>12</w:t>
      </w:r>
      <w:r>
        <w:rPr>
          <w:rFonts w:hint="eastAsia" w:ascii="仿宋_GB2312" w:eastAsia="仿宋_GB2312"/>
          <w:color w:val="000000"/>
          <w:sz w:val="32"/>
          <w:szCs w:val="32"/>
        </w:rPr>
        <w:t>月</w:t>
      </w:r>
      <w:r>
        <w:rPr>
          <w:rFonts w:ascii="仿宋_GB2312" w:eastAsia="仿宋_GB2312"/>
          <w:color w:val="000000"/>
          <w:sz w:val="32"/>
          <w:szCs w:val="32"/>
        </w:rPr>
        <w:t>31</w:t>
      </w:r>
      <w:r>
        <w:rPr>
          <w:rFonts w:hint="eastAsia" w:ascii="仿宋_GB2312" w:eastAsia="仿宋_GB2312"/>
          <w:color w:val="000000"/>
          <w:sz w:val="32"/>
          <w:szCs w:val="32"/>
        </w:rPr>
        <w:t>日，</w:t>
      </w:r>
      <w:r>
        <w:rPr>
          <w:rFonts w:hint="eastAsia" w:ascii="仿宋_GB2312" w:eastAsia="仿宋_GB2312"/>
          <w:color w:val="000000"/>
          <w:sz w:val="32"/>
          <w:szCs w:val="32"/>
          <w:lang w:eastAsia="zh-CN"/>
        </w:rPr>
        <w:t>乐至县卫生健康局</w:t>
      </w:r>
      <w:r>
        <w:rPr>
          <w:rFonts w:hint="eastAsia" w:ascii="仿宋_GB2312" w:eastAsia="仿宋_GB2312"/>
          <w:color w:val="000000"/>
          <w:sz w:val="32"/>
          <w:szCs w:val="32"/>
        </w:rPr>
        <w:t>共有车辆</w:t>
      </w:r>
      <w:r>
        <w:rPr>
          <w:rFonts w:hint="eastAsia" w:ascii="仿宋_GB2312" w:eastAsia="仿宋_GB2312"/>
          <w:color w:val="000000"/>
          <w:sz w:val="32"/>
          <w:szCs w:val="32"/>
          <w:lang w:val="en-US" w:eastAsia="zh-CN"/>
        </w:rPr>
        <w:t>1</w:t>
      </w:r>
      <w:r>
        <w:rPr>
          <w:rFonts w:hint="eastAsia" w:ascii="仿宋_GB2312" w:eastAsia="仿宋_GB2312"/>
          <w:color w:val="000000"/>
          <w:sz w:val="32"/>
          <w:szCs w:val="32"/>
        </w:rPr>
        <w:t>辆，其中：主要领导干部用车</w:t>
      </w:r>
      <w:r>
        <w:rPr>
          <w:rFonts w:hint="eastAsia" w:ascii="仿宋_GB2312" w:eastAsia="仿宋_GB2312"/>
          <w:color w:val="000000"/>
          <w:sz w:val="32"/>
          <w:szCs w:val="32"/>
          <w:lang w:val="en-US" w:eastAsia="zh-CN"/>
        </w:rPr>
        <w:t>1</w:t>
      </w:r>
      <w:r>
        <w:rPr>
          <w:rFonts w:hint="eastAsia" w:ascii="仿宋_GB2312" w:eastAsia="仿宋_GB2312"/>
          <w:color w:val="000000"/>
          <w:sz w:val="32"/>
          <w:szCs w:val="32"/>
        </w:rPr>
        <w:t>辆</w:t>
      </w:r>
    </w:p>
    <w:p>
      <w:pPr>
        <w:numPr>
          <w:ilvl w:val="0"/>
          <w:numId w:val="3"/>
        </w:numPr>
        <w:autoSpaceDE w:val="0"/>
        <w:autoSpaceDN w:val="0"/>
        <w:adjustRightInd w:val="0"/>
        <w:spacing w:line="600" w:lineRule="exact"/>
        <w:ind w:firstLine="643" w:firstLineChars="200"/>
        <w:jc w:val="left"/>
        <w:outlineLvl w:val="2"/>
        <w:rPr>
          <w:rFonts w:hint="eastAsia" w:ascii="仿宋" w:hAnsi="仿宋" w:eastAsia="仿宋"/>
          <w:b/>
          <w:color w:val="000000"/>
          <w:sz w:val="32"/>
          <w:szCs w:val="32"/>
        </w:rPr>
      </w:pPr>
      <w:r>
        <w:rPr>
          <w:rFonts w:hint="eastAsia" w:ascii="仿宋" w:hAnsi="仿宋" w:eastAsia="仿宋"/>
          <w:b/>
          <w:color w:val="000000"/>
          <w:sz w:val="32"/>
          <w:szCs w:val="32"/>
        </w:rPr>
        <w:t>预算绩效管理情况。</w:t>
      </w:r>
    </w:p>
    <w:p>
      <w:pPr>
        <w:spacing w:line="58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根据预算绩效管理要求，本部门（单位）在年初预算编制阶段，组织对</w:t>
      </w:r>
      <w:r>
        <w:rPr>
          <w:rFonts w:hint="eastAsia" w:ascii="仿宋_GB2312" w:hAnsi="仿宋_GB2312" w:eastAsia="仿宋_GB2312" w:cs="仿宋_GB2312"/>
          <w:sz w:val="32"/>
          <w:szCs w:val="32"/>
          <w:lang w:val="en-US" w:eastAsia="zh-CN"/>
        </w:rPr>
        <w:t>18</w:t>
      </w:r>
      <w:r>
        <w:rPr>
          <w:rFonts w:hint="eastAsia" w:ascii="仿宋_GB2312" w:hAnsi="仿宋_GB2312" w:eastAsia="仿宋_GB2312" w:cs="仿宋_GB2312"/>
          <w:sz w:val="32"/>
          <w:szCs w:val="32"/>
        </w:rPr>
        <w:t>项目（项目名称）开展了预算事前绩效评估，对</w:t>
      </w:r>
      <w:r>
        <w:rPr>
          <w:rFonts w:hint="eastAsia" w:ascii="仿宋_GB2312" w:hAnsi="仿宋_GB2312" w:eastAsia="仿宋_GB2312" w:cs="仿宋_GB2312"/>
          <w:sz w:val="32"/>
          <w:szCs w:val="32"/>
          <w:lang w:val="en-US" w:eastAsia="zh-CN"/>
        </w:rPr>
        <w:t>18</w:t>
      </w:r>
      <w:r>
        <w:rPr>
          <w:rFonts w:hint="eastAsia" w:ascii="仿宋_GB2312" w:hAnsi="仿宋_GB2312" w:eastAsia="仿宋_GB2312" w:cs="仿宋_GB2312"/>
          <w:sz w:val="32"/>
          <w:szCs w:val="32"/>
        </w:rPr>
        <w:t>个项目编制了绩效目标，预算执行过程中，选取</w:t>
      </w:r>
      <w:r>
        <w:rPr>
          <w:rFonts w:hint="eastAsia" w:ascii="仿宋_GB2312" w:hAnsi="仿宋_GB2312" w:eastAsia="仿宋_GB2312" w:cs="仿宋_GB2312"/>
          <w:sz w:val="32"/>
          <w:szCs w:val="32"/>
          <w:lang w:val="en-US" w:eastAsia="zh-CN"/>
        </w:rPr>
        <w:t>18</w:t>
      </w:r>
      <w:r>
        <w:rPr>
          <w:rFonts w:hint="eastAsia" w:ascii="仿宋_GB2312" w:hAnsi="仿宋_GB2312" w:eastAsia="仿宋_GB2312" w:cs="仿宋_GB2312"/>
          <w:sz w:val="32"/>
          <w:szCs w:val="32"/>
        </w:rPr>
        <w:t>个项目开展绩效监控，年终执行完毕后，对</w:t>
      </w:r>
      <w:r>
        <w:rPr>
          <w:rFonts w:hint="eastAsia" w:ascii="仿宋_GB2312" w:hAnsi="仿宋_GB2312" w:eastAsia="仿宋_GB2312" w:cs="仿宋_GB2312"/>
          <w:sz w:val="32"/>
          <w:szCs w:val="32"/>
          <w:lang w:val="en-US" w:eastAsia="zh-CN"/>
        </w:rPr>
        <w:t>18</w:t>
      </w:r>
      <w:r>
        <w:rPr>
          <w:rFonts w:hint="eastAsia" w:ascii="仿宋_GB2312" w:hAnsi="仿宋_GB2312" w:eastAsia="仿宋_GB2312" w:cs="仿宋_GB2312"/>
          <w:sz w:val="32"/>
          <w:szCs w:val="32"/>
        </w:rPr>
        <w:t>个项目开展了绩效目标完成情况自评。</w:t>
      </w:r>
      <w:r>
        <w:rPr>
          <w:rFonts w:hint="eastAsia" w:ascii="楷体_GB2312" w:hAnsi="楷体_GB2312" w:eastAsia="楷体_GB2312" w:cs="楷体_GB2312"/>
          <w:sz w:val="32"/>
          <w:szCs w:val="32"/>
        </w:rPr>
        <w:t>项目绩效目标完成情况</w:t>
      </w:r>
      <w:r>
        <w:rPr>
          <w:rFonts w:hint="eastAsia" w:ascii="楷体_GB2312" w:hAnsi="楷体_GB2312" w:eastAsia="楷体_GB2312" w:cs="楷体_GB2312"/>
          <w:sz w:val="32"/>
          <w:szCs w:val="32"/>
          <w:lang w:eastAsia="zh-CN"/>
        </w:rPr>
        <w:t>如下</w:t>
      </w:r>
      <w:r>
        <w:rPr>
          <w:rFonts w:hint="eastAsia" w:ascii="楷体_GB2312" w:hAnsi="楷体_GB2312" w:eastAsia="楷体_GB2312" w:cs="楷体_GB2312"/>
          <w:sz w:val="32"/>
          <w:szCs w:val="32"/>
          <w:lang w:val="en-US" w:eastAsia="zh-CN"/>
        </w:rPr>
        <w:t>:</w:t>
      </w:r>
      <w:r>
        <w:rPr>
          <w:rFonts w:hint="eastAsia" w:ascii="楷体_GB2312" w:hAnsi="楷体_GB2312" w:eastAsia="楷体_GB2312" w:cs="楷体_GB2312"/>
          <w:sz w:val="32"/>
          <w:szCs w:val="32"/>
        </w:rPr>
        <w:br w:type="textWrapping"/>
      </w:r>
      <w:r>
        <w:rPr>
          <w:rFonts w:hint="eastAsia" w:ascii="仿宋_GB2312" w:hAnsi="仿宋_GB2312" w:eastAsia="仿宋_GB2312" w:cs="仿宋_GB2312"/>
          <w:sz w:val="32"/>
          <w:szCs w:val="32"/>
        </w:rPr>
        <w:t xml:space="preserve">    本部门在2019年度部门决算中反映“四川省农村部分计划生育家庭奖励扶助”</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四川省计划生育家庭特别扶助”</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“计划生育特殊家庭扶助关怀</w:t>
      </w:r>
      <w:r>
        <w:rPr>
          <w:rFonts w:hint="eastAsia" w:ascii="仿宋_GB2312" w:hAnsi="仿宋_GB2312" w:eastAsia="仿宋_GB2312" w:cs="仿宋_GB2312"/>
          <w:sz w:val="32"/>
          <w:szCs w:val="32"/>
        </w:rPr>
        <w:t>”等</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个项目绩效目标实际完成情况。</w:t>
      </w:r>
    </w:p>
    <w:p>
      <w:pPr>
        <w:numPr>
          <w:ilvl w:val="0"/>
          <w:numId w:val="4"/>
        </w:numPr>
        <w:spacing w:line="58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四川省农村部分计划生育家庭奖励扶助项目绩效目标完成情况综述。项目全年预算数</w:t>
      </w:r>
      <w:r>
        <w:rPr>
          <w:rFonts w:hint="eastAsia" w:ascii="仿宋_GB2312" w:hAnsi="仿宋_GB2312" w:eastAsia="仿宋_GB2312" w:cs="仿宋_GB2312"/>
          <w:sz w:val="32"/>
          <w:szCs w:val="32"/>
          <w:lang w:val="en-US" w:eastAsia="zh-CN"/>
        </w:rPr>
        <w:t>18</w:t>
      </w:r>
      <w:r>
        <w:rPr>
          <w:rFonts w:hint="eastAsia" w:ascii="仿宋_GB2312" w:hAnsi="仿宋_GB2312" w:eastAsia="仿宋_GB2312" w:cs="仿宋_GB2312"/>
          <w:sz w:val="32"/>
          <w:szCs w:val="32"/>
        </w:rPr>
        <w:t>万元，执行数为</w:t>
      </w:r>
      <w:r>
        <w:rPr>
          <w:rFonts w:hint="eastAsia" w:ascii="仿宋_GB2312" w:hAnsi="仿宋_GB2312" w:eastAsia="仿宋_GB2312" w:cs="仿宋_GB2312"/>
          <w:sz w:val="32"/>
          <w:szCs w:val="32"/>
          <w:lang w:val="en-US" w:eastAsia="zh-CN"/>
        </w:rPr>
        <w:t>18</w:t>
      </w:r>
      <w:r>
        <w:rPr>
          <w:rFonts w:hint="eastAsia" w:ascii="仿宋_GB2312" w:hAnsi="仿宋_GB2312" w:eastAsia="仿宋_GB2312" w:cs="仿宋_GB2312"/>
          <w:sz w:val="32"/>
          <w:szCs w:val="32"/>
        </w:rPr>
        <w:t>万元，完成预算的</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%。通过集中宣传、窗口申报、年审、乡村联合调查、县级复审抽查、档案管理，确保对象资格确认无误。</w:t>
      </w:r>
    </w:p>
    <w:p>
      <w:pPr>
        <w:numPr>
          <w:ilvl w:val="0"/>
          <w:numId w:val="4"/>
        </w:numPr>
        <w:spacing w:line="580" w:lineRule="exact"/>
        <w:ind w:left="0" w:leftChars="0"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四川省计划生育家庭特别扶助项目绩效目标完成情况综述。项目全年预算数</w:t>
      </w:r>
      <w:r>
        <w:rPr>
          <w:rFonts w:hint="eastAsia" w:ascii="仿宋_GB2312" w:hAnsi="仿宋_GB2312" w:eastAsia="仿宋_GB2312" w:cs="仿宋_GB2312"/>
          <w:sz w:val="32"/>
          <w:szCs w:val="32"/>
          <w:lang w:val="en-US" w:eastAsia="zh-CN"/>
        </w:rPr>
        <w:t>15</w:t>
      </w:r>
      <w:r>
        <w:rPr>
          <w:rFonts w:hint="eastAsia" w:ascii="仿宋_GB2312" w:hAnsi="仿宋_GB2312" w:eastAsia="仿宋_GB2312" w:cs="仿宋_GB2312"/>
          <w:sz w:val="32"/>
          <w:szCs w:val="32"/>
        </w:rPr>
        <w:t>万元，执行数为</w:t>
      </w:r>
      <w:r>
        <w:rPr>
          <w:rFonts w:hint="eastAsia" w:ascii="仿宋_GB2312" w:hAnsi="仿宋_GB2312" w:eastAsia="仿宋_GB2312" w:cs="仿宋_GB2312"/>
          <w:sz w:val="32"/>
          <w:szCs w:val="32"/>
          <w:lang w:val="en-US" w:eastAsia="zh-CN"/>
        </w:rPr>
        <w:t>15</w:t>
      </w:r>
      <w:r>
        <w:rPr>
          <w:rFonts w:hint="eastAsia" w:ascii="仿宋_GB2312" w:hAnsi="仿宋_GB2312" w:eastAsia="仿宋_GB2312" w:cs="仿宋_GB2312"/>
          <w:sz w:val="32"/>
          <w:szCs w:val="32"/>
        </w:rPr>
        <w:t>万元，完成预算的</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%。通过集中宣传、窗口申报、年审、乡村联合调查、县级复审抽查、档案管理，确保对象资格确认无误。</w:t>
      </w:r>
    </w:p>
    <w:p>
      <w:pPr>
        <w:numPr>
          <w:numId w:val="0"/>
        </w:numPr>
        <w:autoSpaceDE w:val="0"/>
        <w:autoSpaceDN w:val="0"/>
        <w:adjustRightInd w:val="0"/>
        <w:spacing w:line="600" w:lineRule="exact"/>
        <w:ind w:firstLine="640" w:firstLineChars="200"/>
        <w:jc w:val="left"/>
        <w:outlineLvl w:val="2"/>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lang w:eastAsia="zh-CN"/>
        </w:rPr>
        <w:t>）计划生育特殊家庭扶助关怀</w:t>
      </w:r>
      <w:r>
        <w:rPr>
          <w:rFonts w:hint="eastAsia" w:ascii="仿宋_GB2312" w:hAnsi="仿宋_GB2312" w:eastAsia="仿宋_GB2312" w:cs="仿宋_GB2312"/>
          <w:sz w:val="32"/>
          <w:szCs w:val="32"/>
        </w:rPr>
        <w:t>项目全年预算数</w:t>
      </w:r>
      <w:r>
        <w:rPr>
          <w:rFonts w:hint="eastAsia" w:ascii="仿宋_GB2312" w:hAnsi="仿宋_GB2312" w:eastAsia="仿宋_GB2312" w:cs="仿宋_GB2312"/>
          <w:sz w:val="32"/>
          <w:szCs w:val="32"/>
          <w:lang w:val="en-US" w:eastAsia="zh-CN"/>
        </w:rPr>
        <w:t>27</w:t>
      </w:r>
      <w:r>
        <w:rPr>
          <w:rFonts w:hint="eastAsia" w:ascii="仿宋_GB2312" w:hAnsi="仿宋_GB2312" w:eastAsia="仿宋_GB2312" w:cs="仿宋_GB2312"/>
          <w:sz w:val="32"/>
          <w:szCs w:val="32"/>
        </w:rPr>
        <w:t>万元，执行数为</w:t>
      </w:r>
      <w:r>
        <w:rPr>
          <w:rFonts w:hint="eastAsia" w:ascii="仿宋_GB2312" w:hAnsi="仿宋_GB2312" w:eastAsia="仿宋_GB2312" w:cs="仿宋_GB2312"/>
          <w:sz w:val="32"/>
          <w:szCs w:val="32"/>
          <w:lang w:val="en-US" w:eastAsia="zh-CN"/>
        </w:rPr>
        <w:t>27</w:t>
      </w:r>
      <w:r>
        <w:rPr>
          <w:rFonts w:hint="eastAsia" w:ascii="仿宋_GB2312" w:hAnsi="仿宋_GB2312" w:eastAsia="仿宋_GB2312" w:cs="仿宋_GB2312"/>
          <w:sz w:val="32"/>
          <w:szCs w:val="32"/>
        </w:rPr>
        <w:t>万元，完成预算的</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%。通过项目实施，保障改善民生、促进社会和谐稳定，确保特殊家庭遇有困难可获得帮助</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重要传统节日以特殊家庭易于接受的方式开展慰问和关怀工作</w:t>
      </w:r>
      <w:r>
        <w:rPr>
          <w:rFonts w:hint="eastAsia" w:ascii="仿宋_GB2312" w:hAnsi="仿宋_GB2312" w:eastAsia="仿宋_GB2312" w:cs="仿宋_GB2312"/>
          <w:sz w:val="32"/>
          <w:szCs w:val="32"/>
          <w:lang w:eastAsia="zh-CN"/>
        </w:rPr>
        <w:t>。</w:t>
      </w:r>
    </w:p>
    <w:p>
      <w:pPr>
        <w:numPr>
          <w:numId w:val="0"/>
        </w:numPr>
        <w:autoSpaceDE w:val="0"/>
        <w:autoSpaceDN w:val="0"/>
        <w:adjustRightInd w:val="0"/>
        <w:spacing w:line="600" w:lineRule="exact"/>
        <w:ind w:firstLine="640" w:firstLineChars="200"/>
        <w:jc w:val="left"/>
        <w:outlineLvl w:val="2"/>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独生子女父母奖励金四川省计划生育家庭特别扶助项目绩效目标完成情况综述。项目全年预算数</w:t>
      </w:r>
      <w:r>
        <w:rPr>
          <w:rFonts w:hint="eastAsia" w:ascii="仿宋_GB2312" w:hAnsi="仿宋_GB2312" w:eastAsia="仿宋_GB2312" w:cs="仿宋_GB2312"/>
          <w:sz w:val="32"/>
          <w:szCs w:val="32"/>
          <w:lang w:val="en-US" w:eastAsia="zh-CN"/>
        </w:rPr>
        <w:t>7</w:t>
      </w:r>
      <w:r>
        <w:rPr>
          <w:rFonts w:hint="eastAsia" w:ascii="仿宋_GB2312" w:hAnsi="仿宋_GB2312" w:eastAsia="仿宋_GB2312" w:cs="仿宋_GB2312"/>
          <w:sz w:val="32"/>
          <w:szCs w:val="32"/>
        </w:rPr>
        <w:t>万元，执行数为</w:t>
      </w:r>
      <w:r>
        <w:rPr>
          <w:rFonts w:hint="eastAsia" w:ascii="仿宋_GB2312" w:hAnsi="仿宋_GB2312" w:eastAsia="仿宋_GB2312" w:cs="仿宋_GB2312"/>
          <w:sz w:val="32"/>
          <w:szCs w:val="32"/>
          <w:lang w:val="en-US" w:eastAsia="zh-CN"/>
        </w:rPr>
        <w:t>7</w:t>
      </w:r>
      <w:r>
        <w:rPr>
          <w:rFonts w:hint="eastAsia" w:ascii="仿宋_GB2312" w:hAnsi="仿宋_GB2312" w:eastAsia="仿宋_GB2312" w:cs="仿宋_GB2312"/>
          <w:sz w:val="32"/>
          <w:szCs w:val="32"/>
        </w:rPr>
        <w:t>万元，完成预算的</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%。在国家提倡一对夫妻生育一个子女期间，自愿终身只生育一个子女的夫妻，国家发给《独生子女父母光荣证》，继续</w:t>
      </w:r>
      <w:r>
        <w:rPr>
          <w:rFonts w:hint="eastAsia" w:ascii="仿宋_GB2312" w:hAnsi="仿宋_GB2312" w:eastAsia="仿宋_GB2312" w:cs="仿宋_GB2312"/>
          <w:sz w:val="32"/>
          <w:szCs w:val="32"/>
          <w:lang w:eastAsia="zh-CN"/>
        </w:rPr>
        <w:t>保持</w:t>
      </w:r>
      <w:r>
        <w:rPr>
          <w:rFonts w:hint="eastAsia" w:ascii="仿宋_GB2312" w:hAnsi="仿宋_GB2312" w:eastAsia="仿宋_GB2312" w:cs="仿宋_GB2312"/>
          <w:sz w:val="32"/>
          <w:szCs w:val="32"/>
        </w:rPr>
        <w:t>享受独生子女父母奖励金政策不变。</w:t>
      </w:r>
    </w:p>
    <w:p>
      <w:pPr>
        <w:numPr>
          <w:numId w:val="0"/>
        </w:numPr>
        <w:autoSpaceDE w:val="0"/>
        <w:autoSpaceDN w:val="0"/>
        <w:adjustRightInd w:val="0"/>
        <w:spacing w:line="600" w:lineRule="exact"/>
        <w:ind w:firstLine="640" w:firstLineChars="200"/>
        <w:jc w:val="left"/>
        <w:outlineLvl w:val="2"/>
        <w:rPr>
          <w:rFonts w:hint="default" w:ascii="宋体" w:hAnsi="宋体" w:cs="宋体"/>
          <w:color w:val="000000"/>
          <w:sz w:val="24"/>
          <w:lang w:val="en-US"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lang w:eastAsia="zh-CN"/>
        </w:rPr>
        <w:t>）计划生育生殖健康促进工程</w:t>
      </w:r>
      <w:r>
        <w:rPr>
          <w:rFonts w:hint="eastAsia" w:ascii="仿宋_GB2312" w:hAnsi="仿宋_GB2312" w:eastAsia="仿宋_GB2312" w:cs="仿宋_GB2312"/>
          <w:sz w:val="32"/>
          <w:szCs w:val="32"/>
        </w:rPr>
        <w:t>项目全年预算数</w:t>
      </w:r>
      <w:r>
        <w:rPr>
          <w:rFonts w:hint="eastAsia" w:ascii="仿宋_GB2312" w:hAnsi="仿宋_GB2312" w:eastAsia="仿宋_GB2312" w:cs="仿宋_GB2312"/>
          <w:sz w:val="32"/>
          <w:szCs w:val="32"/>
          <w:lang w:val="en-US" w:eastAsia="zh-CN"/>
        </w:rPr>
        <w:t>7</w:t>
      </w:r>
      <w:r>
        <w:rPr>
          <w:rFonts w:hint="eastAsia" w:ascii="仿宋_GB2312" w:hAnsi="仿宋_GB2312" w:eastAsia="仿宋_GB2312" w:cs="仿宋_GB2312"/>
          <w:sz w:val="32"/>
          <w:szCs w:val="32"/>
        </w:rPr>
        <w:t>万元，执行数为</w:t>
      </w:r>
      <w:r>
        <w:rPr>
          <w:rFonts w:hint="eastAsia" w:ascii="仿宋_GB2312" w:hAnsi="仿宋_GB2312" w:eastAsia="仿宋_GB2312" w:cs="仿宋_GB2312"/>
          <w:sz w:val="32"/>
          <w:szCs w:val="32"/>
          <w:lang w:val="en-US" w:eastAsia="zh-CN"/>
        </w:rPr>
        <w:t>7</w:t>
      </w:r>
      <w:r>
        <w:rPr>
          <w:rFonts w:hint="eastAsia" w:ascii="仿宋_GB2312" w:hAnsi="仿宋_GB2312" w:eastAsia="仿宋_GB2312" w:cs="仿宋_GB2312"/>
          <w:sz w:val="32"/>
          <w:szCs w:val="32"/>
        </w:rPr>
        <w:t>万元，完成预算的</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通过项目实施，旨在深入贯彻党的十九大精神，落实《“健康中国2030”规划纲要》精神，推进健康中国的建设、改善妇幼健康服务、加强妇幼健康和计划生育服务能力建设。对我县推广生殖健康理念、科普“生殖健康”知识、促进生殖健康产业发展有重要的积极意义，也是我县探索面向基层群众的科学、权威、可及的生殖健康咨询服务模式的一项有力举措。</w:t>
      </w:r>
    </w:p>
    <w:tbl>
      <w:tblPr>
        <w:tblStyle w:val="12"/>
        <w:tblpPr w:leftFromText="180" w:rightFromText="180" w:vertAnchor="text" w:horzAnchor="page" w:tblpXSpec="center" w:tblpY="423"/>
        <w:tblOverlap w:val="never"/>
        <w:tblW w:w="9960" w:type="dxa"/>
        <w:jc w:val="center"/>
        <w:tblLayout w:type="fixed"/>
        <w:tblCellMar>
          <w:top w:w="0" w:type="dxa"/>
          <w:left w:w="0" w:type="dxa"/>
          <w:bottom w:w="0" w:type="dxa"/>
          <w:right w:w="0" w:type="dxa"/>
        </w:tblCellMar>
      </w:tblPr>
      <w:tblGrid>
        <w:gridCol w:w="390"/>
        <w:gridCol w:w="1367"/>
        <w:gridCol w:w="1025"/>
        <w:gridCol w:w="2392"/>
        <w:gridCol w:w="2394"/>
        <w:gridCol w:w="2392"/>
      </w:tblGrid>
      <w:tr>
        <w:tblPrEx>
          <w:tblCellMar>
            <w:top w:w="0" w:type="dxa"/>
            <w:left w:w="0" w:type="dxa"/>
            <w:bottom w:w="0" w:type="dxa"/>
            <w:right w:w="0" w:type="dxa"/>
          </w:tblCellMar>
        </w:tblPrEx>
        <w:trPr>
          <w:trHeight w:val="1034" w:hRule="atLeast"/>
          <w:jc w:val="center"/>
        </w:trPr>
        <w:tc>
          <w:tcPr>
            <w:tcW w:w="9960" w:type="dxa"/>
            <w:gridSpan w:val="6"/>
            <w:tcBorders>
              <w:top w:val="nil"/>
              <w:left w:val="nil"/>
              <w:bottom w:val="nil"/>
              <w:right w:val="nil"/>
            </w:tcBorders>
            <w:tcMar>
              <w:top w:w="15" w:type="dxa"/>
              <w:left w:w="15" w:type="dxa"/>
              <w:right w:w="15" w:type="dxa"/>
            </w:tcMar>
            <w:vAlign w:val="center"/>
          </w:tcPr>
          <w:p>
            <w:pPr>
              <w:widowControl/>
              <w:jc w:val="center"/>
              <w:textAlignment w:val="center"/>
              <w:rPr>
                <w:rFonts w:ascii="宋体" w:hAnsi="宋体" w:cs="宋体"/>
                <w:color w:val="000000"/>
                <w:sz w:val="36"/>
                <w:szCs w:val="36"/>
              </w:rPr>
            </w:pPr>
            <w:r>
              <w:rPr>
                <w:rFonts w:hint="eastAsia" w:ascii="宋体" w:hAnsi="宋体" w:cs="宋体"/>
                <w:b/>
                <w:bCs/>
                <w:color w:val="000000"/>
                <w:kern w:val="0"/>
                <w:sz w:val="36"/>
                <w:szCs w:val="36"/>
              </w:rPr>
              <w:t>项目绩效目标完成情况表</w:t>
            </w:r>
            <w:r>
              <w:rPr>
                <w:rFonts w:hint="eastAsia" w:ascii="宋体" w:hAnsi="宋体" w:cs="宋体"/>
                <w:b/>
                <w:bCs/>
                <w:color w:val="000000"/>
                <w:kern w:val="0"/>
                <w:sz w:val="36"/>
                <w:szCs w:val="36"/>
              </w:rPr>
              <w:br w:type="textWrapping"/>
            </w:r>
            <w:r>
              <w:rPr>
                <w:rFonts w:hint="eastAsia" w:ascii="宋体" w:hAnsi="宋体" w:cs="宋体"/>
                <w:color w:val="000000"/>
                <w:kern w:val="0"/>
                <w:sz w:val="36"/>
                <w:szCs w:val="36"/>
              </w:rPr>
              <w:t>(2019 年度)</w:t>
            </w:r>
          </w:p>
        </w:tc>
      </w:tr>
      <w:tr>
        <w:tblPrEx>
          <w:tblCellMar>
            <w:top w:w="0" w:type="dxa"/>
            <w:left w:w="0" w:type="dxa"/>
            <w:bottom w:w="0" w:type="dxa"/>
            <w:right w:w="0" w:type="dxa"/>
          </w:tblCellMar>
        </w:tblPrEx>
        <w:trPr>
          <w:trHeight w:val="276" w:hRule="atLeast"/>
          <w:jc w:val="center"/>
        </w:trPr>
        <w:tc>
          <w:tcPr>
            <w:tcW w:w="2782"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项目名称</w:t>
            </w:r>
          </w:p>
        </w:tc>
        <w:tc>
          <w:tcPr>
            <w:tcW w:w="7178"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sz w:val="24"/>
              </w:rPr>
              <w:t>四川省农村部分计划生育家庭奖励扶助</w:t>
            </w:r>
          </w:p>
        </w:tc>
      </w:tr>
      <w:tr>
        <w:tblPrEx>
          <w:tblCellMar>
            <w:top w:w="0" w:type="dxa"/>
            <w:left w:w="0" w:type="dxa"/>
            <w:bottom w:w="0" w:type="dxa"/>
            <w:right w:w="0" w:type="dxa"/>
          </w:tblCellMar>
        </w:tblPrEx>
        <w:trPr>
          <w:trHeight w:val="276" w:hRule="atLeast"/>
          <w:jc w:val="center"/>
        </w:trPr>
        <w:tc>
          <w:tcPr>
            <w:tcW w:w="2782"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预算单位</w:t>
            </w:r>
          </w:p>
        </w:tc>
        <w:tc>
          <w:tcPr>
            <w:tcW w:w="7178"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color w:val="000000"/>
                <w:sz w:val="24"/>
                <w:lang w:eastAsia="zh-CN"/>
              </w:rPr>
            </w:pPr>
            <w:r>
              <w:rPr>
                <w:rFonts w:hint="eastAsia" w:ascii="宋体" w:hAnsi="宋体" w:cs="宋体"/>
                <w:color w:val="000000"/>
                <w:sz w:val="24"/>
                <w:lang w:eastAsia="zh-CN"/>
              </w:rPr>
              <w:t>乐至县卫生健康局</w:t>
            </w:r>
          </w:p>
        </w:tc>
      </w:tr>
      <w:tr>
        <w:tblPrEx>
          <w:tblCellMar>
            <w:top w:w="0" w:type="dxa"/>
            <w:left w:w="0" w:type="dxa"/>
            <w:bottom w:w="0" w:type="dxa"/>
            <w:right w:w="0" w:type="dxa"/>
          </w:tblCellMar>
        </w:tblPrEx>
        <w:trPr>
          <w:trHeight w:val="276" w:hRule="atLeast"/>
          <w:jc w:val="center"/>
        </w:trPr>
        <w:tc>
          <w:tcPr>
            <w:tcW w:w="390"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预算执行情况(万元)</w:t>
            </w:r>
          </w:p>
        </w:tc>
        <w:tc>
          <w:tcPr>
            <w:tcW w:w="2392"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预算数:</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sz w:val="24"/>
              </w:rPr>
              <w:t>18</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执行数:</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sz w:val="24"/>
              </w:rPr>
              <w:t>18</w:t>
            </w:r>
          </w:p>
        </w:tc>
      </w:tr>
      <w:tr>
        <w:tblPrEx>
          <w:tblCellMar>
            <w:top w:w="0" w:type="dxa"/>
            <w:left w:w="0" w:type="dxa"/>
            <w:bottom w:w="0" w:type="dxa"/>
            <w:right w:w="0" w:type="dxa"/>
          </w:tblCellMar>
        </w:tblPrEx>
        <w:trPr>
          <w:trHeight w:val="276" w:hRule="atLeast"/>
          <w:jc w:val="center"/>
        </w:trPr>
        <w:tc>
          <w:tcPr>
            <w:tcW w:w="390"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宋体" w:hAnsi="宋体" w:cs="宋体"/>
                <w:color w:val="000000"/>
                <w:sz w:val="24"/>
              </w:rPr>
            </w:pPr>
          </w:p>
        </w:tc>
        <w:tc>
          <w:tcPr>
            <w:tcW w:w="2392"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其中-财政拨款:</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sz w:val="24"/>
              </w:rPr>
              <w:t>18</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其中-财政拨款:</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sz w:val="24"/>
              </w:rPr>
              <w:t>18</w:t>
            </w:r>
          </w:p>
        </w:tc>
      </w:tr>
      <w:tr>
        <w:tblPrEx>
          <w:tblCellMar>
            <w:top w:w="0" w:type="dxa"/>
            <w:left w:w="0" w:type="dxa"/>
            <w:bottom w:w="0" w:type="dxa"/>
            <w:right w:w="0" w:type="dxa"/>
          </w:tblCellMar>
        </w:tblPrEx>
        <w:trPr>
          <w:trHeight w:val="1511" w:hRule="atLeast"/>
          <w:jc w:val="center"/>
        </w:trPr>
        <w:tc>
          <w:tcPr>
            <w:tcW w:w="390"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宋体" w:hAnsi="宋体" w:cs="宋体"/>
                <w:color w:val="000000"/>
                <w:sz w:val="24"/>
              </w:rPr>
            </w:pPr>
          </w:p>
        </w:tc>
        <w:tc>
          <w:tcPr>
            <w:tcW w:w="2392"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其它资金:</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color w:val="000000"/>
                <w:sz w:val="24"/>
                <w:lang w:val="en-US" w:eastAsia="zh-CN"/>
              </w:rPr>
            </w:pPr>
            <w:r>
              <w:rPr>
                <w:rFonts w:hint="eastAsia" w:ascii="宋体" w:hAnsi="宋体" w:cs="宋体"/>
                <w:color w:val="000000"/>
                <w:sz w:val="24"/>
                <w:lang w:val="en-US" w:eastAsia="zh-CN"/>
              </w:rPr>
              <w:t>0</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其它资金:</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color w:val="000000"/>
                <w:sz w:val="24"/>
                <w:lang w:val="en-US" w:eastAsia="zh-CN"/>
              </w:rPr>
            </w:pPr>
            <w:r>
              <w:rPr>
                <w:rFonts w:hint="eastAsia" w:ascii="宋体" w:hAnsi="宋体" w:cs="宋体"/>
                <w:color w:val="000000"/>
                <w:sz w:val="24"/>
                <w:lang w:val="en-US" w:eastAsia="zh-CN"/>
              </w:rPr>
              <w:t>0</w:t>
            </w:r>
          </w:p>
        </w:tc>
      </w:tr>
      <w:tr>
        <w:tblPrEx>
          <w:tblCellMar>
            <w:top w:w="0" w:type="dxa"/>
            <w:left w:w="0" w:type="dxa"/>
            <w:bottom w:w="0" w:type="dxa"/>
            <w:right w:w="0" w:type="dxa"/>
          </w:tblCellMar>
        </w:tblPrEx>
        <w:trPr>
          <w:trHeight w:val="276" w:hRule="atLeast"/>
          <w:jc w:val="center"/>
        </w:trPr>
        <w:tc>
          <w:tcPr>
            <w:tcW w:w="390"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年度目标完成情况</w:t>
            </w:r>
          </w:p>
        </w:tc>
        <w:tc>
          <w:tcPr>
            <w:tcW w:w="4784"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预期目标</w:t>
            </w:r>
          </w:p>
        </w:tc>
        <w:tc>
          <w:tcPr>
            <w:tcW w:w="4786"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实际完成目标</w:t>
            </w:r>
          </w:p>
        </w:tc>
      </w:tr>
      <w:tr>
        <w:tblPrEx>
          <w:tblCellMar>
            <w:top w:w="0" w:type="dxa"/>
            <w:left w:w="0" w:type="dxa"/>
            <w:bottom w:w="0" w:type="dxa"/>
            <w:right w:w="0" w:type="dxa"/>
          </w:tblCellMar>
        </w:tblPrEx>
        <w:trPr>
          <w:trHeight w:val="1159" w:hRule="atLeast"/>
          <w:jc w:val="center"/>
        </w:trPr>
        <w:tc>
          <w:tcPr>
            <w:tcW w:w="390"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宋体" w:hAnsi="宋体" w:cs="宋体"/>
                <w:color w:val="000000"/>
                <w:sz w:val="24"/>
              </w:rPr>
            </w:pPr>
          </w:p>
        </w:tc>
        <w:tc>
          <w:tcPr>
            <w:tcW w:w="4784"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sz w:val="24"/>
              </w:rPr>
              <w:t>通过集中宣传、窗口申报、年审、乡村联合调查、县级复审抽查、档案管理，确保对象资格确认无误。</w:t>
            </w:r>
          </w:p>
        </w:tc>
        <w:tc>
          <w:tcPr>
            <w:tcW w:w="4786"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sz w:val="24"/>
              </w:rPr>
              <w:t>通过集中宣传、窗口申报、年审、乡村联合调查、县级复审抽查、档案管理，确保对象资格确认无误。</w:t>
            </w:r>
          </w:p>
        </w:tc>
      </w:tr>
      <w:tr>
        <w:tblPrEx>
          <w:tblCellMar>
            <w:top w:w="0" w:type="dxa"/>
            <w:left w:w="0" w:type="dxa"/>
            <w:bottom w:w="0" w:type="dxa"/>
            <w:right w:w="0" w:type="dxa"/>
          </w:tblCellMar>
        </w:tblPrEx>
        <w:trPr>
          <w:trHeight w:val="1042" w:hRule="atLeast"/>
          <w:jc w:val="center"/>
        </w:trPr>
        <w:tc>
          <w:tcPr>
            <w:tcW w:w="390" w:type="dxa"/>
            <w:vMerge w:val="restart"/>
            <w:tcBorders>
              <w:top w:val="single" w:color="000000" w:sz="4" w:space="0"/>
              <w:left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sz w:val="24"/>
              </w:rPr>
              <w:t>绩效指标完成情况</w:t>
            </w: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一级指标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二级指标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三级指标</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预期指标值(包含数字及文字描述)</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实际完成指标值(包含数字及文字描述)</w:t>
            </w:r>
          </w:p>
        </w:tc>
      </w:tr>
      <w:tr>
        <w:tblPrEx>
          <w:tblCellMar>
            <w:top w:w="0" w:type="dxa"/>
            <w:left w:w="0" w:type="dxa"/>
            <w:bottom w:w="0" w:type="dxa"/>
            <w:right w:w="0" w:type="dxa"/>
          </w:tblCellMar>
        </w:tblPrEx>
        <w:trPr>
          <w:trHeight w:val="953" w:hRule="atLeast"/>
          <w:jc w:val="center"/>
        </w:trPr>
        <w:tc>
          <w:tcPr>
            <w:tcW w:w="390" w:type="dxa"/>
            <w:vMerge w:val="continue"/>
            <w:tcBorders>
              <w:left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4"/>
              </w:rPr>
            </w:pP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项目完成指标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sz w:val="24"/>
              </w:rPr>
              <w:t>数量指标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sz w:val="24"/>
              </w:rPr>
              <w:t>县级抽查新增对象</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2"/>
                <w:sz w:val="20"/>
                <w:szCs w:val="20"/>
                <w:u w:val="none"/>
                <w:lang w:val="en-US" w:eastAsia="zh-CN" w:bidi="ar-SA"/>
              </w:rPr>
            </w:pPr>
            <w:r>
              <w:rPr>
                <w:rFonts w:hint="eastAsia" w:ascii="宋体" w:hAnsi="宋体" w:eastAsia="宋体" w:cs="宋体"/>
                <w:i w:val="0"/>
                <w:color w:val="000000"/>
                <w:kern w:val="0"/>
                <w:sz w:val="20"/>
                <w:szCs w:val="20"/>
                <w:u w:val="none"/>
                <w:lang w:val="en-US" w:eastAsia="zh-CN" w:bidi="ar"/>
              </w:rPr>
              <w:t>≥10%</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2"/>
                <w:sz w:val="20"/>
                <w:szCs w:val="20"/>
                <w:u w:val="none"/>
                <w:lang w:val="en-US" w:eastAsia="zh-CN" w:bidi="ar-SA"/>
              </w:rPr>
            </w:pPr>
            <w:r>
              <w:rPr>
                <w:rFonts w:hint="eastAsia" w:ascii="宋体" w:hAnsi="宋体" w:eastAsia="宋体" w:cs="宋体"/>
                <w:i w:val="0"/>
                <w:color w:val="000000"/>
                <w:kern w:val="0"/>
                <w:sz w:val="20"/>
                <w:szCs w:val="20"/>
                <w:u w:val="none"/>
                <w:lang w:val="en-US" w:eastAsia="zh-CN" w:bidi="ar"/>
              </w:rPr>
              <w:t>≥10%</w:t>
            </w:r>
          </w:p>
        </w:tc>
      </w:tr>
      <w:tr>
        <w:tblPrEx>
          <w:tblCellMar>
            <w:top w:w="0" w:type="dxa"/>
            <w:left w:w="0" w:type="dxa"/>
            <w:bottom w:w="0" w:type="dxa"/>
            <w:right w:w="0" w:type="dxa"/>
          </w:tblCellMar>
        </w:tblPrEx>
        <w:trPr>
          <w:trHeight w:val="1297" w:hRule="atLeast"/>
          <w:jc w:val="center"/>
        </w:trPr>
        <w:tc>
          <w:tcPr>
            <w:tcW w:w="390" w:type="dxa"/>
            <w:vMerge w:val="continue"/>
            <w:tcBorders>
              <w:left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4"/>
              </w:rPr>
            </w:pP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项目完成指标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sz w:val="24"/>
                <w:lang w:eastAsia="zh-CN"/>
              </w:rPr>
              <w:t>质</w:t>
            </w:r>
            <w:r>
              <w:rPr>
                <w:rFonts w:hint="eastAsia" w:ascii="宋体" w:hAnsi="宋体" w:cs="宋体"/>
                <w:color w:val="000000"/>
                <w:sz w:val="24"/>
              </w:rPr>
              <w:t>量指标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sz w:val="24"/>
              </w:rPr>
              <w:t>新增对象资格确认</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2"/>
                <w:sz w:val="20"/>
                <w:szCs w:val="20"/>
                <w:u w:val="none"/>
                <w:lang w:val="en-US" w:eastAsia="zh-CN" w:bidi="ar-SA"/>
              </w:rPr>
            </w:pPr>
            <w:r>
              <w:rPr>
                <w:rFonts w:hint="eastAsia" w:ascii="宋体" w:hAnsi="宋体" w:eastAsia="宋体" w:cs="宋体"/>
                <w:i w:val="0"/>
                <w:color w:val="000000"/>
                <w:kern w:val="0"/>
                <w:sz w:val="20"/>
                <w:szCs w:val="20"/>
                <w:u w:val="none"/>
                <w:lang w:val="en-US" w:eastAsia="zh-CN" w:bidi="ar"/>
              </w:rPr>
              <w:t>零误差</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2"/>
                <w:sz w:val="20"/>
                <w:szCs w:val="20"/>
                <w:u w:val="none"/>
                <w:lang w:val="en-US" w:eastAsia="zh-CN" w:bidi="ar-SA"/>
              </w:rPr>
            </w:pPr>
            <w:r>
              <w:rPr>
                <w:rFonts w:hint="eastAsia" w:ascii="宋体" w:hAnsi="宋体" w:eastAsia="宋体" w:cs="宋体"/>
                <w:i w:val="0"/>
                <w:color w:val="000000"/>
                <w:kern w:val="0"/>
                <w:sz w:val="20"/>
                <w:szCs w:val="20"/>
                <w:u w:val="none"/>
                <w:lang w:val="en-US" w:eastAsia="zh-CN" w:bidi="ar"/>
              </w:rPr>
              <w:t>零误差</w:t>
            </w:r>
          </w:p>
        </w:tc>
      </w:tr>
      <w:tr>
        <w:tblPrEx>
          <w:tblCellMar>
            <w:top w:w="0" w:type="dxa"/>
            <w:left w:w="0" w:type="dxa"/>
            <w:bottom w:w="0" w:type="dxa"/>
            <w:right w:w="0" w:type="dxa"/>
          </w:tblCellMar>
        </w:tblPrEx>
        <w:trPr>
          <w:trHeight w:val="1042" w:hRule="atLeast"/>
          <w:jc w:val="center"/>
        </w:trPr>
        <w:tc>
          <w:tcPr>
            <w:tcW w:w="390" w:type="dxa"/>
            <w:vMerge w:val="continue"/>
            <w:tcBorders>
              <w:left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4"/>
              </w:rPr>
            </w:pP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项目完成指标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sz w:val="24"/>
                <w:lang w:eastAsia="zh-CN"/>
              </w:rPr>
              <w:t>成本</w:t>
            </w:r>
            <w:r>
              <w:rPr>
                <w:rFonts w:hint="eastAsia" w:ascii="宋体" w:hAnsi="宋体" w:cs="宋体"/>
                <w:color w:val="000000"/>
                <w:sz w:val="24"/>
              </w:rPr>
              <w:t>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sz w:val="24"/>
              </w:rPr>
              <w:t>费用不超过18万</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sz w:val="24"/>
              </w:rPr>
              <w:t>≤18万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sz w:val="24"/>
              </w:rPr>
              <w:t>≤18万</w:t>
            </w:r>
          </w:p>
        </w:tc>
      </w:tr>
      <w:tr>
        <w:tblPrEx>
          <w:tblCellMar>
            <w:top w:w="0" w:type="dxa"/>
            <w:left w:w="0" w:type="dxa"/>
            <w:bottom w:w="0" w:type="dxa"/>
            <w:right w:w="0" w:type="dxa"/>
          </w:tblCellMar>
        </w:tblPrEx>
        <w:trPr>
          <w:trHeight w:val="1042" w:hRule="atLeast"/>
          <w:jc w:val="center"/>
        </w:trPr>
        <w:tc>
          <w:tcPr>
            <w:tcW w:w="390" w:type="dxa"/>
            <w:vMerge w:val="continue"/>
            <w:tcBorders>
              <w:left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4"/>
              </w:rPr>
            </w:pP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效益指标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cs="宋体"/>
                <w:color w:val="000000"/>
                <w:sz w:val="24"/>
              </w:rPr>
            </w:pPr>
            <w:r>
              <w:rPr>
                <w:rFonts w:hint="eastAsia" w:ascii="宋体" w:hAnsi="宋体" w:cs="宋体"/>
                <w:color w:val="000000"/>
                <w:sz w:val="24"/>
              </w:rPr>
              <w:t>社会效益</w:t>
            </w:r>
          </w:p>
          <w:p>
            <w:pPr>
              <w:widowControl/>
              <w:jc w:val="center"/>
              <w:textAlignment w:val="center"/>
              <w:rPr>
                <w:rFonts w:ascii="宋体" w:hAnsi="宋体" w:cs="宋体"/>
                <w:color w:val="000000"/>
                <w:sz w:val="24"/>
              </w:rPr>
            </w:pPr>
            <w:r>
              <w:rPr>
                <w:rFonts w:hint="eastAsia" w:ascii="宋体" w:hAnsi="宋体" w:cs="宋体"/>
                <w:color w:val="000000"/>
                <w:sz w:val="24"/>
              </w:rPr>
              <w:t>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sz w:val="24"/>
              </w:rPr>
              <w:t>覆盖全县计划生育家庭扶助对象数</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sz w:val="24"/>
              </w:rPr>
              <w:t>约2.6万人</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sz w:val="24"/>
              </w:rPr>
              <w:t>约2.6万人</w:t>
            </w:r>
          </w:p>
        </w:tc>
      </w:tr>
      <w:tr>
        <w:tblPrEx>
          <w:tblCellMar>
            <w:top w:w="0" w:type="dxa"/>
            <w:left w:w="0" w:type="dxa"/>
            <w:bottom w:w="0" w:type="dxa"/>
            <w:right w:w="0" w:type="dxa"/>
          </w:tblCellMar>
        </w:tblPrEx>
        <w:trPr>
          <w:trHeight w:val="1050" w:hRule="atLeast"/>
          <w:jc w:val="center"/>
        </w:trPr>
        <w:tc>
          <w:tcPr>
            <w:tcW w:w="390" w:type="dxa"/>
            <w:vMerge w:val="continue"/>
            <w:tcBorders>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4"/>
              </w:rPr>
            </w:pP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满意度指标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cs="宋体"/>
                <w:color w:val="000000"/>
                <w:sz w:val="24"/>
              </w:rPr>
            </w:pPr>
            <w:r>
              <w:rPr>
                <w:rFonts w:hint="eastAsia" w:ascii="宋体" w:hAnsi="宋体" w:cs="宋体"/>
                <w:color w:val="000000"/>
                <w:sz w:val="24"/>
              </w:rPr>
              <w:t>服务对象</w:t>
            </w:r>
          </w:p>
          <w:p>
            <w:pPr>
              <w:widowControl/>
              <w:jc w:val="center"/>
              <w:textAlignment w:val="center"/>
              <w:rPr>
                <w:rFonts w:ascii="宋体" w:hAnsi="宋体" w:cs="宋体"/>
                <w:color w:val="000000"/>
                <w:sz w:val="24"/>
              </w:rPr>
            </w:pPr>
            <w:r>
              <w:rPr>
                <w:rFonts w:hint="eastAsia" w:ascii="宋体" w:hAnsi="宋体" w:cs="宋体"/>
                <w:color w:val="000000"/>
                <w:sz w:val="24"/>
              </w:rPr>
              <w:t>满意度指标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sz w:val="24"/>
              </w:rPr>
              <w:t>计划生育家庭扶助对象满意度</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sz w:val="24"/>
              </w:rPr>
              <w:t>≥95%</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sz w:val="24"/>
              </w:rPr>
              <w:t>≥95%</w:t>
            </w:r>
          </w:p>
        </w:tc>
      </w:tr>
      <w:tr>
        <w:tblPrEx>
          <w:tblCellMar>
            <w:top w:w="0" w:type="dxa"/>
            <w:left w:w="0" w:type="dxa"/>
            <w:bottom w:w="0" w:type="dxa"/>
            <w:right w:w="0" w:type="dxa"/>
          </w:tblCellMar>
        </w:tblPrEx>
        <w:trPr>
          <w:trHeight w:val="1034" w:hRule="atLeast"/>
          <w:jc w:val="center"/>
        </w:trPr>
        <w:tc>
          <w:tcPr>
            <w:tcW w:w="9960" w:type="dxa"/>
            <w:gridSpan w:val="6"/>
            <w:tcBorders>
              <w:top w:val="nil"/>
              <w:left w:val="nil"/>
              <w:bottom w:val="nil"/>
              <w:right w:val="nil"/>
            </w:tcBorders>
            <w:tcMar>
              <w:top w:w="15" w:type="dxa"/>
              <w:left w:w="15" w:type="dxa"/>
              <w:right w:w="15" w:type="dxa"/>
            </w:tcMar>
            <w:vAlign w:val="center"/>
          </w:tcPr>
          <w:p>
            <w:pPr>
              <w:widowControl/>
              <w:jc w:val="center"/>
              <w:textAlignment w:val="center"/>
              <w:rPr>
                <w:rFonts w:hint="eastAsia" w:ascii="宋体" w:hAnsi="宋体" w:cs="宋体"/>
                <w:b/>
                <w:bCs/>
                <w:color w:val="000000"/>
                <w:kern w:val="0"/>
                <w:sz w:val="36"/>
                <w:szCs w:val="36"/>
              </w:rPr>
            </w:pPr>
          </w:p>
          <w:p>
            <w:pPr>
              <w:widowControl/>
              <w:jc w:val="center"/>
              <w:textAlignment w:val="center"/>
              <w:rPr>
                <w:rFonts w:hint="eastAsia" w:ascii="宋体" w:hAnsi="宋体" w:cs="宋体"/>
                <w:b/>
                <w:bCs/>
                <w:color w:val="000000"/>
                <w:kern w:val="0"/>
                <w:sz w:val="36"/>
                <w:szCs w:val="36"/>
              </w:rPr>
            </w:pPr>
          </w:p>
          <w:p>
            <w:pPr>
              <w:widowControl/>
              <w:jc w:val="center"/>
              <w:textAlignment w:val="center"/>
              <w:rPr>
                <w:rFonts w:hint="eastAsia" w:ascii="宋体" w:hAnsi="宋体" w:cs="宋体"/>
                <w:b/>
                <w:bCs/>
                <w:color w:val="000000"/>
                <w:kern w:val="0"/>
                <w:sz w:val="36"/>
                <w:szCs w:val="36"/>
              </w:rPr>
            </w:pPr>
          </w:p>
          <w:p>
            <w:pPr>
              <w:widowControl/>
              <w:jc w:val="center"/>
              <w:textAlignment w:val="center"/>
              <w:rPr>
                <w:rFonts w:ascii="宋体" w:hAnsi="宋体" w:cs="宋体"/>
                <w:color w:val="000000"/>
                <w:sz w:val="36"/>
                <w:szCs w:val="36"/>
              </w:rPr>
            </w:pPr>
            <w:r>
              <w:rPr>
                <w:rFonts w:hint="eastAsia" w:ascii="宋体" w:hAnsi="宋体" w:cs="宋体"/>
                <w:b/>
                <w:bCs/>
                <w:color w:val="000000"/>
                <w:kern w:val="0"/>
                <w:sz w:val="36"/>
                <w:szCs w:val="36"/>
              </w:rPr>
              <w:t>项目绩效目标完成情况表</w:t>
            </w:r>
            <w:r>
              <w:rPr>
                <w:rFonts w:hint="eastAsia" w:ascii="宋体" w:hAnsi="宋体" w:cs="宋体"/>
                <w:b/>
                <w:bCs/>
                <w:color w:val="000000"/>
                <w:kern w:val="0"/>
                <w:sz w:val="36"/>
                <w:szCs w:val="36"/>
              </w:rPr>
              <w:br w:type="textWrapping"/>
            </w:r>
            <w:r>
              <w:rPr>
                <w:rFonts w:hint="eastAsia" w:ascii="宋体" w:hAnsi="宋体" w:cs="宋体"/>
                <w:color w:val="000000"/>
                <w:kern w:val="0"/>
                <w:sz w:val="36"/>
                <w:szCs w:val="36"/>
              </w:rPr>
              <w:t>(2019 年度)</w:t>
            </w:r>
          </w:p>
        </w:tc>
      </w:tr>
      <w:tr>
        <w:tblPrEx>
          <w:tblCellMar>
            <w:top w:w="0" w:type="dxa"/>
            <w:left w:w="0" w:type="dxa"/>
            <w:bottom w:w="0" w:type="dxa"/>
            <w:right w:w="0" w:type="dxa"/>
          </w:tblCellMar>
        </w:tblPrEx>
        <w:trPr>
          <w:trHeight w:val="276" w:hRule="atLeast"/>
          <w:jc w:val="center"/>
        </w:trPr>
        <w:tc>
          <w:tcPr>
            <w:tcW w:w="2782"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项目名称</w:t>
            </w:r>
          </w:p>
        </w:tc>
        <w:tc>
          <w:tcPr>
            <w:tcW w:w="7178"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sz w:val="24"/>
              </w:rPr>
              <w:t>四川省计划生育家庭特别扶助</w:t>
            </w:r>
          </w:p>
        </w:tc>
      </w:tr>
      <w:tr>
        <w:tblPrEx>
          <w:tblCellMar>
            <w:top w:w="0" w:type="dxa"/>
            <w:left w:w="0" w:type="dxa"/>
            <w:bottom w:w="0" w:type="dxa"/>
            <w:right w:w="0" w:type="dxa"/>
          </w:tblCellMar>
        </w:tblPrEx>
        <w:trPr>
          <w:trHeight w:val="276" w:hRule="atLeast"/>
          <w:jc w:val="center"/>
        </w:trPr>
        <w:tc>
          <w:tcPr>
            <w:tcW w:w="2782"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预算单位</w:t>
            </w:r>
          </w:p>
        </w:tc>
        <w:tc>
          <w:tcPr>
            <w:tcW w:w="7178"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color w:val="000000"/>
                <w:sz w:val="24"/>
                <w:lang w:eastAsia="zh-CN"/>
              </w:rPr>
            </w:pPr>
            <w:r>
              <w:rPr>
                <w:rFonts w:hint="eastAsia" w:ascii="宋体" w:hAnsi="宋体" w:cs="宋体"/>
                <w:color w:val="000000"/>
                <w:sz w:val="24"/>
                <w:lang w:eastAsia="zh-CN"/>
              </w:rPr>
              <w:t>乐至县卫生健康局</w:t>
            </w:r>
          </w:p>
        </w:tc>
      </w:tr>
      <w:tr>
        <w:tblPrEx>
          <w:tblCellMar>
            <w:top w:w="0" w:type="dxa"/>
            <w:left w:w="0" w:type="dxa"/>
            <w:bottom w:w="0" w:type="dxa"/>
            <w:right w:w="0" w:type="dxa"/>
          </w:tblCellMar>
        </w:tblPrEx>
        <w:trPr>
          <w:trHeight w:val="276" w:hRule="atLeast"/>
          <w:jc w:val="center"/>
        </w:trPr>
        <w:tc>
          <w:tcPr>
            <w:tcW w:w="390"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预算执行情况(万元)</w:t>
            </w:r>
          </w:p>
        </w:tc>
        <w:tc>
          <w:tcPr>
            <w:tcW w:w="2392"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预算数:</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default" w:ascii="宋体" w:hAnsi="宋体" w:eastAsia="宋体" w:cs="宋体"/>
                <w:color w:val="000000"/>
                <w:sz w:val="24"/>
                <w:lang w:val="en-US" w:eastAsia="zh-CN"/>
              </w:rPr>
            </w:pPr>
            <w:r>
              <w:rPr>
                <w:rFonts w:hint="eastAsia" w:ascii="宋体" w:hAnsi="宋体" w:cs="宋体"/>
                <w:color w:val="000000"/>
                <w:sz w:val="24"/>
                <w:lang w:val="en-US" w:eastAsia="zh-CN"/>
              </w:rPr>
              <w:t>15</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执行数:</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default" w:ascii="宋体" w:hAnsi="宋体" w:eastAsia="宋体" w:cs="宋体"/>
                <w:color w:val="000000"/>
                <w:sz w:val="24"/>
                <w:lang w:val="en-US" w:eastAsia="zh-CN"/>
              </w:rPr>
            </w:pPr>
            <w:r>
              <w:rPr>
                <w:rFonts w:hint="eastAsia" w:ascii="宋体" w:hAnsi="宋体" w:cs="宋体"/>
                <w:color w:val="000000"/>
                <w:sz w:val="24"/>
                <w:lang w:val="en-US" w:eastAsia="zh-CN"/>
              </w:rPr>
              <w:t>15</w:t>
            </w:r>
          </w:p>
        </w:tc>
      </w:tr>
      <w:tr>
        <w:tblPrEx>
          <w:tblCellMar>
            <w:top w:w="0" w:type="dxa"/>
            <w:left w:w="0" w:type="dxa"/>
            <w:bottom w:w="0" w:type="dxa"/>
            <w:right w:w="0" w:type="dxa"/>
          </w:tblCellMar>
        </w:tblPrEx>
        <w:trPr>
          <w:trHeight w:val="276" w:hRule="atLeast"/>
          <w:jc w:val="center"/>
        </w:trPr>
        <w:tc>
          <w:tcPr>
            <w:tcW w:w="390"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宋体" w:hAnsi="宋体" w:cs="宋体"/>
                <w:color w:val="000000"/>
                <w:sz w:val="24"/>
              </w:rPr>
            </w:pPr>
          </w:p>
        </w:tc>
        <w:tc>
          <w:tcPr>
            <w:tcW w:w="2392"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其中-财政拨款:</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default" w:ascii="宋体" w:hAnsi="宋体" w:eastAsia="宋体" w:cs="宋体"/>
                <w:color w:val="000000"/>
                <w:sz w:val="24"/>
                <w:lang w:val="en-US" w:eastAsia="zh-CN"/>
              </w:rPr>
            </w:pPr>
            <w:r>
              <w:rPr>
                <w:rFonts w:hint="eastAsia" w:ascii="宋体" w:hAnsi="宋体" w:cs="宋体"/>
                <w:color w:val="000000"/>
                <w:sz w:val="24"/>
                <w:lang w:val="en-US" w:eastAsia="zh-CN"/>
              </w:rPr>
              <w:t>15</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其中-财政拨款:</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default" w:ascii="宋体" w:hAnsi="宋体" w:eastAsia="宋体" w:cs="宋体"/>
                <w:color w:val="000000"/>
                <w:sz w:val="24"/>
                <w:lang w:val="en-US" w:eastAsia="zh-CN"/>
              </w:rPr>
            </w:pPr>
            <w:r>
              <w:rPr>
                <w:rFonts w:hint="eastAsia" w:ascii="宋体" w:hAnsi="宋体" w:cs="宋体"/>
                <w:color w:val="000000"/>
                <w:sz w:val="24"/>
                <w:lang w:val="en-US" w:eastAsia="zh-CN"/>
              </w:rPr>
              <w:t>15</w:t>
            </w:r>
          </w:p>
        </w:tc>
      </w:tr>
      <w:tr>
        <w:tblPrEx>
          <w:tblCellMar>
            <w:top w:w="0" w:type="dxa"/>
            <w:left w:w="0" w:type="dxa"/>
            <w:bottom w:w="0" w:type="dxa"/>
            <w:right w:w="0" w:type="dxa"/>
          </w:tblCellMar>
        </w:tblPrEx>
        <w:trPr>
          <w:trHeight w:val="1511" w:hRule="atLeast"/>
          <w:jc w:val="center"/>
        </w:trPr>
        <w:tc>
          <w:tcPr>
            <w:tcW w:w="390"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宋体" w:hAnsi="宋体" w:cs="宋体"/>
                <w:color w:val="000000"/>
                <w:sz w:val="24"/>
              </w:rPr>
            </w:pPr>
          </w:p>
        </w:tc>
        <w:tc>
          <w:tcPr>
            <w:tcW w:w="2392"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其它资金:</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color w:val="000000"/>
                <w:sz w:val="24"/>
                <w:lang w:val="en-US" w:eastAsia="zh-CN"/>
              </w:rPr>
            </w:pPr>
            <w:r>
              <w:rPr>
                <w:rFonts w:hint="eastAsia" w:ascii="宋体" w:hAnsi="宋体" w:cs="宋体"/>
                <w:color w:val="000000"/>
                <w:sz w:val="24"/>
                <w:lang w:val="en-US" w:eastAsia="zh-CN"/>
              </w:rPr>
              <w:t>0</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其它资金:</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color w:val="000000"/>
                <w:sz w:val="24"/>
                <w:lang w:val="en-US" w:eastAsia="zh-CN"/>
              </w:rPr>
            </w:pPr>
            <w:r>
              <w:rPr>
                <w:rFonts w:hint="eastAsia" w:ascii="宋体" w:hAnsi="宋体" w:cs="宋体"/>
                <w:color w:val="000000"/>
                <w:sz w:val="24"/>
                <w:lang w:val="en-US" w:eastAsia="zh-CN"/>
              </w:rPr>
              <w:t>0</w:t>
            </w:r>
          </w:p>
        </w:tc>
      </w:tr>
      <w:tr>
        <w:tblPrEx>
          <w:tblCellMar>
            <w:top w:w="0" w:type="dxa"/>
            <w:left w:w="0" w:type="dxa"/>
            <w:bottom w:w="0" w:type="dxa"/>
            <w:right w:w="0" w:type="dxa"/>
          </w:tblCellMar>
        </w:tblPrEx>
        <w:trPr>
          <w:trHeight w:val="276" w:hRule="atLeast"/>
          <w:jc w:val="center"/>
        </w:trPr>
        <w:tc>
          <w:tcPr>
            <w:tcW w:w="390"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年度目标完成情况</w:t>
            </w:r>
          </w:p>
        </w:tc>
        <w:tc>
          <w:tcPr>
            <w:tcW w:w="4784"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预期目标</w:t>
            </w:r>
          </w:p>
        </w:tc>
        <w:tc>
          <w:tcPr>
            <w:tcW w:w="4786"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实际完成目标</w:t>
            </w:r>
          </w:p>
        </w:tc>
      </w:tr>
      <w:tr>
        <w:tblPrEx>
          <w:tblCellMar>
            <w:top w:w="0" w:type="dxa"/>
            <w:left w:w="0" w:type="dxa"/>
            <w:bottom w:w="0" w:type="dxa"/>
            <w:right w:w="0" w:type="dxa"/>
          </w:tblCellMar>
        </w:tblPrEx>
        <w:trPr>
          <w:trHeight w:val="1159" w:hRule="atLeast"/>
          <w:jc w:val="center"/>
        </w:trPr>
        <w:tc>
          <w:tcPr>
            <w:tcW w:w="390"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宋体" w:hAnsi="宋体" w:cs="宋体"/>
                <w:color w:val="000000"/>
                <w:sz w:val="24"/>
              </w:rPr>
            </w:pPr>
          </w:p>
        </w:tc>
        <w:tc>
          <w:tcPr>
            <w:tcW w:w="4784"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sz w:val="24"/>
              </w:rPr>
              <w:t>通过集中宣传、窗口申报、年审、乡村联合调查、县级复审抽查、档案管理，确保对象资格确认无误。</w:t>
            </w:r>
          </w:p>
        </w:tc>
        <w:tc>
          <w:tcPr>
            <w:tcW w:w="4786"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sz w:val="24"/>
              </w:rPr>
              <w:t>通过集中宣传、窗口申报、年审、乡村联合调查、县级复审抽查、档案管理，确保对象资格确认无误。</w:t>
            </w:r>
          </w:p>
        </w:tc>
      </w:tr>
      <w:tr>
        <w:tblPrEx>
          <w:tblCellMar>
            <w:top w:w="0" w:type="dxa"/>
            <w:left w:w="0" w:type="dxa"/>
            <w:bottom w:w="0" w:type="dxa"/>
            <w:right w:w="0" w:type="dxa"/>
          </w:tblCellMar>
        </w:tblPrEx>
        <w:trPr>
          <w:trHeight w:val="1042" w:hRule="atLeast"/>
          <w:jc w:val="center"/>
        </w:trPr>
        <w:tc>
          <w:tcPr>
            <w:tcW w:w="390" w:type="dxa"/>
            <w:vMerge w:val="restart"/>
            <w:tcBorders>
              <w:top w:val="single" w:color="000000" w:sz="4" w:space="0"/>
              <w:left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sz w:val="24"/>
              </w:rPr>
              <w:t>绩效指标完成情况</w:t>
            </w: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一级指标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二级指标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三级指标</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预期指标值(包含数字及文字描述)</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实际完成指标值(包含数字及文字描述)</w:t>
            </w:r>
          </w:p>
        </w:tc>
      </w:tr>
      <w:tr>
        <w:tblPrEx>
          <w:tblCellMar>
            <w:top w:w="0" w:type="dxa"/>
            <w:left w:w="0" w:type="dxa"/>
            <w:bottom w:w="0" w:type="dxa"/>
            <w:right w:w="0" w:type="dxa"/>
          </w:tblCellMar>
        </w:tblPrEx>
        <w:trPr>
          <w:trHeight w:val="953" w:hRule="atLeast"/>
          <w:jc w:val="center"/>
        </w:trPr>
        <w:tc>
          <w:tcPr>
            <w:tcW w:w="390" w:type="dxa"/>
            <w:vMerge w:val="continue"/>
            <w:tcBorders>
              <w:left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4"/>
              </w:rPr>
            </w:pP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项目完成指标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color w:val="000000"/>
                <w:kern w:val="2"/>
                <w:sz w:val="24"/>
                <w:szCs w:val="24"/>
                <w:lang w:val="en-US" w:eastAsia="zh-CN" w:bidi="ar-SA"/>
              </w:rPr>
            </w:pPr>
            <w:r>
              <w:rPr>
                <w:rFonts w:hint="eastAsia" w:ascii="宋体" w:hAnsi="宋体" w:cs="宋体"/>
                <w:color w:val="000000"/>
                <w:sz w:val="24"/>
              </w:rPr>
              <w:t>数量指标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color w:val="000000"/>
                <w:kern w:val="2"/>
                <w:sz w:val="24"/>
                <w:szCs w:val="24"/>
                <w:lang w:val="en-US" w:eastAsia="zh-CN" w:bidi="ar-SA"/>
              </w:rPr>
            </w:pPr>
            <w:r>
              <w:rPr>
                <w:rFonts w:hint="eastAsia" w:ascii="宋体" w:hAnsi="宋体" w:cs="宋体"/>
                <w:color w:val="000000"/>
                <w:sz w:val="24"/>
              </w:rPr>
              <w:t>县级抽查新增对象</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2"/>
                <w:sz w:val="20"/>
                <w:szCs w:val="20"/>
                <w:u w:val="none"/>
                <w:lang w:val="en-US" w:eastAsia="zh-CN" w:bidi="ar-SA"/>
              </w:rPr>
            </w:pPr>
            <w:r>
              <w:rPr>
                <w:rFonts w:hint="eastAsia" w:ascii="宋体" w:hAnsi="宋体" w:eastAsia="宋体" w:cs="宋体"/>
                <w:i w:val="0"/>
                <w:color w:val="000000"/>
                <w:kern w:val="0"/>
                <w:sz w:val="20"/>
                <w:szCs w:val="20"/>
                <w:u w:val="none"/>
                <w:lang w:val="en-US" w:eastAsia="zh-CN" w:bidi="ar"/>
              </w:rPr>
              <w:t>≥10%</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2"/>
                <w:sz w:val="20"/>
                <w:szCs w:val="20"/>
                <w:u w:val="none"/>
                <w:lang w:val="en-US" w:eastAsia="zh-CN" w:bidi="ar-SA"/>
              </w:rPr>
            </w:pPr>
            <w:r>
              <w:rPr>
                <w:rFonts w:hint="eastAsia" w:ascii="宋体" w:hAnsi="宋体" w:eastAsia="宋体" w:cs="宋体"/>
                <w:i w:val="0"/>
                <w:color w:val="000000"/>
                <w:kern w:val="0"/>
                <w:sz w:val="20"/>
                <w:szCs w:val="20"/>
                <w:u w:val="none"/>
                <w:lang w:val="en-US" w:eastAsia="zh-CN" w:bidi="ar"/>
              </w:rPr>
              <w:t>≥10%</w:t>
            </w:r>
          </w:p>
        </w:tc>
      </w:tr>
      <w:tr>
        <w:tblPrEx>
          <w:tblCellMar>
            <w:top w:w="0" w:type="dxa"/>
            <w:left w:w="0" w:type="dxa"/>
            <w:bottom w:w="0" w:type="dxa"/>
            <w:right w:w="0" w:type="dxa"/>
          </w:tblCellMar>
        </w:tblPrEx>
        <w:trPr>
          <w:trHeight w:val="1297" w:hRule="atLeast"/>
          <w:jc w:val="center"/>
        </w:trPr>
        <w:tc>
          <w:tcPr>
            <w:tcW w:w="390" w:type="dxa"/>
            <w:vMerge w:val="continue"/>
            <w:tcBorders>
              <w:left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4"/>
              </w:rPr>
            </w:pP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项目完成指标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color w:val="000000"/>
                <w:kern w:val="2"/>
                <w:sz w:val="24"/>
                <w:szCs w:val="24"/>
                <w:lang w:val="en-US" w:eastAsia="zh-CN" w:bidi="ar-SA"/>
              </w:rPr>
            </w:pPr>
            <w:r>
              <w:rPr>
                <w:rFonts w:hint="eastAsia" w:ascii="宋体" w:hAnsi="宋体" w:cs="宋体"/>
                <w:color w:val="000000"/>
                <w:sz w:val="24"/>
                <w:lang w:eastAsia="zh-CN"/>
              </w:rPr>
              <w:t>质</w:t>
            </w:r>
            <w:r>
              <w:rPr>
                <w:rFonts w:hint="eastAsia" w:ascii="宋体" w:hAnsi="宋体" w:cs="宋体"/>
                <w:color w:val="000000"/>
                <w:sz w:val="24"/>
              </w:rPr>
              <w:t>量指标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color w:val="000000"/>
                <w:kern w:val="2"/>
                <w:sz w:val="24"/>
                <w:szCs w:val="24"/>
                <w:lang w:val="en-US" w:eastAsia="zh-CN" w:bidi="ar-SA"/>
              </w:rPr>
            </w:pPr>
            <w:r>
              <w:rPr>
                <w:rFonts w:hint="eastAsia" w:ascii="宋体" w:hAnsi="宋体" w:cs="宋体"/>
                <w:color w:val="000000"/>
                <w:sz w:val="24"/>
              </w:rPr>
              <w:t>新增对象资格确认</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2"/>
                <w:sz w:val="20"/>
                <w:szCs w:val="20"/>
                <w:u w:val="none"/>
                <w:lang w:val="en-US" w:eastAsia="zh-CN" w:bidi="ar-SA"/>
              </w:rPr>
            </w:pPr>
            <w:r>
              <w:rPr>
                <w:rFonts w:hint="eastAsia" w:ascii="宋体" w:hAnsi="宋体" w:eastAsia="宋体" w:cs="宋体"/>
                <w:i w:val="0"/>
                <w:color w:val="000000"/>
                <w:kern w:val="0"/>
                <w:sz w:val="20"/>
                <w:szCs w:val="20"/>
                <w:u w:val="none"/>
                <w:lang w:val="en-US" w:eastAsia="zh-CN" w:bidi="ar"/>
              </w:rPr>
              <w:t>零误差</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2"/>
                <w:sz w:val="20"/>
                <w:szCs w:val="20"/>
                <w:u w:val="none"/>
                <w:lang w:val="en-US" w:eastAsia="zh-CN" w:bidi="ar-SA"/>
              </w:rPr>
            </w:pPr>
            <w:r>
              <w:rPr>
                <w:rFonts w:hint="eastAsia" w:ascii="宋体" w:hAnsi="宋体" w:eastAsia="宋体" w:cs="宋体"/>
                <w:i w:val="0"/>
                <w:color w:val="000000"/>
                <w:kern w:val="0"/>
                <w:sz w:val="20"/>
                <w:szCs w:val="20"/>
                <w:u w:val="none"/>
                <w:lang w:val="en-US" w:eastAsia="zh-CN" w:bidi="ar"/>
              </w:rPr>
              <w:t>零误差</w:t>
            </w:r>
          </w:p>
        </w:tc>
      </w:tr>
      <w:tr>
        <w:tblPrEx>
          <w:tblCellMar>
            <w:top w:w="0" w:type="dxa"/>
            <w:left w:w="0" w:type="dxa"/>
            <w:bottom w:w="0" w:type="dxa"/>
            <w:right w:w="0" w:type="dxa"/>
          </w:tblCellMar>
        </w:tblPrEx>
        <w:trPr>
          <w:trHeight w:val="1042" w:hRule="atLeast"/>
          <w:jc w:val="center"/>
        </w:trPr>
        <w:tc>
          <w:tcPr>
            <w:tcW w:w="390" w:type="dxa"/>
            <w:vMerge w:val="continue"/>
            <w:tcBorders>
              <w:left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4"/>
              </w:rPr>
            </w:pP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项目完成指标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color w:val="000000"/>
                <w:kern w:val="2"/>
                <w:sz w:val="24"/>
                <w:szCs w:val="24"/>
                <w:lang w:val="en-US" w:eastAsia="zh-CN" w:bidi="ar-SA"/>
              </w:rPr>
            </w:pPr>
            <w:r>
              <w:rPr>
                <w:rFonts w:hint="eastAsia" w:ascii="宋体" w:hAnsi="宋体" w:cs="宋体"/>
                <w:color w:val="000000"/>
                <w:sz w:val="24"/>
                <w:lang w:eastAsia="zh-CN"/>
              </w:rPr>
              <w:t>成本</w:t>
            </w:r>
            <w:r>
              <w:rPr>
                <w:rFonts w:hint="eastAsia" w:ascii="宋体" w:hAnsi="宋体" w:cs="宋体"/>
                <w:color w:val="000000"/>
                <w:sz w:val="24"/>
              </w:rPr>
              <w:t>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color w:val="000000"/>
                <w:kern w:val="2"/>
                <w:sz w:val="24"/>
                <w:szCs w:val="24"/>
                <w:lang w:val="en-US" w:eastAsia="zh-CN" w:bidi="ar-SA"/>
              </w:rPr>
            </w:pPr>
            <w:r>
              <w:rPr>
                <w:rFonts w:hint="eastAsia" w:ascii="宋体" w:hAnsi="宋体" w:cs="宋体"/>
                <w:color w:val="000000"/>
                <w:sz w:val="24"/>
              </w:rPr>
              <w:t>费用不超过</w:t>
            </w:r>
            <w:r>
              <w:rPr>
                <w:rFonts w:hint="eastAsia" w:ascii="宋体" w:hAnsi="宋体" w:cs="宋体"/>
                <w:color w:val="000000"/>
                <w:sz w:val="24"/>
                <w:lang w:val="en-US" w:eastAsia="zh-CN"/>
              </w:rPr>
              <w:t>15</w:t>
            </w:r>
            <w:r>
              <w:rPr>
                <w:rFonts w:hint="eastAsia" w:ascii="宋体" w:hAnsi="宋体" w:cs="宋体"/>
                <w:color w:val="000000"/>
                <w:sz w:val="24"/>
              </w:rPr>
              <w:t>万</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color w:val="000000"/>
                <w:kern w:val="2"/>
                <w:sz w:val="24"/>
                <w:szCs w:val="24"/>
                <w:lang w:val="en-US" w:eastAsia="zh-CN" w:bidi="ar-SA"/>
              </w:rPr>
            </w:pPr>
            <w:r>
              <w:rPr>
                <w:rFonts w:hint="eastAsia" w:ascii="宋体" w:hAnsi="宋体" w:cs="宋体"/>
                <w:color w:val="000000"/>
                <w:sz w:val="24"/>
              </w:rPr>
              <w:t>≤</w:t>
            </w:r>
            <w:r>
              <w:rPr>
                <w:rFonts w:hint="eastAsia" w:ascii="宋体" w:hAnsi="宋体" w:cs="宋体"/>
                <w:color w:val="000000"/>
                <w:sz w:val="24"/>
                <w:lang w:val="en-US" w:eastAsia="zh-CN"/>
              </w:rPr>
              <w:t>15</w:t>
            </w:r>
            <w:r>
              <w:rPr>
                <w:rFonts w:hint="eastAsia" w:ascii="宋体" w:hAnsi="宋体" w:cs="宋体"/>
                <w:color w:val="000000"/>
                <w:sz w:val="24"/>
              </w:rPr>
              <w:t>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color w:val="000000"/>
                <w:kern w:val="2"/>
                <w:sz w:val="24"/>
                <w:szCs w:val="24"/>
                <w:lang w:val="en-US" w:eastAsia="zh-CN" w:bidi="ar-SA"/>
              </w:rPr>
            </w:pPr>
            <w:r>
              <w:rPr>
                <w:rFonts w:hint="eastAsia" w:ascii="宋体" w:hAnsi="宋体" w:cs="宋体"/>
                <w:color w:val="000000"/>
                <w:sz w:val="24"/>
              </w:rPr>
              <w:t>≤</w:t>
            </w:r>
            <w:r>
              <w:rPr>
                <w:rFonts w:hint="eastAsia" w:ascii="宋体" w:hAnsi="宋体" w:cs="宋体"/>
                <w:color w:val="000000"/>
                <w:sz w:val="24"/>
                <w:lang w:val="en-US" w:eastAsia="zh-CN"/>
              </w:rPr>
              <w:t>15</w:t>
            </w:r>
            <w:r>
              <w:rPr>
                <w:rFonts w:hint="eastAsia" w:ascii="宋体" w:hAnsi="宋体" w:cs="宋体"/>
                <w:color w:val="000000"/>
                <w:sz w:val="24"/>
              </w:rPr>
              <w:t>万</w:t>
            </w:r>
          </w:p>
        </w:tc>
      </w:tr>
      <w:tr>
        <w:tblPrEx>
          <w:tblCellMar>
            <w:top w:w="0" w:type="dxa"/>
            <w:left w:w="0" w:type="dxa"/>
            <w:bottom w:w="0" w:type="dxa"/>
            <w:right w:w="0" w:type="dxa"/>
          </w:tblCellMar>
        </w:tblPrEx>
        <w:trPr>
          <w:trHeight w:val="1042" w:hRule="atLeast"/>
          <w:jc w:val="center"/>
        </w:trPr>
        <w:tc>
          <w:tcPr>
            <w:tcW w:w="390" w:type="dxa"/>
            <w:vMerge w:val="continue"/>
            <w:tcBorders>
              <w:left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4"/>
              </w:rPr>
            </w:pP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效益指标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cs="宋体"/>
                <w:color w:val="000000"/>
                <w:sz w:val="24"/>
              </w:rPr>
            </w:pPr>
            <w:r>
              <w:rPr>
                <w:rFonts w:hint="eastAsia" w:ascii="宋体" w:hAnsi="宋体" w:cs="宋体"/>
                <w:color w:val="000000"/>
                <w:sz w:val="24"/>
              </w:rPr>
              <w:t>社会效益</w:t>
            </w:r>
          </w:p>
          <w:p>
            <w:pPr>
              <w:widowControl/>
              <w:jc w:val="center"/>
              <w:textAlignment w:val="center"/>
              <w:rPr>
                <w:rFonts w:ascii="宋体" w:hAnsi="宋体" w:cs="宋体"/>
                <w:color w:val="000000"/>
                <w:sz w:val="24"/>
              </w:rPr>
            </w:pPr>
            <w:r>
              <w:rPr>
                <w:rFonts w:hint="eastAsia" w:ascii="宋体" w:hAnsi="宋体" w:cs="宋体"/>
                <w:color w:val="000000"/>
                <w:sz w:val="24"/>
              </w:rPr>
              <w:t>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sz w:val="24"/>
              </w:rPr>
              <w:t>覆盖全县计划生育家庭扶助对象数</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sz w:val="24"/>
              </w:rPr>
              <w:t>≥1500人</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sz w:val="24"/>
              </w:rPr>
              <w:t>≥1500人</w:t>
            </w:r>
          </w:p>
        </w:tc>
      </w:tr>
      <w:tr>
        <w:tblPrEx>
          <w:tblCellMar>
            <w:top w:w="0" w:type="dxa"/>
            <w:left w:w="0" w:type="dxa"/>
            <w:bottom w:w="0" w:type="dxa"/>
            <w:right w:w="0" w:type="dxa"/>
          </w:tblCellMar>
        </w:tblPrEx>
        <w:trPr>
          <w:trHeight w:val="1050" w:hRule="atLeast"/>
          <w:jc w:val="center"/>
        </w:trPr>
        <w:tc>
          <w:tcPr>
            <w:tcW w:w="390" w:type="dxa"/>
            <w:vMerge w:val="continue"/>
            <w:tcBorders>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4"/>
              </w:rPr>
            </w:pP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满意度指标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cs="宋体"/>
                <w:color w:val="000000"/>
                <w:sz w:val="24"/>
              </w:rPr>
            </w:pPr>
            <w:r>
              <w:rPr>
                <w:rFonts w:hint="eastAsia" w:ascii="宋体" w:hAnsi="宋体" w:cs="宋体"/>
                <w:color w:val="000000"/>
                <w:sz w:val="24"/>
              </w:rPr>
              <w:t>服务对象</w:t>
            </w:r>
          </w:p>
          <w:p>
            <w:pPr>
              <w:widowControl/>
              <w:jc w:val="center"/>
              <w:textAlignment w:val="center"/>
              <w:rPr>
                <w:rFonts w:ascii="宋体" w:hAnsi="宋体" w:eastAsia="宋体" w:cs="宋体"/>
                <w:color w:val="000000"/>
                <w:kern w:val="2"/>
                <w:sz w:val="24"/>
                <w:szCs w:val="24"/>
                <w:lang w:val="en-US" w:eastAsia="zh-CN" w:bidi="ar-SA"/>
              </w:rPr>
            </w:pPr>
            <w:r>
              <w:rPr>
                <w:rFonts w:hint="eastAsia" w:ascii="宋体" w:hAnsi="宋体" w:cs="宋体"/>
                <w:color w:val="000000"/>
                <w:sz w:val="24"/>
              </w:rPr>
              <w:t>满意度指标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color w:val="000000"/>
                <w:kern w:val="2"/>
                <w:sz w:val="24"/>
                <w:szCs w:val="24"/>
                <w:lang w:val="en-US" w:eastAsia="zh-CN" w:bidi="ar-SA"/>
              </w:rPr>
            </w:pPr>
            <w:r>
              <w:rPr>
                <w:rFonts w:hint="eastAsia" w:ascii="宋体" w:hAnsi="宋体" w:cs="宋体"/>
                <w:color w:val="000000"/>
                <w:sz w:val="24"/>
              </w:rPr>
              <w:t>计划生育家庭扶助对象满意度</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color w:val="000000"/>
                <w:kern w:val="2"/>
                <w:sz w:val="24"/>
                <w:szCs w:val="24"/>
                <w:lang w:val="en-US" w:eastAsia="zh-CN" w:bidi="ar-SA"/>
              </w:rPr>
            </w:pPr>
            <w:r>
              <w:rPr>
                <w:rFonts w:hint="eastAsia" w:ascii="宋体" w:hAnsi="宋体" w:cs="宋体"/>
                <w:color w:val="000000"/>
                <w:sz w:val="24"/>
              </w:rPr>
              <w:t>≥95%</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color w:val="000000"/>
                <w:kern w:val="2"/>
                <w:sz w:val="24"/>
                <w:szCs w:val="24"/>
                <w:lang w:val="en-US" w:eastAsia="zh-CN" w:bidi="ar-SA"/>
              </w:rPr>
            </w:pPr>
            <w:r>
              <w:rPr>
                <w:rFonts w:hint="eastAsia" w:ascii="宋体" w:hAnsi="宋体" w:cs="宋体"/>
                <w:color w:val="000000"/>
                <w:sz w:val="24"/>
              </w:rPr>
              <w:t>≥95%</w:t>
            </w:r>
          </w:p>
        </w:tc>
      </w:tr>
      <w:tr>
        <w:tblPrEx>
          <w:tblCellMar>
            <w:top w:w="0" w:type="dxa"/>
            <w:left w:w="0" w:type="dxa"/>
            <w:bottom w:w="0" w:type="dxa"/>
            <w:right w:w="0" w:type="dxa"/>
          </w:tblCellMar>
        </w:tblPrEx>
        <w:trPr>
          <w:trHeight w:val="1034" w:hRule="atLeast"/>
          <w:jc w:val="center"/>
        </w:trPr>
        <w:tc>
          <w:tcPr>
            <w:tcW w:w="9960" w:type="dxa"/>
            <w:gridSpan w:val="6"/>
            <w:tcBorders>
              <w:top w:val="nil"/>
              <w:left w:val="nil"/>
              <w:bottom w:val="nil"/>
              <w:right w:val="nil"/>
            </w:tcBorders>
            <w:tcMar>
              <w:top w:w="15" w:type="dxa"/>
              <w:left w:w="15" w:type="dxa"/>
              <w:right w:w="15" w:type="dxa"/>
            </w:tcMar>
            <w:vAlign w:val="center"/>
          </w:tcPr>
          <w:p>
            <w:pPr>
              <w:widowControl/>
              <w:jc w:val="center"/>
              <w:textAlignment w:val="center"/>
              <w:rPr>
                <w:rFonts w:ascii="宋体" w:hAnsi="宋体" w:cs="宋体"/>
                <w:color w:val="000000"/>
                <w:sz w:val="36"/>
                <w:szCs w:val="36"/>
              </w:rPr>
            </w:pPr>
            <w:r>
              <w:rPr>
                <w:rFonts w:hint="eastAsia" w:ascii="宋体" w:hAnsi="宋体" w:cs="宋体"/>
                <w:b/>
                <w:bCs/>
                <w:color w:val="000000"/>
                <w:kern w:val="0"/>
                <w:sz w:val="36"/>
                <w:szCs w:val="36"/>
              </w:rPr>
              <w:t>项目绩效目标完成情况表</w:t>
            </w:r>
            <w:r>
              <w:rPr>
                <w:rFonts w:hint="eastAsia" w:ascii="宋体" w:hAnsi="宋体" w:cs="宋体"/>
                <w:b/>
                <w:bCs/>
                <w:color w:val="000000"/>
                <w:kern w:val="0"/>
                <w:sz w:val="36"/>
                <w:szCs w:val="36"/>
              </w:rPr>
              <w:br w:type="textWrapping"/>
            </w:r>
            <w:r>
              <w:rPr>
                <w:rFonts w:hint="eastAsia" w:ascii="宋体" w:hAnsi="宋体" w:cs="宋体"/>
                <w:color w:val="000000"/>
                <w:kern w:val="0"/>
                <w:sz w:val="36"/>
                <w:szCs w:val="36"/>
              </w:rPr>
              <w:t>(2019 年度)</w:t>
            </w:r>
          </w:p>
        </w:tc>
      </w:tr>
      <w:tr>
        <w:tblPrEx>
          <w:tblCellMar>
            <w:top w:w="0" w:type="dxa"/>
            <w:left w:w="0" w:type="dxa"/>
            <w:bottom w:w="0" w:type="dxa"/>
            <w:right w:w="0" w:type="dxa"/>
          </w:tblCellMar>
        </w:tblPrEx>
        <w:trPr>
          <w:trHeight w:val="276" w:hRule="atLeast"/>
          <w:jc w:val="center"/>
        </w:trPr>
        <w:tc>
          <w:tcPr>
            <w:tcW w:w="2782"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项目名称</w:t>
            </w:r>
          </w:p>
        </w:tc>
        <w:tc>
          <w:tcPr>
            <w:tcW w:w="7178"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sz w:val="24"/>
              </w:rPr>
              <w:t>计划生育特殊家庭扶助关怀</w:t>
            </w:r>
          </w:p>
        </w:tc>
      </w:tr>
      <w:tr>
        <w:tblPrEx>
          <w:tblCellMar>
            <w:top w:w="0" w:type="dxa"/>
            <w:left w:w="0" w:type="dxa"/>
            <w:bottom w:w="0" w:type="dxa"/>
            <w:right w:w="0" w:type="dxa"/>
          </w:tblCellMar>
        </w:tblPrEx>
        <w:trPr>
          <w:trHeight w:val="276" w:hRule="atLeast"/>
          <w:jc w:val="center"/>
        </w:trPr>
        <w:tc>
          <w:tcPr>
            <w:tcW w:w="2782"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预算单位</w:t>
            </w:r>
          </w:p>
        </w:tc>
        <w:tc>
          <w:tcPr>
            <w:tcW w:w="7178"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color w:val="000000"/>
                <w:sz w:val="24"/>
                <w:lang w:eastAsia="zh-CN"/>
              </w:rPr>
            </w:pPr>
            <w:r>
              <w:rPr>
                <w:rFonts w:hint="eastAsia" w:ascii="宋体" w:hAnsi="宋体" w:cs="宋体"/>
                <w:color w:val="000000"/>
                <w:sz w:val="24"/>
                <w:lang w:eastAsia="zh-CN"/>
              </w:rPr>
              <w:t>乐至县卫生健康局</w:t>
            </w:r>
          </w:p>
        </w:tc>
      </w:tr>
      <w:tr>
        <w:tblPrEx>
          <w:tblCellMar>
            <w:top w:w="0" w:type="dxa"/>
            <w:left w:w="0" w:type="dxa"/>
            <w:bottom w:w="0" w:type="dxa"/>
            <w:right w:w="0" w:type="dxa"/>
          </w:tblCellMar>
        </w:tblPrEx>
        <w:trPr>
          <w:trHeight w:val="276" w:hRule="atLeast"/>
          <w:jc w:val="center"/>
        </w:trPr>
        <w:tc>
          <w:tcPr>
            <w:tcW w:w="390"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预算执行情况(万元)</w:t>
            </w:r>
          </w:p>
        </w:tc>
        <w:tc>
          <w:tcPr>
            <w:tcW w:w="2392"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预算数:</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default" w:ascii="宋体" w:hAnsi="宋体" w:eastAsia="宋体" w:cs="宋体"/>
                <w:color w:val="000000"/>
                <w:sz w:val="24"/>
                <w:lang w:val="en-US" w:eastAsia="zh-CN"/>
              </w:rPr>
            </w:pPr>
            <w:r>
              <w:rPr>
                <w:rFonts w:hint="eastAsia" w:ascii="宋体" w:hAnsi="宋体" w:cs="宋体"/>
                <w:color w:val="000000"/>
                <w:sz w:val="24"/>
                <w:lang w:val="en-US" w:eastAsia="zh-CN"/>
              </w:rPr>
              <w:t>27</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执行数:</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default" w:ascii="宋体" w:hAnsi="宋体" w:eastAsia="宋体" w:cs="宋体"/>
                <w:color w:val="000000"/>
                <w:sz w:val="24"/>
                <w:lang w:val="en-US" w:eastAsia="zh-CN"/>
              </w:rPr>
            </w:pPr>
            <w:r>
              <w:rPr>
                <w:rFonts w:hint="eastAsia" w:ascii="宋体" w:hAnsi="宋体" w:cs="宋体"/>
                <w:color w:val="000000"/>
                <w:sz w:val="24"/>
                <w:lang w:val="en-US" w:eastAsia="zh-CN"/>
              </w:rPr>
              <w:t>27</w:t>
            </w:r>
          </w:p>
        </w:tc>
      </w:tr>
      <w:tr>
        <w:tblPrEx>
          <w:tblCellMar>
            <w:top w:w="0" w:type="dxa"/>
            <w:left w:w="0" w:type="dxa"/>
            <w:bottom w:w="0" w:type="dxa"/>
            <w:right w:w="0" w:type="dxa"/>
          </w:tblCellMar>
        </w:tblPrEx>
        <w:trPr>
          <w:trHeight w:val="276" w:hRule="atLeast"/>
          <w:jc w:val="center"/>
        </w:trPr>
        <w:tc>
          <w:tcPr>
            <w:tcW w:w="390"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宋体" w:hAnsi="宋体" w:cs="宋体"/>
                <w:color w:val="000000"/>
                <w:sz w:val="24"/>
              </w:rPr>
            </w:pPr>
          </w:p>
        </w:tc>
        <w:tc>
          <w:tcPr>
            <w:tcW w:w="2392"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其中-财政拨款:</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default" w:ascii="宋体" w:hAnsi="宋体" w:eastAsia="宋体" w:cs="宋体"/>
                <w:color w:val="000000"/>
                <w:sz w:val="24"/>
                <w:lang w:val="en-US" w:eastAsia="zh-CN"/>
              </w:rPr>
            </w:pPr>
            <w:r>
              <w:rPr>
                <w:rFonts w:hint="eastAsia" w:ascii="宋体" w:hAnsi="宋体" w:cs="宋体"/>
                <w:color w:val="000000"/>
                <w:sz w:val="24"/>
                <w:lang w:val="en-US" w:eastAsia="zh-CN"/>
              </w:rPr>
              <w:t>27</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其中-财政拨款:</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default" w:ascii="宋体" w:hAnsi="宋体" w:eastAsia="宋体" w:cs="宋体"/>
                <w:color w:val="000000"/>
                <w:sz w:val="24"/>
                <w:lang w:val="en-US" w:eastAsia="zh-CN"/>
              </w:rPr>
            </w:pPr>
            <w:r>
              <w:rPr>
                <w:rFonts w:hint="eastAsia" w:ascii="宋体" w:hAnsi="宋体" w:cs="宋体"/>
                <w:color w:val="000000"/>
                <w:sz w:val="24"/>
                <w:lang w:val="en-US" w:eastAsia="zh-CN"/>
              </w:rPr>
              <w:t>27</w:t>
            </w:r>
          </w:p>
        </w:tc>
      </w:tr>
      <w:tr>
        <w:tblPrEx>
          <w:tblCellMar>
            <w:top w:w="0" w:type="dxa"/>
            <w:left w:w="0" w:type="dxa"/>
            <w:bottom w:w="0" w:type="dxa"/>
            <w:right w:w="0" w:type="dxa"/>
          </w:tblCellMar>
        </w:tblPrEx>
        <w:trPr>
          <w:trHeight w:val="1511" w:hRule="atLeast"/>
          <w:jc w:val="center"/>
        </w:trPr>
        <w:tc>
          <w:tcPr>
            <w:tcW w:w="390"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宋体" w:hAnsi="宋体" w:cs="宋体"/>
                <w:color w:val="000000"/>
                <w:sz w:val="24"/>
              </w:rPr>
            </w:pPr>
          </w:p>
        </w:tc>
        <w:tc>
          <w:tcPr>
            <w:tcW w:w="2392"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其它资金:</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color w:val="000000"/>
                <w:sz w:val="24"/>
                <w:lang w:val="en-US" w:eastAsia="zh-CN"/>
              </w:rPr>
            </w:pPr>
            <w:r>
              <w:rPr>
                <w:rFonts w:hint="eastAsia" w:ascii="宋体" w:hAnsi="宋体" w:cs="宋体"/>
                <w:color w:val="000000"/>
                <w:sz w:val="24"/>
                <w:lang w:val="en-US" w:eastAsia="zh-CN"/>
              </w:rPr>
              <w:t>0</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其它资金:</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color w:val="000000"/>
                <w:sz w:val="24"/>
                <w:lang w:val="en-US" w:eastAsia="zh-CN"/>
              </w:rPr>
            </w:pPr>
            <w:r>
              <w:rPr>
                <w:rFonts w:hint="eastAsia" w:ascii="宋体" w:hAnsi="宋体" w:cs="宋体"/>
                <w:color w:val="000000"/>
                <w:sz w:val="24"/>
                <w:lang w:val="en-US" w:eastAsia="zh-CN"/>
              </w:rPr>
              <w:t>0</w:t>
            </w:r>
          </w:p>
        </w:tc>
      </w:tr>
      <w:tr>
        <w:tblPrEx>
          <w:tblCellMar>
            <w:top w:w="0" w:type="dxa"/>
            <w:left w:w="0" w:type="dxa"/>
            <w:bottom w:w="0" w:type="dxa"/>
            <w:right w:w="0" w:type="dxa"/>
          </w:tblCellMar>
        </w:tblPrEx>
        <w:trPr>
          <w:trHeight w:val="276" w:hRule="atLeast"/>
          <w:jc w:val="center"/>
        </w:trPr>
        <w:tc>
          <w:tcPr>
            <w:tcW w:w="390"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年度目标完成情况</w:t>
            </w:r>
          </w:p>
        </w:tc>
        <w:tc>
          <w:tcPr>
            <w:tcW w:w="4784"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预期目标</w:t>
            </w:r>
          </w:p>
        </w:tc>
        <w:tc>
          <w:tcPr>
            <w:tcW w:w="4786"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实际完成目标</w:t>
            </w:r>
          </w:p>
        </w:tc>
      </w:tr>
      <w:tr>
        <w:tblPrEx>
          <w:tblCellMar>
            <w:top w:w="0" w:type="dxa"/>
            <w:left w:w="0" w:type="dxa"/>
            <w:bottom w:w="0" w:type="dxa"/>
            <w:right w:w="0" w:type="dxa"/>
          </w:tblCellMar>
        </w:tblPrEx>
        <w:trPr>
          <w:trHeight w:val="1159" w:hRule="atLeast"/>
          <w:jc w:val="center"/>
        </w:trPr>
        <w:tc>
          <w:tcPr>
            <w:tcW w:w="390"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宋体" w:hAnsi="宋体" w:cs="宋体"/>
                <w:color w:val="000000"/>
                <w:sz w:val="24"/>
              </w:rPr>
            </w:pPr>
          </w:p>
        </w:tc>
        <w:tc>
          <w:tcPr>
            <w:tcW w:w="4784"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cs="宋体"/>
                <w:color w:val="000000"/>
                <w:sz w:val="24"/>
              </w:rPr>
            </w:pPr>
            <w:r>
              <w:rPr>
                <w:rFonts w:hint="eastAsia" w:ascii="宋体" w:hAnsi="宋体" w:cs="宋体"/>
                <w:color w:val="000000"/>
                <w:sz w:val="24"/>
              </w:rPr>
              <w:t>目标1：保障改善民生、促进社会和谐稳定，确保特殊家庭遇有困难可获得帮助</w:t>
            </w:r>
          </w:p>
          <w:p>
            <w:pPr>
              <w:widowControl/>
              <w:jc w:val="center"/>
              <w:textAlignment w:val="center"/>
              <w:rPr>
                <w:rFonts w:ascii="宋体" w:hAnsi="宋体" w:cs="宋体"/>
                <w:color w:val="000000"/>
                <w:sz w:val="24"/>
              </w:rPr>
            </w:pPr>
            <w:r>
              <w:rPr>
                <w:rFonts w:hint="eastAsia" w:ascii="宋体" w:hAnsi="宋体" w:cs="宋体"/>
                <w:color w:val="000000"/>
                <w:sz w:val="24"/>
              </w:rPr>
              <w:t>目标2：重要传统节日以特殊家庭易于接受的方式开展慰问和关怀工作</w:t>
            </w:r>
          </w:p>
        </w:tc>
        <w:tc>
          <w:tcPr>
            <w:tcW w:w="4786"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cs="宋体"/>
                <w:color w:val="000000"/>
                <w:sz w:val="24"/>
              </w:rPr>
            </w:pPr>
            <w:r>
              <w:rPr>
                <w:rFonts w:hint="eastAsia" w:ascii="宋体" w:hAnsi="宋体" w:cs="宋体"/>
                <w:color w:val="000000"/>
                <w:sz w:val="24"/>
              </w:rPr>
              <w:t>目标1：保障改善民生、促进社会和谐稳定，确保特殊家庭遇有困难可获得帮助</w:t>
            </w:r>
          </w:p>
          <w:p>
            <w:pPr>
              <w:widowControl/>
              <w:jc w:val="center"/>
              <w:textAlignment w:val="center"/>
              <w:rPr>
                <w:rFonts w:ascii="宋体" w:hAnsi="宋体" w:cs="宋体"/>
                <w:color w:val="000000"/>
                <w:sz w:val="24"/>
              </w:rPr>
            </w:pPr>
            <w:r>
              <w:rPr>
                <w:rFonts w:hint="eastAsia" w:ascii="宋体" w:hAnsi="宋体" w:cs="宋体"/>
                <w:color w:val="000000"/>
                <w:sz w:val="24"/>
              </w:rPr>
              <w:t>目标2：重要传统节日以特殊家庭易于接受的方式开展慰问和关怀工作</w:t>
            </w:r>
          </w:p>
        </w:tc>
      </w:tr>
      <w:tr>
        <w:tblPrEx>
          <w:tblCellMar>
            <w:top w:w="0" w:type="dxa"/>
            <w:left w:w="0" w:type="dxa"/>
            <w:bottom w:w="0" w:type="dxa"/>
            <w:right w:w="0" w:type="dxa"/>
          </w:tblCellMar>
        </w:tblPrEx>
        <w:trPr>
          <w:trHeight w:val="1042" w:hRule="atLeast"/>
          <w:jc w:val="center"/>
        </w:trPr>
        <w:tc>
          <w:tcPr>
            <w:tcW w:w="390" w:type="dxa"/>
            <w:vMerge w:val="restart"/>
            <w:tcBorders>
              <w:top w:val="single" w:color="000000" w:sz="4" w:space="0"/>
              <w:left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sz w:val="24"/>
              </w:rPr>
              <w:t>绩效指标完成情况</w:t>
            </w: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一级指标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二级指标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三级指标</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预期指标值(包含数字及文字描述)</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实际完成指标值(包含数字及文字描述)</w:t>
            </w:r>
          </w:p>
        </w:tc>
      </w:tr>
      <w:tr>
        <w:tblPrEx>
          <w:tblCellMar>
            <w:top w:w="0" w:type="dxa"/>
            <w:left w:w="0" w:type="dxa"/>
            <w:bottom w:w="0" w:type="dxa"/>
            <w:right w:w="0" w:type="dxa"/>
          </w:tblCellMar>
        </w:tblPrEx>
        <w:trPr>
          <w:trHeight w:val="953" w:hRule="atLeast"/>
          <w:jc w:val="center"/>
        </w:trPr>
        <w:tc>
          <w:tcPr>
            <w:tcW w:w="390" w:type="dxa"/>
            <w:vMerge w:val="continue"/>
            <w:tcBorders>
              <w:left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4"/>
              </w:rPr>
            </w:pP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项目完成指标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color w:val="000000"/>
                <w:kern w:val="2"/>
                <w:sz w:val="24"/>
                <w:szCs w:val="24"/>
                <w:lang w:val="en-US" w:eastAsia="zh-CN" w:bidi="ar-SA"/>
              </w:rPr>
            </w:pPr>
            <w:r>
              <w:rPr>
                <w:rFonts w:hint="eastAsia" w:ascii="宋体" w:hAnsi="宋体" w:cs="宋体"/>
                <w:color w:val="000000"/>
                <w:sz w:val="24"/>
              </w:rPr>
              <w:t>数量指标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color w:val="000000"/>
                <w:kern w:val="2"/>
                <w:sz w:val="24"/>
                <w:szCs w:val="24"/>
                <w:lang w:val="en-US" w:eastAsia="zh-CN" w:bidi="ar-SA"/>
              </w:rPr>
            </w:pPr>
            <w:r>
              <w:rPr>
                <w:rFonts w:hint="eastAsia" w:ascii="宋体" w:hAnsi="宋体" w:cs="宋体"/>
                <w:color w:val="000000"/>
                <w:sz w:val="24"/>
              </w:rPr>
              <w:t>计划生育特殊家庭</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2"/>
                <w:sz w:val="20"/>
                <w:szCs w:val="20"/>
                <w:u w:val="none"/>
                <w:lang w:val="en-US" w:eastAsia="zh-CN" w:bidi="ar-SA"/>
              </w:rPr>
            </w:pPr>
            <w:r>
              <w:rPr>
                <w:rFonts w:hint="eastAsia" w:ascii="宋体" w:hAnsi="宋体" w:eastAsia="宋体" w:cs="宋体"/>
                <w:i w:val="0"/>
                <w:color w:val="000000"/>
                <w:kern w:val="0"/>
                <w:sz w:val="20"/>
                <w:szCs w:val="20"/>
                <w:u w:val="none"/>
                <w:lang w:val="en-US" w:eastAsia="zh-CN" w:bidi="ar"/>
              </w:rPr>
              <w:t>约1100户</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2"/>
                <w:sz w:val="20"/>
                <w:szCs w:val="20"/>
                <w:u w:val="none"/>
                <w:lang w:val="en-US" w:eastAsia="zh-CN" w:bidi="ar-SA"/>
              </w:rPr>
            </w:pPr>
            <w:r>
              <w:rPr>
                <w:rFonts w:hint="eastAsia" w:ascii="宋体" w:hAnsi="宋体" w:eastAsia="宋体" w:cs="宋体"/>
                <w:i w:val="0"/>
                <w:color w:val="000000"/>
                <w:kern w:val="0"/>
                <w:sz w:val="20"/>
                <w:szCs w:val="20"/>
                <w:u w:val="none"/>
                <w:lang w:val="en-US" w:eastAsia="zh-CN" w:bidi="ar"/>
              </w:rPr>
              <w:t>约1100户</w:t>
            </w:r>
          </w:p>
        </w:tc>
      </w:tr>
      <w:tr>
        <w:tblPrEx>
          <w:tblCellMar>
            <w:top w:w="0" w:type="dxa"/>
            <w:left w:w="0" w:type="dxa"/>
            <w:bottom w:w="0" w:type="dxa"/>
            <w:right w:w="0" w:type="dxa"/>
          </w:tblCellMar>
        </w:tblPrEx>
        <w:trPr>
          <w:trHeight w:val="1297" w:hRule="atLeast"/>
          <w:jc w:val="center"/>
        </w:trPr>
        <w:tc>
          <w:tcPr>
            <w:tcW w:w="390" w:type="dxa"/>
            <w:vMerge w:val="continue"/>
            <w:tcBorders>
              <w:left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4"/>
              </w:rPr>
            </w:pP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项目完成指标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color w:val="000000"/>
                <w:kern w:val="2"/>
                <w:sz w:val="24"/>
                <w:szCs w:val="24"/>
                <w:lang w:val="en-US" w:eastAsia="zh-CN" w:bidi="ar-SA"/>
              </w:rPr>
            </w:pPr>
            <w:r>
              <w:rPr>
                <w:rFonts w:hint="eastAsia" w:ascii="宋体" w:hAnsi="宋体" w:cs="宋体"/>
                <w:color w:val="000000"/>
                <w:sz w:val="24"/>
                <w:lang w:eastAsia="zh-CN"/>
              </w:rPr>
              <w:t>质</w:t>
            </w:r>
            <w:r>
              <w:rPr>
                <w:rFonts w:hint="eastAsia" w:ascii="宋体" w:hAnsi="宋体" w:cs="宋体"/>
                <w:color w:val="000000"/>
                <w:sz w:val="24"/>
              </w:rPr>
              <w:t>量指标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color w:val="000000"/>
                <w:kern w:val="2"/>
                <w:sz w:val="24"/>
                <w:szCs w:val="24"/>
                <w:lang w:val="en-US" w:eastAsia="zh-CN" w:bidi="ar-SA"/>
              </w:rPr>
            </w:pPr>
            <w:r>
              <w:rPr>
                <w:rFonts w:hint="eastAsia" w:ascii="宋体" w:hAnsi="宋体" w:cs="宋体"/>
                <w:color w:val="000000"/>
                <w:sz w:val="24"/>
              </w:rPr>
              <w:t>重要传统节日上门走访慰问</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2"/>
                <w:sz w:val="20"/>
                <w:szCs w:val="20"/>
                <w:u w:val="none"/>
                <w:lang w:val="en-US" w:eastAsia="zh-CN" w:bidi="ar-SA"/>
              </w:rPr>
            </w:pPr>
            <w:r>
              <w:rPr>
                <w:rFonts w:hint="eastAsia" w:ascii="宋体" w:hAnsi="宋体" w:eastAsia="宋体" w:cs="宋体"/>
                <w:i w:val="0"/>
                <w:color w:val="000000"/>
                <w:kern w:val="0"/>
                <w:sz w:val="20"/>
                <w:szCs w:val="20"/>
                <w:u w:val="none"/>
                <w:lang w:val="en-US" w:eastAsia="zh-CN" w:bidi="ar"/>
              </w:rPr>
              <w:t>500户</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2"/>
                <w:sz w:val="20"/>
                <w:szCs w:val="20"/>
                <w:u w:val="none"/>
                <w:lang w:val="en-US" w:eastAsia="zh-CN" w:bidi="ar-SA"/>
              </w:rPr>
            </w:pPr>
            <w:r>
              <w:rPr>
                <w:rFonts w:hint="eastAsia" w:ascii="宋体" w:hAnsi="宋体" w:eastAsia="宋体" w:cs="宋体"/>
                <w:i w:val="0"/>
                <w:color w:val="000000"/>
                <w:kern w:val="0"/>
                <w:sz w:val="20"/>
                <w:szCs w:val="20"/>
                <w:u w:val="none"/>
                <w:lang w:val="en-US" w:eastAsia="zh-CN" w:bidi="ar"/>
              </w:rPr>
              <w:t>500户</w:t>
            </w:r>
          </w:p>
        </w:tc>
      </w:tr>
      <w:tr>
        <w:tblPrEx>
          <w:tblCellMar>
            <w:top w:w="0" w:type="dxa"/>
            <w:left w:w="0" w:type="dxa"/>
            <w:bottom w:w="0" w:type="dxa"/>
            <w:right w:w="0" w:type="dxa"/>
          </w:tblCellMar>
        </w:tblPrEx>
        <w:trPr>
          <w:trHeight w:val="1042" w:hRule="atLeast"/>
          <w:jc w:val="center"/>
        </w:trPr>
        <w:tc>
          <w:tcPr>
            <w:tcW w:w="390" w:type="dxa"/>
            <w:vMerge w:val="continue"/>
            <w:tcBorders>
              <w:left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4"/>
              </w:rPr>
            </w:pP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项目完成指标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color w:val="000000"/>
                <w:kern w:val="2"/>
                <w:sz w:val="24"/>
                <w:szCs w:val="24"/>
                <w:lang w:val="en-US" w:eastAsia="zh-CN" w:bidi="ar-SA"/>
              </w:rPr>
            </w:pPr>
            <w:r>
              <w:rPr>
                <w:rFonts w:hint="eastAsia" w:ascii="宋体" w:hAnsi="宋体" w:cs="宋体"/>
                <w:color w:val="000000"/>
                <w:sz w:val="24"/>
                <w:lang w:eastAsia="zh-CN"/>
              </w:rPr>
              <w:t>成本</w:t>
            </w:r>
            <w:r>
              <w:rPr>
                <w:rFonts w:hint="eastAsia" w:ascii="宋体" w:hAnsi="宋体" w:cs="宋体"/>
                <w:color w:val="000000"/>
                <w:sz w:val="24"/>
              </w:rPr>
              <w:t>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color w:val="000000"/>
                <w:kern w:val="2"/>
                <w:sz w:val="24"/>
                <w:szCs w:val="24"/>
                <w:lang w:val="en-US" w:eastAsia="zh-CN" w:bidi="ar-SA"/>
              </w:rPr>
            </w:pPr>
            <w:r>
              <w:rPr>
                <w:rFonts w:hint="eastAsia" w:ascii="宋体" w:hAnsi="宋体" w:cs="宋体"/>
                <w:color w:val="000000"/>
                <w:sz w:val="24"/>
              </w:rPr>
              <w:t>费用不超过</w:t>
            </w:r>
            <w:r>
              <w:rPr>
                <w:rFonts w:hint="eastAsia" w:ascii="宋体" w:hAnsi="宋体" w:cs="宋体"/>
                <w:color w:val="000000"/>
                <w:sz w:val="24"/>
                <w:lang w:val="en-US" w:eastAsia="zh-CN"/>
              </w:rPr>
              <w:t>27</w:t>
            </w:r>
            <w:r>
              <w:rPr>
                <w:rFonts w:hint="eastAsia" w:ascii="宋体" w:hAnsi="宋体" w:cs="宋体"/>
                <w:color w:val="000000"/>
                <w:sz w:val="24"/>
              </w:rPr>
              <w:t>万</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color w:val="000000"/>
                <w:kern w:val="2"/>
                <w:sz w:val="24"/>
                <w:szCs w:val="24"/>
                <w:lang w:val="en-US" w:eastAsia="zh-CN" w:bidi="ar-SA"/>
              </w:rPr>
            </w:pPr>
            <w:r>
              <w:rPr>
                <w:rFonts w:hint="eastAsia" w:ascii="宋体" w:hAnsi="宋体" w:cs="宋体"/>
                <w:color w:val="000000"/>
                <w:sz w:val="24"/>
              </w:rPr>
              <w:t>≤</w:t>
            </w:r>
            <w:r>
              <w:rPr>
                <w:rFonts w:hint="eastAsia" w:ascii="宋体" w:hAnsi="宋体" w:cs="宋体"/>
                <w:color w:val="000000"/>
                <w:sz w:val="24"/>
                <w:lang w:val="en-US" w:eastAsia="zh-CN"/>
              </w:rPr>
              <w:t>27</w:t>
            </w:r>
            <w:r>
              <w:rPr>
                <w:rFonts w:hint="eastAsia" w:ascii="宋体" w:hAnsi="宋体" w:cs="宋体"/>
                <w:color w:val="000000"/>
                <w:sz w:val="24"/>
              </w:rPr>
              <w:t>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color w:val="000000"/>
                <w:kern w:val="2"/>
                <w:sz w:val="24"/>
                <w:szCs w:val="24"/>
                <w:lang w:val="en-US" w:eastAsia="zh-CN" w:bidi="ar-SA"/>
              </w:rPr>
            </w:pPr>
            <w:r>
              <w:rPr>
                <w:rFonts w:hint="eastAsia" w:ascii="宋体" w:hAnsi="宋体" w:cs="宋体"/>
                <w:color w:val="000000"/>
                <w:sz w:val="24"/>
              </w:rPr>
              <w:t>≤</w:t>
            </w:r>
            <w:r>
              <w:rPr>
                <w:rFonts w:hint="eastAsia" w:ascii="宋体" w:hAnsi="宋体" w:cs="宋体"/>
                <w:color w:val="000000"/>
                <w:sz w:val="24"/>
                <w:lang w:val="en-US" w:eastAsia="zh-CN"/>
              </w:rPr>
              <w:t>27</w:t>
            </w:r>
            <w:r>
              <w:rPr>
                <w:rFonts w:hint="eastAsia" w:ascii="宋体" w:hAnsi="宋体" w:cs="宋体"/>
                <w:color w:val="000000"/>
                <w:sz w:val="24"/>
              </w:rPr>
              <w:t>万</w:t>
            </w:r>
          </w:p>
        </w:tc>
      </w:tr>
      <w:tr>
        <w:tblPrEx>
          <w:tblCellMar>
            <w:top w:w="0" w:type="dxa"/>
            <w:left w:w="0" w:type="dxa"/>
            <w:bottom w:w="0" w:type="dxa"/>
            <w:right w:w="0" w:type="dxa"/>
          </w:tblCellMar>
        </w:tblPrEx>
        <w:trPr>
          <w:trHeight w:val="1042" w:hRule="atLeast"/>
          <w:jc w:val="center"/>
        </w:trPr>
        <w:tc>
          <w:tcPr>
            <w:tcW w:w="390" w:type="dxa"/>
            <w:vMerge w:val="continue"/>
            <w:tcBorders>
              <w:left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4"/>
              </w:rPr>
            </w:pP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效益指标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cs="宋体"/>
                <w:color w:val="000000"/>
                <w:sz w:val="24"/>
              </w:rPr>
            </w:pPr>
            <w:r>
              <w:rPr>
                <w:rFonts w:hint="eastAsia" w:ascii="宋体" w:hAnsi="宋体" w:cs="宋体"/>
                <w:color w:val="000000"/>
                <w:sz w:val="24"/>
              </w:rPr>
              <w:t>经济效益</w:t>
            </w:r>
          </w:p>
          <w:p>
            <w:pPr>
              <w:widowControl/>
              <w:jc w:val="center"/>
              <w:textAlignment w:val="center"/>
              <w:rPr>
                <w:rFonts w:ascii="宋体" w:hAnsi="宋体" w:eastAsia="宋体" w:cs="宋体"/>
                <w:color w:val="000000"/>
                <w:kern w:val="2"/>
                <w:sz w:val="24"/>
                <w:szCs w:val="24"/>
                <w:lang w:val="en-US" w:eastAsia="zh-CN" w:bidi="ar-SA"/>
              </w:rPr>
            </w:pPr>
            <w:r>
              <w:rPr>
                <w:rFonts w:hint="eastAsia" w:ascii="宋体" w:hAnsi="宋体" w:cs="宋体"/>
                <w:color w:val="000000"/>
                <w:sz w:val="24"/>
              </w:rPr>
              <w:t>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color w:val="000000"/>
                <w:kern w:val="2"/>
                <w:sz w:val="24"/>
                <w:szCs w:val="24"/>
                <w:lang w:val="en-US" w:eastAsia="zh-CN" w:bidi="ar-SA"/>
              </w:rPr>
            </w:pPr>
            <w:r>
              <w:rPr>
                <w:rFonts w:hint="eastAsia" w:ascii="宋体" w:hAnsi="宋体" w:cs="宋体"/>
                <w:color w:val="000000"/>
                <w:sz w:val="24"/>
              </w:rPr>
              <w:t>计生特殊家庭对相关扶助政策的了解率</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default" w:ascii="宋体" w:hAnsi="宋体" w:eastAsia="宋体" w:cs="宋体"/>
                <w:color w:val="000000"/>
                <w:kern w:val="2"/>
                <w:sz w:val="24"/>
                <w:szCs w:val="24"/>
                <w:lang w:val="en-US" w:eastAsia="zh-CN" w:bidi="ar-SA"/>
              </w:rPr>
            </w:pPr>
            <w:r>
              <w:rPr>
                <w:rFonts w:hint="eastAsia" w:ascii="宋体" w:hAnsi="宋体" w:cs="宋体"/>
                <w:color w:val="000000"/>
                <w:sz w:val="24"/>
                <w:lang w:val="en-US" w:eastAsia="zh-CN"/>
              </w:rPr>
              <w:t>80%</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color w:val="000000"/>
                <w:kern w:val="2"/>
                <w:sz w:val="24"/>
                <w:szCs w:val="24"/>
                <w:lang w:val="en-US" w:eastAsia="zh-CN" w:bidi="ar-SA"/>
              </w:rPr>
            </w:pPr>
            <w:r>
              <w:rPr>
                <w:rFonts w:hint="eastAsia" w:ascii="宋体" w:hAnsi="宋体" w:cs="宋体"/>
                <w:color w:val="000000"/>
                <w:sz w:val="24"/>
                <w:lang w:val="en-US" w:eastAsia="zh-CN"/>
              </w:rPr>
              <w:t>80%</w:t>
            </w:r>
          </w:p>
        </w:tc>
      </w:tr>
      <w:tr>
        <w:tblPrEx>
          <w:tblCellMar>
            <w:top w:w="0" w:type="dxa"/>
            <w:left w:w="0" w:type="dxa"/>
            <w:bottom w:w="0" w:type="dxa"/>
            <w:right w:w="0" w:type="dxa"/>
          </w:tblCellMar>
        </w:tblPrEx>
        <w:trPr>
          <w:trHeight w:val="1050" w:hRule="atLeast"/>
          <w:jc w:val="center"/>
        </w:trPr>
        <w:tc>
          <w:tcPr>
            <w:tcW w:w="390" w:type="dxa"/>
            <w:vMerge w:val="continue"/>
            <w:tcBorders>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4"/>
              </w:rPr>
            </w:pP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满意度指标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cs="宋体"/>
                <w:color w:val="000000"/>
                <w:sz w:val="24"/>
              </w:rPr>
            </w:pPr>
            <w:r>
              <w:rPr>
                <w:rFonts w:hint="eastAsia" w:ascii="宋体" w:hAnsi="宋体" w:cs="宋体"/>
                <w:color w:val="000000"/>
                <w:sz w:val="24"/>
              </w:rPr>
              <w:t>服务对象</w:t>
            </w:r>
          </w:p>
          <w:p>
            <w:pPr>
              <w:widowControl/>
              <w:jc w:val="center"/>
              <w:textAlignment w:val="center"/>
              <w:rPr>
                <w:rFonts w:ascii="宋体" w:hAnsi="宋体" w:eastAsia="宋体" w:cs="宋体"/>
                <w:color w:val="000000"/>
                <w:kern w:val="2"/>
                <w:sz w:val="24"/>
                <w:szCs w:val="24"/>
                <w:lang w:val="en-US" w:eastAsia="zh-CN" w:bidi="ar-SA"/>
              </w:rPr>
            </w:pPr>
            <w:r>
              <w:rPr>
                <w:rFonts w:hint="eastAsia" w:ascii="宋体" w:hAnsi="宋体" w:cs="宋体"/>
                <w:color w:val="000000"/>
                <w:sz w:val="24"/>
              </w:rPr>
              <w:t>满意度指标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color w:val="000000"/>
                <w:kern w:val="2"/>
                <w:sz w:val="24"/>
                <w:szCs w:val="24"/>
                <w:lang w:val="en-US" w:eastAsia="zh-CN" w:bidi="ar-SA"/>
              </w:rPr>
            </w:pPr>
            <w:r>
              <w:rPr>
                <w:rFonts w:hint="eastAsia" w:ascii="宋体" w:hAnsi="宋体" w:cs="宋体"/>
                <w:color w:val="000000"/>
                <w:sz w:val="24"/>
              </w:rPr>
              <w:t>计划生育特殊家庭扶助关怀满意度</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color w:val="000000"/>
                <w:kern w:val="2"/>
                <w:sz w:val="24"/>
                <w:szCs w:val="24"/>
                <w:lang w:val="en-US" w:eastAsia="zh-CN" w:bidi="ar-SA"/>
              </w:rPr>
            </w:pPr>
            <w:r>
              <w:rPr>
                <w:rFonts w:hint="eastAsia" w:ascii="宋体" w:hAnsi="宋体" w:cs="宋体"/>
                <w:color w:val="000000"/>
                <w:sz w:val="24"/>
              </w:rPr>
              <w:t>≥9</w:t>
            </w:r>
            <w:r>
              <w:rPr>
                <w:rFonts w:hint="eastAsia" w:ascii="宋体" w:hAnsi="宋体" w:cs="宋体"/>
                <w:color w:val="000000"/>
                <w:sz w:val="24"/>
                <w:lang w:val="en-US" w:eastAsia="zh-CN"/>
              </w:rPr>
              <w:t>0</w:t>
            </w:r>
            <w:r>
              <w:rPr>
                <w:rFonts w:hint="eastAsia" w:ascii="宋体" w:hAnsi="宋体" w:cs="宋体"/>
                <w:color w:val="000000"/>
                <w:sz w:val="24"/>
              </w:rPr>
              <w:t>%</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color w:val="000000"/>
                <w:kern w:val="2"/>
                <w:sz w:val="24"/>
                <w:szCs w:val="24"/>
                <w:lang w:val="en-US" w:eastAsia="zh-CN" w:bidi="ar-SA"/>
              </w:rPr>
            </w:pPr>
            <w:r>
              <w:rPr>
                <w:rFonts w:hint="eastAsia" w:ascii="宋体" w:hAnsi="宋体" w:cs="宋体"/>
                <w:color w:val="000000"/>
                <w:sz w:val="24"/>
              </w:rPr>
              <w:t>≥9</w:t>
            </w:r>
            <w:r>
              <w:rPr>
                <w:rFonts w:hint="eastAsia" w:ascii="宋体" w:hAnsi="宋体" w:cs="宋体"/>
                <w:color w:val="000000"/>
                <w:sz w:val="24"/>
                <w:lang w:val="en-US" w:eastAsia="zh-CN"/>
              </w:rPr>
              <w:t>0</w:t>
            </w:r>
            <w:r>
              <w:rPr>
                <w:rFonts w:hint="eastAsia" w:ascii="宋体" w:hAnsi="宋体" w:cs="宋体"/>
                <w:color w:val="000000"/>
                <w:sz w:val="24"/>
              </w:rPr>
              <w:t>%</w:t>
            </w:r>
          </w:p>
        </w:tc>
      </w:tr>
      <w:tr>
        <w:tblPrEx>
          <w:tblCellMar>
            <w:top w:w="0" w:type="dxa"/>
            <w:left w:w="0" w:type="dxa"/>
            <w:bottom w:w="0" w:type="dxa"/>
            <w:right w:w="0" w:type="dxa"/>
          </w:tblCellMar>
        </w:tblPrEx>
        <w:trPr>
          <w:trHeight w:val="1034" w:hRule="atLeast"/>
          <w:jc w:val="center"/>
        </w:trPr>
        <w:tc>
          <w:tcPr>
            <w:tcW w:w="9960" w:type="dxa"/>
            <w:gridSpan w:val="6"/>
            <w:tcBorders>
              <w:top w:val="nil"/>
              <w:left w:val="nil"/>
              <w:bottom w:val="nil"/>
              <w:right w:val="nil"/>
            </w:tcBorders>
            <w:tcMar>
              <w:top w:w="15" w:type="dxa"/>
              <w:left w:w="15" w:type="dxa"/>
              <w:right w:w="15" w:type="dxa"/>
            </w:tcMar>
            <w:vAlign w:val="center"/>
          </w:tcPr>
          <w:p>
            <w:pPr>
              <w:widowControl/>
              <w:jc w:val="center"/>
              <w:textAlignment w:val="center"/>
              <w:rPr>
                <w:rFonts w:ascii="宋体" w:hAnsi="宋体" w:cs="宋体"/>
                <w:color w:val="000000"/>
                <w:sz w:val="36"/>
                <w:szCs w:val="36"/>
              </w:rPr>
            </w:pPr>
            <w:r>
              <w:rPr>
                <w:rFonts w:hint="eastAsia" w:ascii="宋体" w:hAnsi="宋体" w:cs="宋体"/>
                <w:b/>
                <w:bCs/>
                <w:color w:val="000000"/>
                <w:kern w:val="0"/>
                <w:sz w:val="36"/>
                <w:szCs w:val="36"/>
              </w:rPr>
              <w:t>项目绩效目标完成情况表</w:t>
            </w:r>
            <w:r>
              <w:rPr>
                <w:rFonts w:hint="eastAsia" w:ascii="宋体" w:hAnsi="宋体" w:cs="宋体"/>
                <w:b/>
                <w:bCs/>
                <w:color w:val="000000"/>
                <w:kern w:val="0"/>
                <w:sz w:val="36"/>
                <w:szCs w:val="36"/>
              </w:rPr>
              <w:br w:type="textWrapping"/>
            </w:r>
            <w:r>
              <w:rPr>
                <w:rFonts w:hint="eastAsia" w:ascii="宋体" w:hAnsi="宋体" w:cs="宋体"/>
                <w:color w:val="000000"/>
                <w:kern w:val="0"/>
                <w:sz w:val="36"/>
                <w:szCs w:val="36"/>
              </w:rPr>
              <w:t>(2019 年度)</w:t>
            </w:r>
          </w:p>
        </w:tc>
      </w:tr>
      <w:tr>
        <w:tblPrEx>
          <w:tblCellMar>
            <w:top w:w="0" w:type="dxa"/>
            <w:left w:w="0" w:type="dxa"/>
            <w:bottom w:w="0" w:type="dxa"/>
            <w:right w:w="0" w:type="dxa"/>
          </w:tblCellMar>
        </w:tblPrEx>
        <w:trPr>
          <w:trHeight w:val="276" w:hRule="atLeast"/>
          <w:jc w:val="center"/>
        </w:trPr>
        <w:tc>
          <w:tcPr>
            <w:tcW w:w="2782"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项目名称</w:t>
            </w:r>
          </w:p>
        </w:tc>
        <w:tc>
          <w:tcPr>
            <w:tcW w:w="7178"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sz w:val="24"/>
              </w:rPr>
              <w:t>独生子女父母奖励金</w:t>
            </w:r>
          </w:p>
        </w:tc>
      </w:tr>
      <w:tr>
        <w:tblPrEx>
          <w:tblCellMar>
            <w:top w:w="0" w:type="dxa"/>
            <w:left w:w="0" w:type="dxa"/>
            <w:bottom w:w="0" w:type="dxa"/>
            <w:right w:w="0" w:type="dxa"/>
          </w:tblCellMar>
        </w:tblPrEx>
        <w:trPr>
          <w:trHeight w:val="276" w:hRule="atLeast"/>
          <w:jc w:val="center"/>
        </w:trPr>
        <w:tc>
          <w:tcPr>
            <w:tcW w:w="2782"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预算单位</w:t>
            </w:r>
          </w:p>
        </w:tc>
        <w:tc>
          <w:tcPr>
            <w:tcW w:w="7178"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color w:val="000000"/>
                <w:sz w:val="24"/>
                <w:lang w:eastAsia="zh-CN"/>
              </w:rPr>
            </w:pPr>
            <w:r>
              <w:rPr>
                <w:rFonts w:hint="eastAsia" w:ascii="宋体" w:hAnsi="宋体" w:cs="宋体"/>
                <w:color w:val="000000"/>
                <w:sz w:val="24"/>
                <w:lang w:eastAsia="zh-CN"/>
              </w:rPr>
              <w:t>乐至县卫生健康局</w:t>
            </w:r>
          </w:p>
        </w:tc>
      </w:tr>
      <w:tr>
        <w:tblPrEx>
          <w:tblCellMar>
            <w:top w:w="0" w:type="dxa"/>
            <w:left w:w="0" w:type="dxa"/>
            <w:bottom w:w="0" w:type="dxa"/>
            <w:right w:w="0" w:type="dxa"/>
          </w:tblCellMar>
        </w:tblPrEx>
        <w:trPr>
          <w:trHeight w:val="276" w:hRule="atLeast"/>
          <w:jc w:val="center"/>
        </w:trPr>
        <w:tc>
          <w:tcPr>
            <w:tcW w:w="390"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预算执行情况(万元)</w:t>
            </w:r>
          </w:p>
        </w:tc>
        <w:tc>
          <w:tcPr>
            <w:tcW w:w="2392"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预算数:</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color w:val="000000"/>
                <w:sz w:val="24"/>
                <w:lang w:val="en-US" w:eastAsia="zh-CN"/>
              </w:rPr>
            </w:pPr>
            <w:r>
              <w:rPr>
                <w:rFonts w:hint="eastAsia" w:ascii="宋体" w:hAnsi="宋体" w:cs="宋体"/>
                <w:color w:val="000000"/>
                <w:sz w:val="24"/>
                <w:lang w:val="en-US" w:eastAsia="zh-CN"/>
              </w:rPr>
              <w:t>7</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执行数:</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color w:val="000000"/>
                <w:sz w:val="24"/>
                <w:lang w:val="en-US" w:eastAsia="zh-CN"/>
              </w:rPr>
            </w:pPr>
            <w:r>
              <w:rPr>
                <w:rFonts w:hint="eastAsia" w:ascii="宋体" w:hAnsi="宋体" w:cs="宋体"/>
                <w:color w:val="000000"/>
                <w:sz w:val="24"/>
                <w:lang w:val="en-US" w:eastAsia="zh-CN"/>
              </w:rPr>
              <w:t>7</w:t>
            </w:r>
          </w:p>
        </w:tc>
      </w:tr>
      <w:tr>
        <w:tblPrEx>
          <w:tblCellMar>
            <w:top w:w="0" w:type="dxa"/>
            <w:left w:w="0" w:type="dxa"/>
            <w:bottom w:w="0" w:type="dxa"/>
            <w:right w:w="0" w:type="dxa"/>
          </w:tblCellMar>
        </w:tblPrEx>
        <w:trPr>
          <w:trHeight w:val="276" w:hRule="atLeast"/>
          <w:jc w:val="center"/>
        </w:trPr>
        <w:tc>
          <w:tcPr>
            <w:tcW w:w="390"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宋体" w:hAnsi="宋体" w:cs="宋体"/>
                <w:color w:val="000000"/>
                <w:sz w:val="24"/>
              </w:rPr>
            </w:pPr>
          </w:p>
        </w:tc>
        <w:tc>
          <w:tcPr>
            <w:tcW w:w="2392"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其中-财政拨款:</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color w:val="000000"/>
                <w:sz w:val="24"/>
                <w:lang w:val="en-US" w:eastAsia="zh-CN"/>
              </w:rPr>
            </w:pPr>
            <w:r>
              <w:rPr>
                <w:rFonts w:hint="eastAsia" w:ascii="宋体" w:hAnsi="宋体" w:cs="宋体"/>
                <w:color w:val="000000"/>
                <w:sz w:val="24"/>
                <w:lang w:val="en-US" w:eastAsia="zh-CN"/>
              </w:rPr>
              <w:t>7</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其中-财政拨款:</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color w:val="000000"/>
                <w:sz w:val="24"/>
                <w:lang w:val="en-US" w:eastAsia="zh-CN"/>
              </w:rPr>
            </w:pPr>
            <w:r>
              <w:rPr>
                <w:rFonts w:hint="eastAsia" w:ascii="宋体" w:hAnsi="宋体" w:cs="宋体"/>
                <w:color w:val="000000"/>
                <w:sz w:val="24"/>
                <w:lang w:val="en-US" w:eastAsia="zh-CN"/>
              </w:rPr>
              <w:t>7</w:t>
            </w:r>
          </w:p>
        </w:tc>
      </w:tr>
      <w:tr>
        <w:tblPrEx>
          <w:tblCellMar>
            <w:top w:w="0" w:type="dxa"/>
            <w:left w:w="0" w:type="dxa"/>
            <w:bottom w:w="0" w:type="dxa"/>
            <w:right w:w="0" w:type="dxa"/>
          </w:tblCellMar>
        </w:tblPrEx>
        <w:trPr>
          <w:trHeight w:val="1511" w:hRule="atLeast"/>
          <w:jc w:val="center"/>
        </w:trPr>
        <w:tc>
          <w:tcPr>
            <w:tcW w:w="390"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宋体" w:hAnsi="宋体" w:cs="宋体"/>
                <w:color w:val="000000"/>
                <w:sz w:val="24"/>
              </w:rPr>
            </w:pPr>
          </w:p>
        </w:tc>
        <w:tc>
          <w:tcPr>
            <w:tcW w:w="2392"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其它资金:</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color w:val="000000"/>
                <w:sz w:val="24"/>
                <w:lang w:val="en-US" w:eastAsia="zh-CN"/>
              </w:rPr>
            </w:pPr>
            <w:r>
              <w:rPr>
                <w:rFonts w:hint="eastAsia" w:ascii="宋体" w:hAnsi="宋体" w:cs="宋体"/>
                <w:color w:val="000000"/>
                <w:sz w:val="24"/>
                <w:lang w:val="en-US" w:eastAsia="zh-CN"/>
              </w:rPr>
              <w:t>0</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其它资金:</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color w:val="000000"/>
                <w:sz w:val="24"/>
                <w:lang w:val="en-US" w:eastAsia="zh-CN"/>
              </w:rPr>
            </w:pPr>
            <w:r>
              <w:rPr>
                <w:rFonts w:hint="eastAsia" w:ascii="宋体" w:hAnsi="宋体" w:cs="宋体"/>
                <w:color w:val="000000"/>
                <w:sz w:val="24"/>
                <w:lang w:val="en-US" w:eastAsia="zh-CN"/>
              </w:rPr>
              <w:t>0</w:t>
            </w:r>
          </w:p>
        </w:tc>
      </w:tr>
      <w:tr>
        <w:tblPrEx>
          <w:tblCellMar>
            <w:top w:w="0" w:type="dxa"/>
            <w:left w:w="0" w:type="dxa"/>
            <w:bottom w:w="0" w:type="dxa"/>
            <w:right w:w="0" w:type="dxa"/>
          </w:tblCellMar>
        </w:tblPrEx>
        <w:trPr>
          <w:trHeight w:val="276" w:hRule="atLeast"/>
          <w:jc w:val="center"/>
        </w:trPr>
        <w:tc>
          <w:tcPr>
            <w:tcW w:w="390"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年度目标完成情况</w:t>
            </w:r>
          </w:p>
        </w:tc>
        <w:tc>
          <w:tcPr>
            <w:tcW w:w="4784"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预期目标</w:t>
            </w:r>
          </w:p>
        </w:tc>
        <w:tc>
          <w:tcPr>
            <w:tcW w:w="4786"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实际完成目标</w:t>
            </w:r>
          </w:p>
        </w:tc>
      </w:tr>
      <w:tr>
        <w:tblPrEx>
          <w:tblCellMar>
            <w:top w:w="0" w:type="dxa"/>
            <w:left w:w="0" w:type="dxa"/>
            <w:bottom w:w="0" w:type="dxa"/>
            <w:right w:w="0" w:type="dxa"/>
          </w:tblCellMar>
        </w:tblPrEx>
        <w:trPr>
          <w:trHeight w:val="1159" w:hRule="atLeast"/>
          <w:jc w:val="center"/>
        </w:trPr>
        <w:tc>
          <w:tcPr>
            <w:tcW w:w="390"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宋体" w:hAnsi="宋体" w:cs="宋体"/>
                <w:color w:val="000000"/>
                <w:sz w:val="24"/>
              </w:rPr>
            </w:pPr>
          </w:p>
        </w:tc>
        <w:tc>
          <w:tcPr>
            <w:tcW w:w="4784"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sz w:val="24"/>
              </w:rPr>
              <w:t>在国家提倡一对夫妻生育一个子女期间，自愿终身只生育一个子女的夫妻，国家发给《独生子女父母光荣证》，继续享受独生子女父母奖励金政策不变。</w:t>
            </w:r>
          </w:p>
        </w:tc>
        <w:tc>
          <w:tcPr>
            <w:tcW w:w="4786"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sz w:val="24"/>
              </w:rPr>
              <w:t>在国家提倡一对夫妻生育一个子女期间，自愿终身只生育一个子女的夫妻，国家发给《独生子女父母光荣证》，继续享受独生子女父母奖励金政策不变。</w:t>
            </w:r>
          </w:p>
        </w:tc>
      </w:tr>
      <w:tr>
        <w:tblPrEx>
          <w:tblCellMar>
            <w:top w:w="0" w:type="dxa"/>
            <w:left w:w="0" w:type="dxa"/>
            <w:bottom w:w="0" w:type="dxa"/>
            <w:right w:w="0" w:type="dxa"/>
          </w:tblCellMar>
        </w:tblPrEx>
        <w:trPr>
          <w:trHeight w:val="1042" w:hRule="atLeast"/>
          <w:jc w:val="center"/>
        </w:trPr>
        <w:tc>
          <w:tcPr>
            <w:tcW w:w="390" w:type="dxa"/>
            <w:vMerge w:val="restart"/>
            <w:tcBorders>
              <w:top w:val="single" w:color="000000" w:sz="4" w:space="0"/>
              <w:left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sz w:val="24"/>
              </w:rPr>
              <w:t>绩效指标完成情况</w:t>
            </w: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一级指标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二级指标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三级指标</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预期指标值(包含数字及文字描述)</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实际完成指标值(包含数字及文字描述)</w:t>
            </w:r>
          </w:p>
        </w:tc>
      </w:tr>
      <w:tr>
        <w:tblPrEx>
          <w:tblCellMar>
            <w:top w:w="0" w:type="dxa"/>
            <w:left w:w="0" w:type="dxa"/>
            <w:bottom w:w="0" w:type="dxa"/>
            <w:right w:w="0" w:type="dxa"/>
          </w:tblCellMar>
        </w:tblPrEx>
        <w:trPr>
          <w:trHeight w:val="953" w:hRule="atLeast"/>
          <w:jc w:val="center"/>
        </w:trPr>
        <w:tc>
          <w:tcPr>
            <w:tcW w:w="390" w:type="dxa"/>
            <w:vMerge w:val="continue"/>
            <w:tcBorders>
              <w:left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4"/>
              </w:rPr>
            </w:pP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项目完成指标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color w:val="000000"/>
                <w:kern w:val="2"/>
                <w:sz w:val="24"/>
                <w:szCs w:val="24"/>
                <w:lang w:val="en-US" w:eastAsia="zh-CN" w:bidi="ar-SA"/>
              </w:rPr>
            </w:pPr>
            <w:r>
              <w:rPr>
                <w:rFonts w:hint="eastAsia" w:ascii="宋体" w:hAnsi="宋体" w:cs="宋体"/>
                <w:color w:val="000000"/>
                <w:sz w:val="24"/>
              </w:rPr>
              <w:t>数量指标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color w:val="000000"/>
                <w:kern w:val="2"/>
                <w:sz w:val="24"/>
                <w:szCs w:val="24"/>
                <w:lang w:val="en-US" w:eastAsia="zh-CN" w:bidi="ar-SA"/>
              </w:rPr>
            </w:pPr>
            <w:r>
              <w:rPr>
                <w:rFonts w:hint="eastAsia" w:ascii="宋体" w:hAnsi="宋体" w:cs="宋体"/>
                <w:color w:val="000000"/>
                <w:sz w:val="24"/>
              </w:rPr>
              <w:t>独生子女父母</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2"/>
                <w:sz w:val="20"/>
                <w:szCs w:val="20"/>
                <w:u w:val="none"/>
                <w:lang w:val="en-US" w:eastAsia="zh-CN" w:bidi="ar-SA"/>
              </w:rPr>
            </w:pPr>
            <w:r>
              <w:rPr>
                <w:rFonts w:hint="eastAsia" w:ascii="宋体" w:hAnsi="宋体" w:eastAsia="宋体" w:cs="宋体"/>
                <w:i w:val="0"/>
                <w:color w:val="000000"/>
                <w:kern w:val="0"/>
                <w:sz w:val="20"/>
                <w:szCs w:val="20"/>
                <w:u w:val="none"/>
                <w:lang w:val="en-US" w:eastAsia="zh-CN" w:bidi="ar"/>
              </w:rPr>
              <w:t>≥20000人</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2"/>
                <w:sz w:val="20"/>
                <w:szCs w:val="20"/>
                <w:u w:val="none"/>
                <w:lang w:val="en-US" w:eastAsia="zh-CN" w:bidi="ar-SA"/>
              </w:rPr>
            </w:pPr>
            <w:r>
              <w:rPr>
                <w:rFonts w:hint="eastAsia" w:ascii="宋体" w:hAnsi="宋体" w:eastAsia="宋体" w:cs="宋体"/>
                <w:i w:val="0"/>
                <w:color w:val="000000"/>
                <w:kern w:val="0"/>
                <w:sz w:val="20"/>
                <w:szCs w:val="20"/>
                <w:u w:val="none"/>
                <w:lang w:val="en-US" w:eastAsia="zh-CN" w:bidi="ar"/>
              </w:rPr>
              <w:t>≥20000人</w:t>
            </w:r>
          </w:p>
        </w:tc>
      </w:tr>
      <w:tr>
        <w:tblPrEx>
          <w:tblCellMar>
            <w:top w:w="0" w:type="dxa"/>
            <w:left w:w="0" w:type="dxa"/>
            <w:bottom w:w="0" w:type="dxa"/>
            <w:right w:w="0" w:type="dxa"/>
          </w:tblCellMar>
        </w:tblPrEx>
        <w:trPr>
          <w:trHeight w:val="1297" w:hRule="atLeast"/>
          <w:jc w:val="center"/>
        </w:trPr>
        <w:tc>
          <w:tcPr>
            <w:tcW w:w="390" w:type="dxa"/>
            <w:vMerge w:val="continue"/>
            <w:tcBorders>
              <w:left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4"/>
              </w:rPr>
            </w:pP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项目完成指标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color w:val="000000"/>
                <w:kern w:val="2"/>
                <w:sz w:val="24"/>
                <w:szCs w:val="24"/>
                <w:lang w:val="en-US" w:eastAsia="zh-CN" w:bidi="ar-SA"/>
              </w:rPr>
            </w:pPr>
            <w:r>
              <w:rPr>
                <w:rFonts w:hint="eastAsia" w:ascii="宋体" w:hAnsi="宋体" w:cs="宋体"/>
                <w:color w:val="000000"/>
                <w:sz w:val="24"/>
                <w:lang w:eastAsia="zh-CN"/>
              </w:rPr>
              <w:t>质</w:t>
            </w:r>
            <w:r>
              <w:rPr>
                <w:rFonts w:hint="eastAsia" w:ascii="宋体" w:hAnsi="宋体" w:cs="宋体"/>
                <w:color w:val="000000"/>
                <w:sz w:val="24"/>
              </w:rPr>
              <w:t>量指标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color w:val="000000"/>
                <w:kern w:val="2"/>
                <w:sz w:val="24"/>
                <w:szCs w:val="24"/>
                <w:lang w:val="en-US" w:eastAsia="zh-CN" w:bidi="ar-SA"/>
              </w:rPr>
            </w:pPr>
            <w:r>
              <w:rPr>
                <w:rFonts w:hint="eastAsia" w:ascii="宋体" w:hAnsi="宋体" w:cs="宋体"/>
                <w:color w:val="000000"/>
                <w:sz w:val="24"/>
              </w:rPr>
              <w:t>资格确认</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2"/>
                <w:sz w:val="20"/>
                <w:szCs w:val="20"/>
                <w:u w:val="none"/>
                <w:lang w:val="en-US" w:eastAsia="zh-CN" w:bidi="ar-SA"/>
              </w:rPr>
            </w:pPr>
            <w:r>
              <w:rPr>
                <w:rFonts w:hint="eastAsia" w:ascii="宋体" w:hAnsi="宋体" w:eastAsia="宋体" w:cs="宋体"/>
                <w:i w:val="0"/>
                <w:color w:val="000000"/>
                <w:kern w:val="0"/>
                <w:sz w:val="20"/>
                <w:szCs w:val="20"/>
                <w:u w:val="none"/>
                <w:lang w:val="en-US" w:eastAsia="zh-CN" w:bidi="ar"/>
              </w:rPr>
              <w:t>零误差</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2"/>
                <w:sz w:val="20"/>
                <w:szCs w:val="20"/>
                <w:u w:val="none"/>
                <w:lang w:val="en-US" w:eastAsia="zh-CN" w:bidi="ar-SA"/>
              </w:rPr>
            </w:pPr>
            <w:r>
              <w:rPr>
                <w:rFonts w:hint="eastAsia" w:ascii="宋体" w:hAnsi="宋体" w:eastAsia="宋体" w:cs="宋体"/>
                <w:i w:val="0"/>
                <w:color w:val="000000"/>
                <w:kern w:val="0"/>
                <w:sz w:val="20"/>
                <w:szCs w:val="20"/>
                <w:u w:val="none"/>
                <w:lang w:val="en-US" w:eastAsia="zh-CN" w:bidi="ar"/>
              </w:rPr>
              <w:t>零误差</w:t>
            </w:r>
          </w:p>
        </w:tc>
      </w:tr>
      <w:tr>
        <w:tblPrEx>
          <w:tblCellMar>
            <w:top w:w="0" w:type="dxa"/>
            <w:left w:w="0" w:type="dxa"/>
            <w:bottom w:w="0" w:type="dxa"/>
            <w:right w:w="0" w:type="dxa"/>
          </w:tblCellMar>
        </w:tblPrEx>
        <w:trPr>
          <w:trHeight w:val="1042" w:hRule="atLeast"/>
          <w:jc w:val="center"/>
        </w:trPr>
        <w:tc>
          <w:tcPr>
            <w:tcW w:w="390" w:type="dxa"/>
            <w:vMerge w:val="continue"/>
            <w:tcBorders>
              <w:left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4"/>
              </w:rPr>
            </w:pP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项目完成指标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color w:val="000000"/>
                <w:kern w:val="2"/>
                <w:sz w:val="24"/>
                <w:szCs w:val="24"/>
                <w:lang w:val="en-US" w:eastAsia="zh-CN" w:bidi="ar-SA"/>
              </w:rPr>
            </w:pPr>
            <w:r>
              <w:rPr>
                <w:rFonts w:hint="eastAsia" w:ascii="宋体" w:hAnsi="宋体" w:cs="宋体"/>
                <w:color w:val="000000"/>
                <w:sz w:val="24"/>
                <w:lang w:eastAsia="zh-CN"/>
              </w:rPr>
              <w:t>成本</w:t>
            </w:r>
            <w:r>
              <w:rPr>
                <w:rFonts w:hint="eastAsia" w:ascii="宋体" w:hAnsi="宋体" w:cs="宋体"/>
                <w:color w:val="000000"/>
                <w:sz w:val="24"/>
              </w:rPr>
              <w:t>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color w:val="000000"/>
                <w:kern w:val="2"/>
                <w:sz w:val="24"/>
                <w:szCs w:val="24"/>
                <w:lang w:val="en-US" w:eastAsia="zh-CN" w:bidi="ar-SA"/>
              </w:rPr>
            </w:pPr>
            <w:r>
              <w:rPr>
                <w:rFonts w:hint="eastAsia" w:ascii="宋体" w:hAnsi="宋体" w:cs="宋体"/>
                <w:color w:val="000000"/>
                <w:sz w:val="24"/>
              </w:rPr>
              <w:t>费用不超过</w:t>
            </w:r>
            <w:r>
              <w:rPr>
                <w:rFonts w:hint="eastAsia" w:ascii="宋体" w:hAnsi="宋体" w:cs="宋体"/>
                <w:color w:val="000000"/>
                <w:sz w:val="24"/>
                <w:lang w:val="en-US" w:eastAsia="zh-CN"/>
              </w:rPr>
              <w:t>7</w:t>
            </w:r>
            <w:r>
              <w:rPr>
                <w:rFonts w:hint="eastAsia" w:ascii="宋体" w:hAnsi="宋体" w:cs="宋体"/>
                <w:color w:val="000000"/>
                <w:sz w:val="24"/>
              </w:rPr>
              <w:t>万</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color w:val="000000"/>
                <w:kern w:val="2"/>
                <w:sz w:val="24"/>
                <w:szCs w:val="24"/>
                <w:lang w:val="en-US" w:eastAsia="zh-CN" w:bidi="ar-SA"/>
              </w:rPr>
            </w:pPr>
            <w:r>
              <w:rPr>
                <w:rFonts w:hint="eastAsia" w:ascii="宋体" w:hAnsi="宋体" w:cs="宋体"/>
                <w:color w:val="000000"/>
                <w:sz w:val="24"/>
              </w:rPr>
              <w:t>≤</w:t>
            </w:r>
            <w:r>
              <w:rPr>
                <w:rFonts w:hint="eastAsia" w:ascii="宋体" w:hAnsi="宋体" w:cs="宋体"/>
                <w:color w:val="000000"/>
                <w:sz w:val="24"/>
                <w:lang w:val="en-US" w:eastAsia="zh-CN"/>
              </w:rPr>
              <w:t>7</w:t>
            </w:r>
            <w:r>
              <w:rPr>
                <w:rFonts w:hint="eastAsia" w:ascii="宋体" w:hAnsi="宋体" w:cs="宋体"/>
                <w:color w:val="000000"/>
                <w:sz w:val="24"/>
              </w:rPr>
              <w:t>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color w:val="000000"/>
                <w:kern w:val="2"/>
                <w:sz w:val="24"/>
                <w:szCs w:val="24"/>
                <w:lang w:val="en-US" w:eastAsia="zh-CN" w:bidi="ar-SA"/>
              </w:rPr>
            </w:pPr>
            <w:r>
              <w:rPr>
                <w:rFonts w:hint="eastAsia" w:ascii="宋体" w:hAnsi="宋体" w:cs="宋体"/>
                <w:color w:val="000000"/>
                <w:sz w:val="24"/>
              </w:rPr>
              <w:t>≤</w:t>
            </w:r>
            <w:r>
              <w:rPr>
                <w:rFonts w:hint="eastAsia" w:ascii="宋体" w:hAnsi="宋体" w:cs="宋体"/>
                <w:color w:val="000000"/>
                <w:sz w:val="24"/>
                <w:lang w:val="en-US" w:eastAsia="zh-CN"/>
              </w:rPr>
              <w:t>7</w:t>
            </w:r>
            <w:r>
              <w:rPr>
                <w:rFonts w:hint="eastAsia" w:ascii="宋体" w:hAnsi="宋体" w:cs="宋体"/>
                <w:color w:val="000000"/>
                <w:sz w:val="24"/>
              </w:rPr>
              <w:t>万</w:t>
            </w:r>
          </w:p>
        </w:tc>
      </w:tr>
      <w:tr>
        <w:tblPrEx>
          <w:tblCellMar>
            <w:top w:w="0" w:type="dxa"/>
            <w:left w:w="0" w:type="dxa"/>
            <w:bottom w:w="0" w:type="dxa"/>
            <w:right w:w="0" w:type="dxa"/>
          </w:tblCellMar>
        </w:tblPrEx>
        <w:trPr>
          <w:trHeight w:val="1042" w:hRule="atLeast"/>
          <w:jc w:val="center"/>
        </w:trPr>
        <w:tc>
          <w:tcPr>
            <w:tcW w:w="390" w:type="dxa"/>
            <w:vMerge w:val="continue"/>
            <w:tcBorders>
              <w:left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4"/>
              </w:rPr>
            </w:pP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效益指标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cs="宋体"/>
                <w:color w:val="000000"/>
                <w:sz w:val="24"/>
              </w:rPr>
            </w:pPr>
            <w:r>
              <w:rPr>
                <w:rFonts w:hint="eastAsia" w:ascii="宋体" w:hAnsi="宋体" w:cs="宋体"/>
                <w:color w:val="000000"/>
                <w:sz w:val="24"/>
              </w:rPr>
              <w:t>经济效益</w:t>
            </w:r>
          </w:p>
          <w:p>
            <w:pPr>
              <w:widowControl/>
              <w:jc w:val="center"/>
              <w:textAlignment w:val="center"/>
              <w:rPr>
                <w:rFonts w:ascii="宋体" w:hAnsi="宋体" w:eastAsia="宋体" w:cs="宋体"/>
                <w:color w:val="000000"/>
                <w:kern w:val="2"/>
                <w:sz w:val="24"/>
                <w:szCs w:val="24"/>
                <w:lang w:val="en-US" w:eastAsia="zh-CN" w:bidi="ar-SA"/>
              </w:rPr>
            </w:pPr>
            <w:r>
              <w:rPr>
                <w:rFonts w:hint="eastAsia" w:ascii="宋体" w:hAnsi="宋体" w:cs="宋体"/>
                <w:color w:val="000000"/>
                <w:sz w:val="24"/>
              </w:rPr>
              <w:t>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color w:val="000000"/>
                <w:kern w:val="2"/>
                <w:sz w:val="24"/>
                <w:szCs w:val="24"/>
                <w:lang w:val="en-US" w:eastAsia="zh-CN" w:bidi="ar-SA"/>
              </w:rPr>
            </w:pPr>
            <w:r>
              <w:rPr>
                <w:rFonts w:hint="eastAsia" w:ascii="宋体" w:hAnsi="宋体" w:cs="宋体"/>
                <w:color w:val="000000"/>
                <w:sz w:val="24"/>
              </w:rPr>
              <w:t>独生子女父母奖励金</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default" w:ascii="宋体" w:hAnsi="宋体" w:eastAsia="宋体" w:cs="宋体"/>
                <w:color w:val="000000"/>
                <w:kern w:val="2"/>
                <w:sz w:val="24"/>
                <w:szCs w:val="24"/>
                <w:lang w:val="en-US" w:eastAsia="zh-CN" w:bidi="ar-SA"/>
              </w:rPr>
            </w:pPr>
            <w:r>
              <w:rPr>
                <w:rFonts w:hint="eastAsia" w:ascii="宋体" w:hAnsi="宋体" w:cs="宋体"/>
                <w:color w:val="000000"/>
                <w:sz w:val="24"/>
                <w:lang w:val="en-US" w:eastAsia="zh-CN"/>
              </w:rPr>
              <w:t>60元/人.年</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color w:val="000000"/>
                <w:kern w:val="2"/>
                <w:sz w:val="24"/>
                <w:szCs w:val="24"/>
                <w:lang w:val="en-US" w:eastAsia="zh-CN" w:bidi="ar-SA"/>
              </w:rPr>
            </w:pPr>
            <w:r>
              <w:rPr>
                <w:rFonts w:hint="eastAsia" w:ascii="宋体" w:hAnsi="宋体" w:cs="宋体"/>
                <w:color w:val="000000"/>
                <w:sz w:val="24"/>
                <w:lang w:val="en-US" w:eastAsia="zh-CN"/>
              </w:rPr>
              <w:t>60元/人.年</w:t>
            </w:r>
          </w:p>
        </w:tc>
      </w:tr>
      <w:tr>
        <w:tblPrEx>
          <w:tblCellMar>
            <w:top w:w="0" w:type="dxa"/>
            <w:left w:w="0" w:type="dxa"/>
            <w:bottom w:w="0" w:type="dxa"/>
            <w:right w:w="0" w:type="dxa"/>
          </w:tblCellMar>
        </w:tblPrEx>
        <w:trPr>
          <w:trHeight w:val="1050" w:hRule="atLeast"/>
          <w:jc w:val="center"/>
        </w:trPr>
        <w:tc>
          <w:tcPr>
            <w:tcW w:w="390" w:type="dxa"/>
            <w:vMerge w:val="continue"/>
            <w:tcBorders>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4"/>
              </w:rPr>
            </w:pP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满意度指标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cs="宋体"/>
                <w:color w:val="000000"/>
                <w:sz w:val="24"/>
              </w:rPr>
            </w:pPr>
            <w:r>
              <w:rPr>
                <w:rFonts w:hint="eastAsia" w:ascii="宋体" w:hAnsi="宋体" w:cs="宋体"/>
                <w:color w:val="000000"/>
                <w:sz w:val="24"/>
              </w:rPr>
              <w:t>服务对象</w:t>
            </w:r>
          </w:p>
          <w:p>
            <w:pPr>
              <w:widowControl/>
              <w:jc w:val="center"/>
              <w:textAlignment w:val="center"/>
              <w:rPr>
                <w:rFonts w:ascii="宋体" w:hAnsi="宋体" w:cs="宋体"/>
                <w:color w:val="000000"/>
                <w:sz w:val="24"/>
              </w:rPr>
            </w:pPr>
            <w:r>
              <w:rPr>
                <w:rFonts w:hint="eastAsia" w:ascii="宋体" w:hAnsi="宋体" w:cs="宋体"/>
                <w:color w:val="000000"/>
                <w:sz w:val="24"/>
              </w:rPr>
              <w:t>满意度指标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sz w:val="24"/>
              </w:rPr>
              <w:t>独生子女父母满意度</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sz w:val="24"/>
              </w:rPr>
              <w:t>≥80%</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sz w:val="24"/>
              </w:rPr>
              <w:t>≥80%</w:t>
            </w:r>
          </w:p>
        </w:tc>
      </w:tr>
      <w:tr>
        <w:tblPrEx>
          <w:tblCellMar>
            <w:top w:w="0" w:type="dxa"/>
            <w:left w:w="0" w:type="dxa"/>
            <w:bottom w:w="0" w:type="dxa"/>
            <w:right w:w="0" w:type="dxa"/>
          </w:tblCellMar>
        </w:tblPrEx>
        <w:trPr>
          <w:trHeight w:val="1034" w:hRule="atLeast"/>
          <w:jc w:val="center"/>
        </w:trPr>
        <w:tc>
          <w:tcPr>
            <w:tcW w:w="9960" w:type="dxa"/>
            <w:gridSpan w:val="6"/>
            <w:tcBorders>
              <w:top w:val="nil"/>
              <w:left w:val="nil"/>
              <w:bottom w:val="nil"/>
              <w:right w:val="nil"/>
            </w:tcBorders>
            <w:tcMar>
              <w:top w:w="15" w:type="dxa"/>
              <w:left w:w="15" w:type="dxa"/>
              <w:right w:w="15" w:type="dxa"/>
            </w:tcMar>
            <w:vAlign w:val="center"/>
          </w:tcPr>
          <w:p>
            <w:pPr>
              <w:widowControl/>
              <w:jc w:val="center"/>
              <w:textAlignment w:val="center"/>
              <w:rPr>
                <w:rFonts w:ascii="宋体" w:hAnsi="宋体" w:cs="宋体"/>
                <w:color w:val="000000"/>
                <w:sz w:val="36"/>
                <w:szCs w:val="36"/>
              </w:rPr>
            </w:pPr>
            <w:r>
              <w:rPr>
                <w:rFonts w:hint="eastAsia" w:ascii="宋体" w:hAnsi="宋体" w:cs="宋体"/>
                <w:b/>
                <w:bCs/>
                <w:color w:val="000000"/>
                <w:kern w:val="0"/>
                <w:sz w:val="36"/>
                <w:szCs w:val="36"/>
              </w:rPr>
              <w:t>项目绩效目标完成情况表</w:t>
            </w:r>
            <w:r>
              <w:rPr>
                <w:rFonts w:hint="eastAsia" w:ascii="宋体" w:hAnsi="宋体" w:cs="宋体"/>
                <w:b/>
                <w:bCs/>
                <w:color w:val="000000"/>
                <w:kern w:val="0"/>
                <w:sz w:val="36"/>
                <w:szCs w:val="36"/>
              </w:rPr>
              <w:br w:type="textWrapping"/>
            </w:r>
            <w:r>
              <w:rPr>
                <w:rFonts w:hint="eastAsia" w:ascii="宋体" w:hAnsi="宋体" w:cs="宋体"/>
                <w:color w:val="000000"/>
                <w:kern w:val="0"/>
                <w:sz w:val="36"/>
                <w:szCs w:val="36"/>
              </w:rPr>
              <w:t>(2019 年度)</w:t>
            </w:r>
          </w:p>
        </w:tc>
      </w:tr>
      <w:tr>
        <w:tblPrEx>
          <w:tblCellMar>
            <w:top w:w="0" w:type="dxa"/>
            <w:left w:w="0" w:type="dxa"/>
            <w:bottom w:w="0" w:type="dxa"/>
            <w:right w:w="0" w:type="dxa"/>
          </w:tblCellMar>
        </w:tblPrEx>
        <w:trPr>
          <w:trHeight w:val="276" w:hRule="atLeast"/>
          <w:jc w:val="center"/>
        </w:trPr>
        <w:tc>
          <w:tcPr>
            <w:tcW w:w="2782"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项目名称</w:t>
            </w:r>
          </w:p>
        </w:tc>
        <w:tc>
          <w:tcPr>
            <w:tcW w:w="7178"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sz w:val="24"/>
              </w:rPr>
              <w:t>计划生育生殖健康促进工程</w:t>
            </w:r>
          </w:p>
        </w:tc>
      </w:tr>
      <w:tr>
        <w:tblPrEx>
          <w:tblCellMar>
            <w:top w:w="0" w:type="dxa"/>
            <w:left w:w="0" w:type="dxa"/>
            <w:bottom w:w="0" w:type="dxa"/>
            <w:right w:w="0" w:type="dxa"/>
          </w:tblCellMar>
        </w:tblPrEx>
        <w:trPr>
          <w:trHeight w:val="276" w:hRule="atLeast"/>
          <w:jc w:val="center"/>
        </w:trPr>
        <w:tc>
          <w:tcPr>
            <w:tcW w:w="2782"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预算单位</w:t>
            </w:r>
          </w:p>
        </w:tc>
        <w:tc>
          <w:tcPr>
            <w:tcW w:w="7178"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color w:val="000000"/>
                <w:sz w:val="24"/>
                <w:lang w:eastAsia="zh-CN"/>
              </w:rPr>
            </w:pPr>
            <w:r>
              <w:rPr>
                <w:rFonts w:hint="eastAsia" w:ascii="宋体" w:hAnsi="宋体" w:cs="宋体"/>
                <w:color w:val="000000"/>
                <w:sz w:val="24"/>
                <w:lang w:eastAsia="zh-CN"/>
              </w:rPr>
              <w:t>乐至县卫生健康局</w:t>
            </w:r>
          </w:p>
        </w:tc>
      </w:tr>
      <w:tr>
        <w:tblPrEx>
          <w:tblCellMar>
            <w:top w:w="0" w:type="dxa"/>
            <w:left w:w="0" w:type="dxa"/>
            <w:bottom w:w="0" w:type="dxa"/>
            <w:right w:w="0" w:type="dxa"/>
          </w:tblCellMar>
        </w:tblPrEx>
        <w:trPr>
          <w:trHeight w:val="276" w:hRule="atLeast"/>
          <w:jc w:val="center"/>
        </w:trPr>
        <w:tc>
          <w:tcPr>
            <w:tcW w:w="390"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预算执行情况(万元)</w:t>
            </w:r>
          </w:p>
        </w:tc>
        <w:tc>
          <w:tcPr>
            <w:tcW w:w="2392"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预算数:</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color w:val="000000"/>
                <w:sz w:val="24"/>
                <w:lang w:val="en-US" w:eastAsia="zh-CN"/>
              </w:rPr>
            </w:pPr>
            <w:r>
              <w:rPr>
                <w:rFonts w:hint="eastAsia" w:ascii="宋体" w:hAnsi="宋体" w:cs="宋体"/>
                <w:color w:val="000000"/>
                <w:sz w:val="24"/>
                <w:lang w:val="en-US" w:eastAsia="zh-CN"/>
              </w:rPr>
              <w:t>7</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执行数:</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color w:val="000000"/>
                <w:sz w:val="24"/>
                <w:lang w:val="en-US" w:eastAsia="zh-CN"/>
              </w:rPr>
            </w:pPr>
            <w:r>
              <w:rPr>
                <w:rFonts w:hint="eastAsia" w:ascii="宋体" w:hAnsi="宋体" w:cs="宋体"/>
                <w:color w:val="000000"/>
                <w:sz w:val="24"/>
                <w:lang w:val="en-US" w:eastAsia="zh-CN"/>
              </w:rPr>
              <w:t>7</w:t>
            </w:r>
          </w:p>
        </w:tc>
      </w:tr>
      <w:tr>
        <w:tblPrEx>
          <w:tblCellMar>
            <w:top w:w="0" w:type="dxa"/>
            <w:left w:w="0" w:type="dxa"/>
            <w:bottom w:w="0" w:type="dxa"/>
            <w:right w:w="0" w:type="dxa"/>
          </w:tblCellMar>
        </w:tblPrEx>
        <w:trPr>
          <w:trHeight w:val="276" w:hRule="atLeast"/>
          <w:jc w:val="center"/>
        </w:trPr>
        <w:tc>
          <w:tcPr>
            <w:tcW w:w="390"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宋体" w:hAnsi="宋体" w:cs="宋体"/>
                <w:color w:val="000000"/>
                <w:sz w:val="24"/>
              </w:rPr>
            </w:pPr>
          </w:p>
        </w:tc>
        <w:tc>
          <w:tcPr>
            <w:tcW w:w="2392"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其中-财政拨款:</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color w:val="000000"/>
                <w:sz w:val="24"/>
                <w:lang w:val="en-US" w:eastAsia="zh-CN"/>
              </w:rPr>
            </w:pPr>
            <w:r>
              <w:rPr>
                <w:rFonts w:hint="eastAsia" w:ascii="宋体" w:hAnsi="宋体" w:cs="宋体"/>
                <w:color w:val="000000"/>
                <w:sz w:val="24"/>
                <w:lang w:val="en-US" w:eastAsia="zh-CN"/>
              </w:rPr>
              <w:t>7</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其中-财政拨款:</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color w:val="000000"/>
                <w:sz w:val="24"/>
                <w:lang w:val="en-US" w:eastAsia="zh-CN"/>
              </w:rPr>
            </w:pPr>
            <w:r>
              <w:rPr>
                <w:rFonts w:hint="eastAsia" w:ascii="宋体" w:hAnsi="宋体" w:cs="宋体"/>
                <w:color w:val="000000"/>
                <w:sz w:val="24"/>
                <w:lang w:val="en-US" w:eastAsia="zh-CN"/>
              </w:rPr>
              <w:t>7</w:t>
            </w:r>
          </w:p>
        </w:tc>
      </w:tr>
      <w:tr>
        <w:tblPrEx>
          <w:tblCellMar>
            <w:top w:w="0" w:type="dxa"/>
            <w:left w:w="0" w:type="dxa"/>
            <w:bottom w:w="0" w:type="dxa"/>
            <w:right w:w="0" w:type="dxa"/>
          </w:tblCellMar>
        </w:tblPrEx>
        <w:trPr>
          <w:trHeight w:val="1511" w:hRule="atLeast"/>
          <w:jc w:val="center"/>
        </w:trPr>
        <w:tc>
          <w:tcPr>
            <w:tcW w:w="390"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宋体" w:hAnsi="宋体" w:cs="宋体"/>
                <w:color w:val="000000"/>
                <w:sz w:val="24"/>
              </w:rPr>
            </w:pPr>
          </w:p>
        </w:tc>
        <w:tc>
          <w:tcPr>
            <w:tcW w:w="2392"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其它资金:</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color w:val="000000"/>
                <w:sz w:val="24"/>
                <w:lang w:val="en-US" w:eastAsia="zh-CN"/>
              </w:rPr>
            </w:pPr>
            <w:r>
              <w:rPr>
                <w:rFonts w:hint="eastAsia" w:ascii="宋体" w:hAnsi="宋体" w:cs="宋体"/>
                <w:color w:val="000000"/>
                <w:sz w:val="24"/>
                <w:lang w:val="en-US" w:eastAsia="zh-CN"/>
              </w:rPr>
              <w:t>0</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其它资金:</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color w:val="000000"/>
                <w:sz w:val="24"/>
                <w:lang w:val="en-US" w:eastAsia="zh-CN"/>
              </w:rPr>
            </w:pPr>
            <w:r>
              <w:rPr>
                <w:rFonts w:hint="eastAsia" w:ascii="宋体" w:hAnsi="宋体" w:cs="宋体"/>
                <w:color w:val="000000"/>
                <w:sz w:val="24"/>
                <w:lang w:val="en-US" w:eastAsia="zh-CN"/>
              </w:rPr>
              <w:t>0</w:t>
            </w:r>
          </w:p>
        </w:tc>
      </w:tr>
      <w:tr>
        <w:tblPrEx>
          <w:tblCellMar>
            <w:top w:w="0" w:type="dxa"/>
            <w:left w:w="0" w:type="dxa"/>
            <w:bottom w:w="0" w:type="dxa"/>
            <w:right w:w="0" w:type="dxa"/>
          </w:tblCellMar>
        </w:tblPrEx>
        <w:trPr>
          <w:trHeight w:val="276" w:hRule="atLeast"/>
          <w:jc w:val="center"/>
        </w:trPr>
        <w:tc>
          <w:tcPr>
            <w:tcW w:w="390"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年度目标完成情况</w:t>
            </w:r>
          </w:p>
        </w:tc>
        <w:tc>
          <w:tcPr>
            <w:tcW w:w="4784"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预期目标</w:t>
            </w:r>
          </w:p>
        </w:tc>
        <w:tc>
          <w:tcPr>
            <w:tcW w:w="4786"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实际完成目标</w:t>
            </w:r>
          </w:p>
        </w:tc>
      </w:tr>
      <w:tr>
        <w:tblPrEx>
          <w:tblCellMar>
            <w:top w:w="0" w:type="dxa"/>
            <w:left w:w="0" w:type="dxa"/>
            <w:bottom w:w="0" w:type="dxa"/>
            <w:right w:w="0" w:type="dxa"/>
          </w:tblCellMar>
        </w:tblPrEx>
        <w:trPr>
          <w:trHeight w:val="1159" w:hRule="atLeast"/>
          <w:jc w:val="center"/>
        </w:trPr>
        <w:tc>
          <w:tcPr>
            <w:tcW w:w="390"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宋体" w:hAnsi="宋体" w:cs="宋体"/>
                <w:color w:val="000000"/>
                <w:sz w:val="24"/>
              </w:rPr>
            </w:pPr>
          </w:p>
        </w:tc>
        <w:tc>
          <w:tcPr>
            <w:tcW w:w="4784"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sz w:val="24"/>
              </w:rPr>
              <w:t xml:space="preserve"> 旨在深入贯彻党的十九大精神，落实《“健康中国2030”规划纲要》精神，推进健康中国的建设、改善妇幼健康服务、加强妇幼健康和计划生育服务能力建设。对我县推广生殖健康理念、科普“生殖健康”知识、促进生殖健康产业发展有重要的积极意义，也是我县探索面向基层群众的科学、权威、可及的生殖健康咨询服务模式的一项有力举措。</w:t>
            </w:r>
          </w:p>
        </w:tc>
        <w:tc>
          <w:tcPr>
            <w:tcW w:w="4786"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sz w:val="24"/>
              </w:rPr>
              <w:t xml:space="preserve"> 旨在深入贯彻党的十九大精神，落实《“健康中国2030”规划纲要》精神，推进健康中国的建设、改善妇幼健康服务、加强妇幼健康和计划生育服务能力建设。对我县推广生殖健康理念、科普“生殖健康”知识、促进生殖健康产业发展有重要的积极意义，也是我县探索面向基层群众的科学、权威、可及的生殖健康咨询服务模式的一项有力举措。</w:t>
            </w:r>
          </w:p>
        </w:tc>
      </w:tr>
      <w:tr>
        <w:tblPrEx>
          <w:tblCellMar>
            <w:top w:w="0" w:type="dxa"/>
            <w:left w:w="0" w:type="dxa"/>
            <w:bottom w:w="0" w:type="dxa"/>
            <w:right w:w="0" w:type="dxa"/>
          </w:tblCellMar>
        </w:tblPrEx>
        <w:trPr>
          <w:trHeight w:val="1042" w:hRule="atLeast"/>
          <w:jc w:val="center"/>
        </w:trPr>
        <w:tc>
          <w:tcPr>
            <w:tcW w:w="390" w:type="dxa"/>
            <w:vMerge w:val="restart"/>
            <w:tcBorders>
              <w:top w:val="single" w:color="000000" w:sz="4" w:space="0"/>
              <w:left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sz w:val="24"/>
              </w:rPr>
              <w:t>绩效指标完成情况</w:t>
            </w: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一级指标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二级指标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三级指标</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预期指标值(包含数字及文字描述)</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实际完成指标值(包含数字及文字描述)</w:t>
            </w:r>
          </w:p>
        </w:tc>
      </w:tr>
      <w:tr>
        <w:tblPrEx>
          <w:tblCellMar>
            <w:top w:w="0" w:type="dxa"/>
            <w:left w:w="0" w:type="dxa"/>
            <w:bottom w:w="0" w:type="dxa"/>
            <w:right w:w="0" w:type="dxa"/>
          </w:tblCellMar>
        </w:tblPrEx>
        <w:trPr>
          <w:trHeight w:val="953" w:hRule="atLeast"/>
          <w:jc w:val="center"/>
        </w:trPr>
        <w:tc>
          <w:tcPr>
            <w:tcW w:w="390" w:type="dxa"/>
            <w:vMerge w:val="continue"/>
            <w:tcBorders>
              <w:left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4"/>
              </w:rPr>
            </w:pP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项目完成指标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color w:val="000000"/>
                <w:kern w:val="2"/>
                <w:sz w:val="24"/>
                <w:szCs w:val="24"/>
                <w:lang w:val="en-US" w:eastAsia="zh-CN" w:bidi="ar-SA"/>
              </w:rPr>
            </w:pPr>
            <w:r>
              <w:rPr>
                <w:rFonts w:hint="eastAsia" w:ascii="宋体" w:hAnsi="宋体" w:cs="宋体"/>
                <w:color w:val="000000"/>
                <w:sz w:val="24"/>
              </w:rPr>
              <w:t>数量指标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color w:val="000000"/>
                <w:kern w:val="2"/>
                <w:sz w:val="24"/>
                <w:szCs w:val="24"/>
                <w:lang w:val="en-US" w:eastAsia="zh-CN" w:bidi="ar-SA"/>
              </w:rPr>
            </w:pPr>
            <w:r>
              <w:rPr>
                <w:rFonts w:hint="eastAsia" w:ascii="宋体" w:hAnsi="宋体" w:cs="宋体"/>
                <w:color w:val="000000"/>
                <w:sz w:val="24"/>
              </w:rPr>
              <w:t>免费婚检人数</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2"/>
                <w:sz w:val="20"/>
                <w:szCs w:val="20"/>
                <w:u w:val="none"/>
                <w:lang w:val="en-US" w:eastAsia="zh-CN" w:bidi="ar-SA"/>
              </w:rPr>
            </w:pPr>
            <w:r>
              <w:rPr>
                <w:rFonts w:hint="eastAsia" w:ascii="宋体" w:hAnsi="宋体" w:eastAsia="宋体" w:cs="宋体"/>
                <w:i w:val="0"/>
                <w:color w:val="000000"/>
                <w:kern w:val="0"/>
                <w:sz w:val="20"/>
                <w:szCs w:val="20"/>
                <w:u w:val="none"/>
                <w:lang w:val="en-US" w:eastAsia="zh-CN" w:bidi="ar"/>
              </w:rPr>
              <w:t>≧3000对</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2"/>
                <w:sz w:val="20"/>
                <w:szCs w:val="20"/>
                <w:u w:val="none"/>
                <w:lang w:val="en-US" w:eastAsia="zh-CN" w:bidi="ar-SA"/>
              </w:rPr>
            </w:pPr>
            <w:r>
              <w:rPr>
                <w:rFonts w:hint="eastAsia" w:ascii="宋体" w:hAnsi="宋体" w:eastAsia="宋体" w:cs="宋体"/>
                <w:i w:val="0"/>
                <w:color w:val="000000"/>
                <w:kern w:val="0"/>
                <w:sz w:val="20"/>
                <w:szCs w:val="20"/>
                <w:u w:val="none"/>
                <w:lang w:val="en-US" w:eastAsia="zh-CN" w:bidi="ar"/>
              </w:rPr>
              <w:t>≧3000对</w:t>
            </w:r>
          </w:p>
        </w:tc>
      </w:tr>
      <w:tr>
        <w:tblPrEx>
          <w:tblCellMar>
            <w:top w:w="0" w:type="dxa"/>
            <w:left w:w="0" w:type="dxa"/>
            <w:bottom w:w="0" w:type="dxa"/>
            <w:right w:w="0" w:type="dxa"/>
          </w:tblCellMar>
        </w:tblPrEx>
        <w:trPr>
          <w:trHeight w:val="1297" w:hRule="atLeast"/>
          <w:jc w:val="center"/>
        </w:trPr>
        <w:tc>
          <w:tcPr>
            <w:tcW w:w="390" w:type="dxa"/>
            <w:vMerge w:val="continue"/>
            <w:tcBorders>
              <w:left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4"/>
              </w:rPr>
            </w:pP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项目完成指标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color w:val="000000"/>
                <w:kern w:val="2"/>
                <w:sz w:val="24"/>
                <w:szCs w:val="24"/>
                <w:lang w:val="en-US" w:eastAsia="zh-CN" w:bidi="ar-SA"/>
              </w:rPr>
            </w:pPr>
            <w:r>
              <w:rPr>
                <w:rFonts w:hint="eastAsia" w:ascii="宋体" w:hAnsi="宋体" w:cs="宋体"/>
                <w:color w:val="000000"/>
                <w:sz w:val="24"/>
                <w:lang w:eastAsia="zh-CN"/>
              </w:rPr>
              <w:t>质</w:t>
            </w:r>
            <w:r>
              <w:rPr>
                <w:rFonts w:hint="eastAsia" w:ascii="宋体" w:hAnsi="宋体" w:cs="宋体"/>
                <w:color w:val="000000"/>
                <w:sz w:val="24"/>
              </w:rPr>
              <w:t>量指标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color w:val="000000"/>
                <w:kern w:val="2"/>
                <w:sz w:val="24"/>
                <w:szCs w:val="24"/>
                <w:lang w:val="en-US" w:eastAsia="zh-CN" w:bidi="ar-SA"/>
              </w:rPr>
            </w:pPr>
            <w:r>
              <w:rPr>
                <w:rFonts w:hint="eastAsia" w:ascii="宋体" w:hAnsi="宋体" w:cs="宋体"/>
                <w:color w:val="000000"/>
                <w:sz w:val="24"/>
              </w:rPr>
              <w:t>孕产妇系统管理率</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2"/>
                <w:sz w:val="20"/>
                <w:szCs w:val="20"/>
                <w:u w:val="none"/>
                <w:lang w:val="en-US" w:eastAsia="zh-CN" w:bidi="ar-SA"/>
              </w:rPr>
            </w:pPr>
            <w:r>
              <w:rPr>
                <w:rFonts w:hint="eastAsia" w:ascii="宋体" w:hAnsi="宋体" w:eastAsia="宋体" w:cs="宋体"/>
                <w:i w:val="0"/>
                <w:color w:val="000000"/>
                <w:kern w:val="0"/>
                <w:sz w:val="20"/>
                <w:szCs w:val="20"/>
                <w:u w:val="none"/>
                <w:lang w:val="en-US" w:eastAsia="zh-CN" w:bidi="ar"/>
              </w:rPr>
              <w:t>≧93%</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2"/>
                <w:sz w:val="20"/>
                <w:szCs w:val="20"/>
                <w:u w:val="none"/>
                <w:lang w:val="en-US" w:eastAsia="zh-CN" w:bidi="ar-SA"/>
              </w:rPr>
            </w:pPr>
            <w:r>
              <w:rPr>
                <w:rFonts w:hint="eastAsia" w:ascii="宋体" w:hAnsi="宋体" w:eastAsia="宋体" w:cs="宋体"/>
                <w:i w:val="0"/>
                <w:color w:val="000000"/>
                <w:kern w:val="0"/>
                <w:sz w:val="20"/>
                <w:szCs w:val="20"/>
                <w:u w:val="none"/>
                <w:lang w:val="en-US" w:eastAsia="zh-CN" w:bidi="ar"/>
              </w:rPr>
              <w:t>≧93%</w:t>
            </w:r>
          </w:p>
        </w:tc>
      </w:tr>
      <w:tr>
        <w:tblPrEx>
          <w:tblCellMar>
            <w:top w:w="0" w:type="dxa"/>
            <w:left w:w="0" w:type="dxa"/>
            <w:bottom w:w="0" w:type="dxa"/>
            <w:right w:w="0" w:type="dxa"/>
          </w:tblCellMar>
        </w:tblPrEx>
        <w:trPr>
          <w:trHeight w:val="1042" w:hRule="atLeast"/>
          <w:jc w:val="center"/>
        </w:trPr>
        <w:tc>
          <w:tcPr>
            <w:tcW w:w="390" w:type="dxa"/>
            <w:vMerge w:val="continue"/>
            <w:tcBorders>
              <w:left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4"/>
              </w:rPr>
            </w:pP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项目完成指标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color w:val="000000"/>
                <w:kern w:val="2"/>
                <w:sz w:val="24"/>
                <w:szCs w:val="24"/>
                <w:lang w:val="en-US" w:eastAsia="zh-CN" w:bidi="ar-SA"/>
              </w:rPr>
            </w:pPr>
            <w:r>
              <w:rPr>
                <w:rFonts w:hint="eastAsia" w:ascii="宋体" w:hAnsi="宋体" w:cs="宋体"/>
                <w:color w:val="000000"/>
                <w:sz w:val="24"/>
                <w:lang w:eastAsia="zh-CN"/>
              </w:rPr>
              <w:t>成本</w:t>
            </w:r>
            <w:r>
              <w:rPr>
                <w:rFonts w:hint="eastAsia" w:ascii="宋体" w:hAnsi="宋体" w:cs="宋体"/>
                <w:color w:val="000000"/>
                <w:sz w:val="24"/>
              </w:rPr>
              <w:t>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color w:val="000000"/>
                <w:kern w:val="2"/>
                <w:sz w:val="24"/>
                <w:szCs w:val="24"/>
                <w:lang w:val="en-US" w:eastAsia="zh-CN" w:bidi="ar-SA"/>
              </w:rPr>
            </w:pPr>
            <w:r>
              <w:rPr>
                <w:rFonts w:hint="eastAsia" w:ascii="宋体" w:hAnsi="宋体" w:cs="宋体"/>
                <w:color w:val="000000"/>
                <w:sz w:val="24"/>
              </w:rPr>
              <w:t>费用不超过</w:t>
            </w:r>
            <w:r>
              <w:rPr>
                <w:rFonts w:hint="eastAsia" w:ascii="宋体" w:hAnsi="宋体" w:cs="宋体"/>
                <w:color w:val="000000"/>
                <w:sz w:val="24"/>
                <w:lang w:val="en-US" w:eastAsia="zh-CN"/>
              </w:rPr>
              <w:t>7</w:t>
            </w:r>
            <w:r>
              <w:rPr>
                <w:rFonts w:hint="eastAsia" w:ascii="宋体" w:hAnsi="宋体" w:cs="宋体"/>
                <w:color w:val="000000"/>
                <w:sz w:val="24"/>
              </w:rPr>
              <w:t>万</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color w:val="000000"/>
                <w:kern w:val="2"/>
                <w:sz w:val="24"/>
                <w:szCs w:val="24"/>
                <w:lang w:val="en-US" w:eastAsia="zh-CN" w:bidi="ar-SA"/>
              </w:rPr>
            </w:pPr>
            <w:r>
              <w:rPr>
                <w:rFonts w:hint="eastAsia" w:ascii="宋体" w:hAnsi="宋体" w:cs="宋体"/>
                <w:color w:val="000000"/>
                <w:sz w:val="24"/>
              </w:rPr>
              <w:t>≤</w:t>
            </w:r>
            <w:r>
              <w:rPr>
                <w:rFonts w:hint="eastAsia" w:ascii="宋体" w:hAnsi="宋体" w:cs="宋体"/>
                <w:color w:val="000000"/>
                <w:sz w:val="24"/>
                <w:lang w:val="en-US" w:eastAsia="zh-CN"/>
              </w:rPr>
              <w:t>7</w:t>
            </w:r>
            <w:r>
              <w:rPr>
                <w:rFonts w:hint="eastAsia" w:ascii="宋体" w:hAnsi="宋体" w:cs="宋体"/>
                <w:color w:val="000000"/>
                <w:sz w:val="24"/>
              </w:rPr>
              <w:t>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color w:val="000000"/>
                <w:kern w:val="2"/>
                <w:sz w:val="24"/>
                <w:szCs w:val="24"/>
                <w:lang w:val="en-US" w:eastAsia="zh-CN" w:bidi="ar-SA"/>
              </w:rPr>
            </w:pPr>
            <w:r>
              <w:rPr>
                <w:rFonts w:hint="eastAsia" w:ascii="宋体" w:hAnsi="宋体" w:cs="宋体"/>
                <w:color w:val="000000"/>
                <w:sz w:val="24"/>
              </w:rPr>
              <w:t>≤</w:t>
            </w:r>
            <w:r>
              <w:rPr>
                <w:rFonts w:hint="eastAsia" w:ascii="宋体" w:hAnsi="宋体" w:cs="宋体"/>
                <w:color w:val="000000"/>
                <w:sz w:val="24"/>
                <w:lang w:val="en-US" w:eastAsia="zh-CN"/>
              </w:rPr>
              <w:t>7</w:t>
            </w:r>
            <w:r>
              <w:rPr>
                <w:rFonts w:hint="eastAsia" w:ascii="宋体" w:hAnsi="宋体" w:cs="宋体"/>
                <w:color w:val="000000"/>
                <w:sz w:val="24"/>
              </w:rPr>
              <w:t>万</w:t>
            </w:r>
          </w:p>
        </w:tc>
      </w:tr>
      <w:tr>
        <w:tblPrEx>
          <w:tblCellMar>
            <w:top w:w="0" w:type="dxa"/>
            <w:left w:w="0" w:type="dxa"/>
            <w:bottom w:w="0" w:type="dxa"/>
            <w:right w:w="0" w:type="dxa"/>
          </w:tblCellMar>
        </w:tblPrEx>
        <w:trPr>
          <w:trHeight w:val="1042" w:hRule="atLeast"/>
          <w:jc w:val="center"/>
        </w:trPr>
        <w:tc>
          <w:tcPr>
            <w:tcW w:w="390" w:type="dxa"/>
            <w:vMerge w:val="continue"/>
            <w:tcBorders>
              <w:left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4"/>
              </w:rPr>
            </w:pP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效益指标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cs="宋体"/>
                <w:color w:val="000000"/>
                <w:sz w:val="24"/>
              </w:rPr>
            </w:pPr>
            <w:r>
              <w:rPr>
                <w:rFonts w:hint="eastAsia" w:ascii="宋体" w:hAnsi="宋体" w:cs="宋体"/>
                <w:color w:val="000000"/>
                <w:sz w:val="24"/>
              </w:rPr>
              <w:t>经济效益</w:t>
            </w:r>
          </w:p>
          <w:p>
            <w:pPr>
              <w:widowControl/>
              <w:jc w:val="center"/>
              <w:textAlignment w:val="center"/>
              <w:rPr>
                <w:rFonts w:ascii="宋体" w:hAnsi="宋体" w:eastAsia="宋体" w:cs="宋体"/>
                <w:color w:val="000000"/>
                <w:kern w:val="2"/>
                <w:sz w:val="24"/>
                <w:szCs w:val="24"/>
                <w:lang w:val="en-US" w:eastAsia="zh-CN" w:bidi="ar-SA"/>
              </w:rPr>
            </w:pPr>
            <w:r>
              <w:rPr>
                <w:rFonts w:hint="eastAsia" w:ascii="宋体" w:hAnsi="宋体" w:cs="宋体"/>
                <w:color w:val="000000"/>
                <w:sz w:val="24"/>
              </w:rPr>
              <w:t>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color w:val="000000"/>
                <w:kern w:val="2"/>
                <w:sz w:val="24"/>
                <w:szCs w:val="24"/>
                <w:lang w:val="en-US" w:eastAsia="zh-CN" w:bidi="ar-SA"/>
              </w:rPr>
            </w:pPr>
            <w:r>
              <w:rPr>
                <w:rFonts w:hint="eastAsia" w:ascii="宋体" w:hAnsi="宋体" w:cs="宋体"/>
                <w:color w:val="000000"/>
                <w:sz w:val="24"/>
              </w:rPr>
              <w:t>努力维持较低的新生儿患病率，减轻这类家庭治病压力，每年这类人群医药费较往年相比</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default" w:ascii="宋体" w:hAnsi="宋体" w:eastAsia="宋体" w:cs="宋体"/>
                <w:color w:val="000000"/>
                <w:kern w:val="2"/>
                <w:sz w:val="24"/>
                <w:szCs w:val="24"/>
                <w:lang w:val="en-US" w:eastAsia="zh-CN" w:bidi="ar-SA"/>
              </w:rPr>
            </w:pPr>
            <w:r>
              <w:rPr>
                <w:rFonts w:hint="eastAsia" w:ascii="宋体" w:hAnsi="宋体" w:cs="宋体"/>
                <w:color w:val="000000"/>
                <w:sz w:val="24"/>
                <w:lang w:val="en-US" w:eastAsia="zh-CN"/>
              </w:rPr>
              <w:t>下降5%</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color w:val="000000"/>
                <w:kern w:val="2"/>
                <w:sz w:val="24"/>
                <w:szCs w:val="24"/>
                <w:lang w:val="en-US" w:eastAsia="zh-CN" w:bidi="ar-SA"/>
              </w:rPr>
            </w:pPr>
            <w:r>
              <w:rPr>
                <w:rFonts w:hint="eastAsia" w:ascii="宋体" w:hAnsi="宋体" w:cs="宋体"/>
                <w:color w:val="000000"/>
                <w:sz w:val="24"/>
                <w:lang w:val="en-US" w:eastAsia="zh-CN"/>
              </w:rPr>
              <w:t>下降5%</w:t>
            </w:r>
          </w:p>
        </w:tc>
      </w:tr>
      <w:tr>
        <w:tblPrEx>
          <w:tblCellMar>
            <w:top w:w="0" w:type="dxa"/>
            <w:left w:w="0" w:type="dxa"/>
            <w:bottom w:w="0" w:type="dxa"/>
            <w:right w:w="0" w:type="dxa"/>
          </w:tblCellMar>
        </w:tblPrEx>
        <w:trPr>
          <w:trHeight w:val="1050" w:hRule="atLeast"/>
          <w:jc w:val="center"/>
        </w:trPr>
        <w:tc>
          <w:tcPr>
            <w:tcW w:w="390" w:type="dxa"/>
            <w:vMerge w:val="continue"/>
            <w:tcBorders>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4"/>
              </w:rPr>
            </w:pP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满意度指标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cs="宋体"/>
                <w:color w:val="000000"/>
                <w:sz w:val="24"/>
              </w:rPr>
            </w:pPr>
            <w:r>
              <w:rPr>
                <w:rFonts w:hint="eastAsia" w:ascii="宋体" w:hAnsi="宋体" w:cs="宋体"/>
                <w:color w:val="000000"/>
                <w:sz w:val="24"/>
              </w:rPr>
              <w:t>服务对象</w:t>
            </w:r>
          </w:p>
          <w:p>
            <w:pPr>
              <w:widowControl/>
              <w:jc w:val="center"/>
              <w:textAlignment w:val="center"/>
              <w:rPr>
                <w:rFonts w:ascii="宋体" w:hAnsi="宋体" w:eastAsia="宋体" w:cs="宋体"/>
                <w:color w:val="000000"/>
                <w:kern w:val="2"/>
                <w:sz w:val="24"/>
                <w:szCs w:val="24"/>
                <w:lang w:val="en-US" w:eastAsia="zh-CN" w:bidi="ar-SA"/>
              </w:rPr>
            </w:pPr>
            <w:r>
              <w:rPr>
                <w:rFonts w:hint="eastAsia" w:ascii="宋体" w:hAnsi="宋体" w:cs="宋体"/>
                <w:color w:val="000000"/>
                <w:sz w:val="24"/>
              </w:rPr>
              <w:t>满意度指标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color w:val="000000"/>
                <w:kern w:val="2"/>
                <w:sz w:val="24"/>
                <w:szCs w:val="24"/>
                <w:lang w:val="en-US" w:eastAsia="zh-CN" w:bidi="ar-SA"/>
              </w:rPr>
            </w:pPr>
            <w:r>
              <w:rPr>
                <w:rFonts w:hint="eastAsia" w:ascii="宋体" w:hAnsi="宋体" w:cs="宋体"/>
                <w:color w:val="000000"/>
                <w:sz w:val="24"/>
              </w:rPr>
              <w:t>育龄夫妻满意度调查</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color w:val="000000"/>
                <w:kern w:val="2"/>
                <w:sz w:val="24"/>
                <w:szCs w:val="24"/>
                <w:lang w:val="en-US" w:eastAsia="zh-CN" w:bidi="ar-SA"/>
              </w:rPr>
            </w:pPr>
            <w:r>
              <w:rPr>
                <w:rFonts w:hint="eastAsia" w:ascii="宋体" w:hAnsi="宋体" w:cs="宋体"/>
                <w:color w:val="000000"/>
                <w:sz w:val="24"/>
              </w:rPr>
              <w:t>≥</w:t>
            </w:r>
            <w:r>
              <w:rPr>
                <w:rFonts w:hint="eastAsia" w:ascii="宋体" w:hAnsi="宋体" w:cs="宋体"/>
                <w:color w:val="000000"/>
                <w:sz w:val="24"/>
                <w:lang w:val="en-US" w:eastAsia="zh-CN"/>
              </w:rPr>
              <w:t>9</w:t>
            </w:r>
            <w:r>
              <w:rPr>
                <w:rFonts w:hint="eastAsia" w:ascii="宋体" w:hAnsi="宋体" w:cs="宋体"/>
                <w:color w:val="000000"/>
                <w:sz w:val="24"/>
              </w:rPr>
              <w:t>0%</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color w:val="000000"/>
                <w:kern w:val="2"/>
                <w:sz w:val="24"/>
                <w:szCs w:val="24"/>
                <w:lang w:val="en-US" w:eastAsia="zh-CN" w:bidi="ar-SA"/>
              </w:rPr>
            </w:pPr>
            <w:r>
              <w:rPr>
                <w:rFonts w:hint="eastAsia" w:ascii="宋体" w:hAnsi="宋体" w:cs="宋体"/>
                <w:color w:val="000000"/>
                <w:sz w:val="24"/>
              </w:rPr>
              <w:t>≥</w:t>
            </w:r>
            <w:r>
              <w:rPr>
                <w:rFonts w:hint="eastAsia" w:ascii="宋体" w:hAnsi="宋体" w:cs="宋体"/>
                <w:color w:val="000000"/>
                <w:sz w:val="24"/>
                <w:lang w:val="en-US" w:eastAsia="zh-CN"/>
              </w:rPr>
              <w:t>9</w:t>
            </w:r>
            <w:r>
              <w:rPr>
                <w:rFonts w:hint="eastAsia" w:ascii="宋体" w:hAnsi="宋体" w:cs="宋体"/>
                <w:color w:val="000000"/>
                <w:sz w:val="24"/>
              </w:rPr>
              <w:t>0%</w:t>
            </w:r>
          </w:p>
        </w:tc>
      </w:tr>
    </w:tbl>
    <w:p>
      <w:pPr>
        <w:numPr>
          <w:numId w:val="0"/>
        </w:numPr>
        <w:autoSpaceDE w:val="0"/>
        <w:autoSpaceDN w:val="0"/>
        <w:adjustRightInd w:val="0"/>
        <w:spacing w:line="600" w:lineRule="exact"/>
        <w:jc w:val="left"/>
        <w:outlineLvl w:val="2"/>
        <w:rPr>
          <w:rFonts w:hint="eastAsia" w:ascii="仿宋" w:hAnsi="仿宋" w:eastAsia="仿宋"/>
          <w:b w:val="0"/>
          <w:bCs/>
          <w:color w:val="000000"/>
          <w:sz w:val="32"/>
          <w:szCs w:val="32"/>
          <w:lang w:eastAsia="zh-CN"/>
        </w:rPr>
      </w:pPr>
    </w:p>
    <w:p>
      <w:pPr>
        <w:numPr>
          <w:numId w:val="0"/>
        </w:numPr>
        <w:autoSpaceDE w:val="0"/>
        <w:autoSpaceDN w:val="0"/>
        <w:adjustRightInd w:val="0"/>
        <w:spacing w:line="600" w:lineRule="exact"/>
        <w:jc w:val="left"/>
        <w:outlineLvl w:val="2"/>
        <w:rPr>
          <w:rFonts w:hint="eastAsia" w:ascii="仿宋" w:hAnsi="仿宋" w:eastAsia="仿宋"/>
          <w:b w:val="0"/>
          <w:bCs/>
          <w:color w:val="000000"/>
          <w:sz w:val="32"/>
          <w:szCs w:val="32"/>
          <w:lang w:eastAsia="zh-CN"/>
        </w:rPr>
      </w:pPr>
    </w:p>
    <w:p>
      <w:pPr>
        <w:numPr>
          <w:numId w:val="0"/>
        </w:numPr>
        <w:autoSpaceDE w:val="0"/>
        <w:autoSpaceDN w:val="0"/>
        <w:adjustRightInd w:val="0"/>
        <w:spacing w:line="600" w:lineRule="exact"/>
        <w:jc w:val="left"/>
        <w:outlineLvl w:val="2"/>
        <w:rPr>
          <w:rFonts w:hint="eastAsia" w:ascii="仿宋" w:hAnsi="仿宋" w:eastAsia="仿宋"/>
          <w:b w:val="0"/>
          <w:bCs/>
          <w:color w:val="000000"/>
          <w:sz w:val="32"/>
          <w:szCs w:val="32"/>
          <w:lang w:eastAsia="zh-CN"/>
        </w:rPr>
      </w:pPr>
    </w:p>
    <w:p>
      <w:pPr>
        <w:numPr>
          <w:ilvl w:val="0"/>
          <w:numId w:val="5"/>
        </w:numPr>
        <w:spacing w:line="600" w:lineRule="exact"/>
        <w:ind w:firstLine="660" w:firstLineChars="150"/>
        <w:jc w:val="center"/>
        <w:outlineLvl w:val="0"/>
        <w:rPr>
          <w:rStyle w:val="24"/>
          <w:rFonts w:ascii="黑体" w:hAnsi="黑体" w:eastAsia="黑体"/>
          <w:b w:val="0"/>
        </w:rPr>
      </w:pPr>
      <w:bookmarkStart w:id="51" w:name="_Toc15396613"/>
      <w:bookmarkStart w:id="52" w:name="_Toc15377225"/>
      <w:r>
        <w:rPr>
          <w:rFonts w:hint="eastAsia" w:ascii="黑体" w:hAnsi="黑体" w:eastAsia="黑体"/>
          <w:color w:val="000000"/>
          <w:sz w:val="44"/>
          <w:szCs w:val="44"/>
        </w:rPr>
        <w:t>名</w:t>
      </w:r>
      <w:r>
        <w:rPr>
          <w:rStyle w:val="24"/>
          <w:rFonts w:hint="eastAsia" w:ascii="黑体" w:hAnsi="黑体" w:eastAsia="黑体"/>
          <w:b w:val="0"/>
        </w:rPr>
        <w:t>词解释</w:t>
      </w:r>
      <w:bookmarkEnd w:id="51"/>
      <w:bookmarkEnd w:id="52"/>
    </w:p>
    <w:p>
      <w:pPr>
        <w:spacing w:line="600" w:lineRule="exact"/>
        <w:jc w:val="left"/>
        <w:rPr>
          <w:rFonts w:ascii="宋体"/>
          <w:b/>
          <w:color w:val="000000"/>
          <w:sz w:val="44"/>
          <w:szCs w:val="44"/>
        </w:rPr>
      </w:pPr>
    </w:p>
    <w:p>
      <w:pPr>
        <w:pStyle w:val="22"/>
        <w:spacing w:line="560" w:lineRule="exact"/>
        <w:ind w:firstLine="640" w:firstLineChars="200"/>
        <w:rPr>
          <w:rFonts w:ascii="仿宋_GB2312" w:eastAsia="仿宋_GB2312"/>
          <w:sz w:val="32"/>
          <w:szCs w:val="32"/>
        </w:rPr>
      </w:pPr>
      <w:r>
        <w:rPr>
          <w:rFonts w:ascii="仿宋_GB2312" w:eastAsia="仿宋_GB2312"/>
          <w:sz w:val="32"/>
          <w:szCs w:val="32"/>
        </w:rPr>
        <w:t>1.</w:t>
      </w:r>
      <w:r>
        <w:rPr>
          <w:rFonts w:hint="eastAsia" w:ascii="仿宋_GB2312" w:eastAsia="仿宋_GB2312"/>
          <w:sz w:val="32"/>
          <w:szCs w:val="32"/>
        </w:rPr>
        <w:t>财政拨款收入：指单位从同级财政部门取得的财政预算资金。</w:t>
      </w:r>
    </w:p>
    <w:p>
      <w:pPr>
        <w:pStyle w:val="22"/>
        <w:spacing w:line="560" w:lineRule="exact"/>
        <w:ind w:firstLine="640" w:firstLineChars="200"/>
        <w:rPr>
          <w:rFonts w:ascii="仿宋_GB2312" w:eastAsia="仿宋_GB2312"/>
          <w:sz w:val="32"/>
          <w:szCs w:val="32"/>
        </w:rPr>
      </w:pPr>
      <w:r>
        <w:rPr>
          <w:rFonts w:ascii="仿宋_GB2312" w:eastAsia="仿宋_GB2312"/>
          <w:sz w:val="32"/>
          <w:szCs w:val="32"/>
        </w:rPr>
        <w:t>2.</w:t>
      </w:r>
      <w:r>
        <w:rPr>
          <w:rFonts w:hint="eastAsia" w:ascii="仿宋_GB2312" w:eastAsia="仿宋_GB2312"/>
          <w:sz w:val="32"/>
          <w:szCs w:val="32"/>
        </w:rPr>
        <w:t>事业收入：指事业单位开展专业业务活动及辅助活动取得的收入。如…（二级预算单位事业收入情况）等。</w:t>
      </w:r>
    </w:p>
    <w:p>
      <w:pPr>
        <w:pStyle w:val="22"/>
        <w:spacing w:line="560" w:lineRule="exact"/>
        <w:ind w:firstLine="640" w:firstLineChars="200"/>
        <w:rPr>
          <w:rFonts w:ascii="仿宋_GB2312" w:eastAsia="仿宋_GB2312"/>
          <w:sz w:val="32"/>
          <w:szCs w:val="32"/>
        </w:rPr>
      </w:pPr>
      <w:r>
        <w:rPr>
          <w:rFonts w:ascii="仿宋_GB2312" w:eastAsia="仿宋_GB2312"/>
          <w:sz w:val="32"/>
          <w:szCs w:val="32"/>
        </w:rPr>
        <w:t>3.</w:t>
      </w:r>
      <w:r>
        <w:rPr>
          <w:rFonts w:hint="eastAsia" w:ascii="仿宋_GB2312" w:eastAsia="仿宋_GB2312"/>
          <w:sz w:val="32"/>
          <w:szCs w:val="32"/>
        </w:rPr>
        <w:t>经营收入：指事业单位在专业业务活动及其辅助活动之外开展非独立核算经营活动取得的收入。如…（二级预算单位经营收入情况）等。</w:t>
      </w:r>
    </w:p>
    <w:p>
      <w:pPr>
        <w:pStyle w:val="22"/>
        <w:spacing w:line="560" w:lineRule="exact"/>
        <w:ind w:firstLine="640" w:firstLineChars="200"/>
        <w:rPr>
          <w:rFonts w:ascii="仿宋_GB2312" w:eastAsia="仿宋_GB2312"/>
          <w:sz w:val="32"/>
          <w:szCs w:val="32"/>
        </w:rPr>
      </w:pPr>
      <w:r>
        <w:rPr>
          <w:rFonts w:ascii="仿宋_GB2312" w:eastAsia="仿宋_GB2312"/>
          <w:sz w:val="32"/>
          <w:szCs w:val="32"/>
        </w:rPr>
        <w:t>4.</w:t>
      </w:r>
      <w:r>
        <w:rPr>
          <w:rFonts w:hint="eastAsia" w:ascii="仿宋_GB2312" w:eastAsia="仿宋_GB2312"/>
          <w:sz w:val="32"/>
          <w:szCs w:val="32"/>
        </w:rPr>
        <w:t>其他收入：指单位取得的除上述收入以外的各项收入。主要是…（收入类型）等。</w:t>
      </w:r>
      <w:r>
        <w:rPr>
          <w:rFonts w:ascii="仿宋_GB2312" w:eastAsia="仿宋_GB2312"/>
          <w:sz w:val="32"/>
          <w:szCs w:val="32"/>
        </w:rPr>
        <w:t xml:space="preserve"> </w:t>
      </w:r>
    </w:p>
    <w:p>
      <w:pPr>
        <w:pStyle w:val="22"/>
        <w:spacing w:line="560" w:lineRule="exact"/>
        <w:ind w:firstLine="640" w:firstLineChars="200"/>
        <w:rPr>
          <w:rFonts w:ascii="仿宋_GB2312" w:eastAsia="仿宋_GB2312"/>
          <w:sz w:val="32"/>
          <w:szCs w:val="32"/>
        </w:rPr>
      </w:pPr>
      <w:r>
        <w:rPr>
          <w:rFonts w:ascii="仿宋_GB2312" w:eastAsia="仿宋_GB2312"/>
          <w:sz w:val="32"/>
          <w:szCs w:val="32"/>
        </w:rPr>
        <w:t>5.</w:t>
      </w:r>
      <w:r>
        <w:rPr>
          <w:rFonts w:hint="eastAsia" w:ascii="仿宋_GB2312" w:eastAsia="仿宋_GB2312"/>
          <w:sz w:val="32"/>
          <w:szCs w:val="32"/>
        </w:rPr>
        <w:t>用事业基金弥补收支差额：指事业单位在当年的财政拨款收入、事业收入、经营收入、其他收入不足以安排当年支出的情况下，使用以前年度积累的事业基金（事业单位当年收支相抵后按国家规定提取、用于弥补以后年度收支差额的基金）弥补本年度收支缺口的资金。</w:t>
      </w:r>
      <w:r>
        <w:rPr>
          <w:rFonts w:ascii="仿宋_GB2312" w:eastAsia="仿宋_GB2312"/>
          <w:sz w:val="32"/>
          <w:szCs w:val="32"/>
        </w:rPr>
        <w:t xml:space="preserve"> </w:t>
      </w:r>
    </w:p>
    <w:p>
      <w:pPr>
        <w:pStyle w:val="22"/>
        <w:spacing w:line="560" w:lineRule="exact"/>
        <w:ind w:firstLine="640" w:firstLineChars="200"/>
        <w:rPr>
          <w:rFonts w:ascii="仿宋_GB2312" w:eastAsia="仿宋_GB2312"/>
          <w:sz w:val="32"/>
          <w:szCs w:val="32"/>
        </w:rPr>
      </w:pPr>
      <w:r>
        <w:rPr>
          <w:rFonts w:ascii="仿宋_GB2312" w:eastAsia="仿宋_GB2312"/>
          <w:sz w:val="32"/>
          <w:szCs w:val="32"/>
        </w:rPr>
        <w:t>6.</w:t>
      </w:r>
      <w:r>
        <w:rPr>
          <w:rFonts w:hint="eastAsia" w:ascii="仿宋_GB2312" w:eastAsia="仿宋_GB2312"/>
          <w:sz w:val="32"/>
          <w:szCs w:val="32"/>
        </w:rPr>
        <w:t>年初结转和结余：指以前年度尚未完成、结转到本年按有关规定继续使用的资金。</w:t>
      </w:r>
      <w:r>
        <w:rPr>
          <w:rFonts w:ascii="仿宋_GB2312" w:eastAsia="仿宋_GB2312"/>
          <w:sz w:val="32"/>
          <w:szCs w:val="32"/>
        </w:rPr>
        <w:t xml:space="preserve"> </w:t>
      </w:r>
    </w:p>
    <w:p>
      <w:pPr>
        <w:pStyle w:val="22"/>
        <w:spacing w:line="560" w:lineRule="exact"/>
        <w:ind w:firstLine="640" w:firstLineChars="200"/>
        <w:rPr>
          <w:rFonts w:ascii="仿宋_GB2312" w:eastAsia="仿宋_GB2312"/>
          <w:sz w:val="32"/>
          <w:szCs w:val="32"/>
        </w:rPr>
      </w:pPr>
      <w:r>
        <w:rPr>
          <w:rFonts w:ascii="仿宋_GB2312" w:eastAsia="仿宋_GB2312"/>
          <w:sz w:val="32"/>
          <w:szCs w:val="32"/>
        </w:rPr>
        <w:t>7.</w:t>
      </w:r>
      <w:r>
        <w:rPr>
          <w:rFonts w:hint="eastAsia" w:ascii="仿宋_GB2312" w:eastAsia="仿宋_GB2312"/>
          <w:sz w:val="32"/>
          <w:szCs w:val="32"/>
        </w:rPr>
        <w:t>结余分配：指事业单位按照事业单位会计制度的规定从非财政补助结余中分配的事业基金和职工福利基金等。</w:t>
      </w:r>
    </w:p>
    <w:p>
      <w:pPr>
        <w:pStyle w:val="22"/>
        <w:spacing w:line="560" w:lineRule="exact"/>
        <w:ind w:firstLine="640" w:firstLineChars="200"/>
        <w:rPr>
          <w:rFonts w:ascii="仿宋_GB2312" w:eastAsia="仿宋_GB2312"/>
          <w:sz w:val="32"/>
          <w:szCs w:val="32"/>
        </w:rPr>
      </w:pPr>
      <w:r>
        <w:rPr>
          <w:rFonts w:ascii="仿宋_GB2312" w:eastAsia="仿宋_GB2312"/>
          <w:sz w:val="32"/>
          <w:szCs w:val="32"/>
        </w:rPr>
        <w:t>8</w:t>
      </w:r>
      <w:r>
        <w:rPr>
          <w:rFonts w:hint="eastAsia" w:ascii="仿宋_GB2312" w:eastAsia="仿宋_GB2312"/>
          <w:sz w:val="32"/>
          <w:szCs w:val="32"/>
        </w:rPr>
        <w:t>、年末结转和结余：指单位按有关规定结转到下年或以后年度继续使用的资金。</w:t>
      </w:r>
    </w:p>
    <w:p>
      <w:pPr>
        <w:ind w:firstLine="640" w:firstLineChars="200"/>
        <w:rPr>
          <w:rFonts w:ascii="仿宋_GB2312" w:eastAsia="仿宋_GB2312"/>
          <w:color w:val="000000"/>
          <w:sz w:val="32"/>
          <w:szCs w:val="32"/>
        </w:rPr>
      </w:pPr>
      <w:r>
        <w:rPr>
          <w:rFonts w:ascii="仿宋_GB2312" w:eastAsia="仿宋_GB2312"/>
          <w:color w:val="000000"/>
          <w:sz w:val="32"/>
          <w:szCs w:val="32"/>
        </w:rPr>
        <w:t>9.</w:t>
      </w:r>
      <w:r>
        <w:rPr>
          <w:rFonts w:hint="eastAsia" w:ascii="仿宋_GB2312" w:eastAsia="仿宋_GB2312"/>
          <w:color w:val="000000"/>
          <w:sz w:val="32"/>
          <w:szCs w:val="32"/>
        </w:rPr>
        <w:t>一般公共服务（类）…（款）…（项）：指……。</w:t>
      </w:r>
    </w:p>
    <w:p>
      <w:pPr>
        <w:ind w:firstLine="640" w:firstLineChars="200"/>
        <w:rPr>
          <w:rFonts w:ascii="仿宋_GB2312" w:eastAsia="仿宋_GB2312"/>
          <w:color w:val="000000"/>
          <w:sz w:val="32"/>
          <w:szCs w:val="32"/>
        </w:rPr>
      </w:pPr>
      <w:r>
        <w:rPr>
          <w:rFonts w:ascii="仿宋_GB2312" w:eastAsia="仿宋_GB2312"/>
          <w:color w:val="000000"/>
          <w:sz w:val="32"/>
          <w:szCs w:val="32"/>
        </w:rPr>
        <w:t>10.</w:t>
      </w:r>
      <w:r>
        <w:rPr>
          <w:rFonts w:hint="eastAsia" w:ascii="仿宋_GB2312" w:eastAsia="仿宋_GB2312"/>
          <w:color w:val="000000"/>
          <w:sz w:val="32"/>
          <w:szCs w:val="32"/>
        </w:rPr>
        <w:t>外交（类）…（款）…（项）：指……。</w:t>
      </w:r>
    </w:p>
    <w:p>
      <w:pPr>
        <w:ind w:firstLine="640" w:firstLineChars="200"/>
        <w:rPr>
          <w:rFonts w:ascii="仿宋_GB2312" w:eastAsia="仿宋_GB2312"/>
          <w:color w:val="000000"/>
          <w:sz w:val="32"/>
          <w:szCs w:val="32"/>
        </w:rPr>
      </w:pPr>
      <w:r>
        <w:rPr>
          <w:rFonts w:ascii="仿宋_GB2312" w:eastAsia="仿宋_GB2312"/>
          <w:color w:val="000000"/>
          <w:sz w:val="32"/>
          <w:szCs w:val="32"/>
        </w:rPr>
        <w:t>11.</w:t>
      </w:r>
      <w:r>
        <w:rPr>
          <w:rFonts w:hint="eastAsia" w:ascii="仿宋_GB2312" w:eastAsia="仿宋_GB2312"/>
          <w:color w:val="000000"/>
          <w:sz w:val="32"/>
          <w:szCs w:val="32"/>
        </w:rPr>
        <w:t>公共安全（类）…（款）…（项）：指……。</w:t>
      </w:r>
    </w:p>
    <w:p>
      <w:pPr>
        <w:ind w:firstLine="640" w:firstLineChars="200"/>
        <w:rPr>
          <w:rFonts w:ascii="仿宋_GB2312" w:eastAsia="仿宋_GB2312"/>
          <w:color w:val="000000"/>
          <w:sz w:val="32"/>
          <w:szCs w:val="32"/>
        </w:rPr>
      </w:pPr>
      <w:r>
        <w:rPr>
          <w:rFonts w:ascii="仿宋_GB2312" w:eastAsia="仿宋_GB2312"/>
          <w:color w:val="000000"/>
          <w:sz w:val="32"/>
          <w:szCs w:val="32"/>
        </w:rPr>
        <w:t>12.</w:t>
      </w:r>
      <w:r>
        <w:rPr>
          <w:rFonts w:hint="eastAsia" w:ascii="仿宋_GB2312" w:eastAsia="仿宋_GB2312"/>
          <w:color w:val="000000"/>
          <w:sz w:val="32"/>
          <w:szCs w:val="32"/>
        </w:rPr>
        <w:t>教育（类）…（款）…（项）：指……。</w:t>
      </w:r>
    </w:p>
    <w:p>
      <w:pPr>
        <w:ind w:firstLine="640" w:firstLineChars="200"/>
        <w:rPr>
          <w:rFonts w:ascii="仿宋_GB2312" w:eastAsia="仿宋_GB2312"/>
          <w:color w:val="000000"/>
          <w:sz w:val="32"/>
          <w:szCs w:val="32"/>
        </w:rPr>
      </w:pPr>
      <w:r>
        <w:rPr>
          <w:rFonts w:ascii="仿宋_GB2312" w:eastAsia="仿宋_GB2312"/>
          <w:color w:val="000000"/>
          <w:sz w:val="32"/>
          <w:szCs w:val="32"/>
        </w:rPr>
        <w:t>13.</w:t>
      </w:r>
      <w:r>
        <w:rPr>
          <w:rFonts w:hint="eastAsia" w:ascii="仿宋_GB2312" w:eastAsia="仿宋_GB2312"/>
          <w:color w:val="000000"/>
          <w:sz w:val="32"/>
          <w:szCs w:val="32"/>
        </w:rPr>
        <w:t>科学技术（类）…（款）…（项）：指……。</w:t>
      </w:r>
    </w:p>
    <w:p>
      <w:pPr>
        <w:ind w:firstLine="640" w:firstLineChars="200"/>
        <w:rPr>
          <w:rFonts w:ascii="仿宋_GB2312" w:eastAsia="仿宋_GB2312"/>
          <w:color w:val="000000"/>
          <w:sz w:val="32"/>
          <w:szCs w:val="32"/>
        </w:rPr>
      </w:pPr>
      <w:r>
        <w:rPr>
          <w:rFonts w:ascii="仿宋_GB2312" w:eastAsia="仿宋_GB2312"/>
          <w:color w:val="000000"/>
          <w:sz w:val="32"/>
          <w:szCs w:val="32"/>
        </w:rPr>
        <w:t>14.</w:t>
      </w:r>
      <w:r>
        <w:rPr>
          <w:rFonts w:hint="eastAsia" w:ascii="仿宋_GB2312" w:eastAsia="仿宋_GB2312"/>
          <w:color w:val="000000"/>
          <w:sz w:val="32"/>
          <w:szCs w:val="32"/>
        </w:rPr>
        <w:t>文化体育与传媒（类）…（款）…（项）：指……。</w:t>
      </w:r>
    </w:p>
    <w:p>
      <w:pPr>
        <w:ind w:firstLine="640" w:firstLineChars="200"/>
        <w:rPr>
          <w:rFonts w:ascii="仿宋_GB2312" w:eastAsia="仿宋_GB2312"/>
          <w:color w:val="000000"/>
          <w:sz w:val="32"/>
          <w:szCs w:val="32"/>
        </w:rPr>
      </w:pPr>
      <w:r>
        <w:rPr>
          <w:rFonts w:ascii="仿宋_GB2312" w:eastAsia="仿宋_GB2312"/>
          <w:color w:val="000000"/>
          <w:sz w:val="32"/>
          <w:szCs w:val="32"/>
        </w:rPr>
        <w:t>15.</w:t>
      </w:r>
      <w:r>
        <w:rPr>
          <w:rFonts w:hint="eastAsia" w:ascii="仿宋_GB2312" w:eastAsia="仿宋_GB2312"/>
          <w:color w:val="000000"/>
          <w:sz w:val="32"/>
          <w:szCs w:val="32"/>
        </w:rPr>
        <w:t>社会保障和就业（类）…（款）…（项）：指……。</w:t>
      </w:r>
    </w:p>
    <w:p>
      <w:pPr>
        <w:ind w:firstLine="640" w:firstLineChars="200"/>
        <w:rPr>
          <w:rFonts w:ascii="仿宋_GB2312" w:eastAsia="仿宋_GB2312"/>
          <w:color w:val="000000"/>
          <w:sz w:val="32"/>
          <w:szCs w:val="32"/>
        </w:rPr>
      </w:pPr>
      <w:r>
        <w:rPr>
          <w:rFonts w:ascii="仿宋_GB2312" w:eastAsia="仿宋_GB2312"/>
          <w:color w:val="000000"/>
          <w:sz w:val="32"/>
          <w:szCs w:val="32"/>
        </w:rPr>
        <w:t>16.</w:t>
      </w:r>
      <w:r>
        <w:rPr>
          <w:rFonts w:hint="eastAsia" w:ascii="仿宋_GB2312" w:eastAsia="仿宋_GB2312"/>
          <w:color w:val="000000"/>
          <w:sz w:val="32"/>
          <w:szCs w:val="32"/>
        </w:rPr>
        <w:t>医疗卫生与计划生育（类）…（款）…（项）：指……。</w:t>
      </w:r>
    </w:p>
    <w:p>
      <w:pPr>
        <w:ind w:firstLine="640" w:firstLineChars="200"/>
        <w:rPr>
          <w:rFonts w:ascii="仿宋_GB2312" w:eastAsia="仿宋_GB2312"/>
          <w:color w:val="000000"/>
          <w:sz w:val="32"/>
          <w:szCs w:val="32"/>
        </w:rPr>
      </w:pPr>
      <w:r>
        <w:rPr>
          <w:rFonts w:ascii="仿宋_GB2312" w:eastAsia="仿宋_GB2312"/>
          <w:color w:val="000000"/>
          <w:sz w:val="32"/>
          <w:szCs w:val="32"/>
        </w:rPr>
        <w:t>17.</w:t>
      </w:r>
      <w:r>
        <w:rPr>
          <w:rFonts w:hint="eastAsia" w:ascii="仿宋_GB2312" w:eastAsia="仿宋_GB2312"/>
          <w:color w:val="000000"/>
          <w:sz w:val="32"/>
          <w:szCs w:val="32"/>
        </w:rPr>
        <w:t>节能环保（类）…（款）…（项）：指……。</w:t>
      </w:r>
    </w:p>
    <w:p>
      <w:pPr>
        <w:ind w:firstLine="640" w:firstLineChars="200"/>
        <w:rPr>
          <w:rFonts w:ascii="仿宋_GB2312" w:eastAsia="仿宋_GB2312"/>
          <w:color w:val="000000"/>
          <w:sz w:val="32"/>
          <w:szCs w:val="32"/>
        </w:rPr>
      </w:pPr>
      <w:r>
        <w:rPr>
          <w:rFonts w:ascii="仿宋_GB2312" w:eastAsia="仿宋_GB2312"/>
          <w:color w:val="000000"/>
          <w:sz w:val="32"/>
          <w:szCs w:val="32"/>
        </w:rPr>
        <w:t>18.</w:t>
      </w:r>
      <w:r>
        <w:rPr>
          <w:rFonts w:hint="eastAsia" w:ascii="仿宋_GB2312" w:eastAsia="仿宋_GB2312"/>
          <w:color w:val="000000"/>
          <w:sz w:val="32"/>
          <w:szCs w:val="32"/>
        </w:rPr>
        <w:t>城乡社区（类）…（款）…（项）：指……。</w:t>
      </w:r>
    </w:p>
    <w:p>
      <w:pPr>
        <w:ind w:firstLine="640" w:firstLineChars="200"/>
        <w:rPr>
          <w:rFonts w:ascii="仿宋_GB2312" w:eastAsia="仿宋_GB2312"/>
          <w:color w:val="000000"/>
          <w:sz w:val="32"/>
          <w:szCs w:val="32"/>
        </w:rPr>
      </w:pPr>
      <w:r>
        <w:rPr>
          <w:rFonts w:ascii="仿宋_GB2312" w:eastAsia="仿宋_GB2312"/>
          <w:color w:val="000000"/>
          <w:sz w:val="32"/>
          <w:szCs w:val="32"/>
        </w:rPr>
        <w:t>19.</w:t>
      </w:r>
      <w:r>
        <w:rPr>
          <w:rFonts w:hint="eastAsia" w:ascii="仿宋_GB2312" w:eastAsia="仿宋_GB2312"/>
          <w:color w:val="000000"/>
          <w:sz w:val="32"/>
          <w:szCs w:val="32"/>
        </w:rPr>
        <w:t>农林水（类）…（款）…（项）：指……。</w:t>
      </w:r>
    </w:p>
    <w:p>
      <w:pPr>
        <w:ind w:firstLine="640" w:firstLineChars="200"/>
        <w:rPr>
          <w:rFonts w:ascii="仿宋_GB2312" w:eastAsia="仿宋_GB2312"/>
          <w:color w:val="000000"/>
          <w:sz w:val="32"/>
          <w:szCs w:val="32"/>
        </w:rPr>
      </w:pPr>
      <w:r>
        <w:rPr>
          <w:rFonts w:ascii="仿宋_GB2312" w:eastAsia="仿宋_GB2312"/>
          <w:color w:val="000000"/>
          <w:sz w:val="32"/>
          <w:szCs w:val="32"/>
        </w:rPr>
        <w:t>20.</w:t>
      </w:r>
      <w:r>
        <w:rPr>
          <w:rFonts w:hint="eastAsia" w:ascii="仿宋_GB2312" w:eastAsia="仿宋_GB2312"/>
          <w:color w:val="000000"/>
          <w:sz w:val="32"/>
          <w:szCs w:val="32"/>
        </w:rPr>
        <w:t>交通运输（类）…（款）…（项）：指……。</w:t>
      </w:r>
    </w:p>
    <w:p>
      <w:pPr>
        <w:ind w:firstLine="640" w:firstLineChars="200"/>
        <w:rPr>
          <w:rFonts w:ascii="仿宋_GB2312" w:eastAsia="仿宋_GB2312"/>
          <w:color w:val="000000"/>
          <w:sz w:val="32"/>
          <w:szCs w:val="32"/>
        </w:rPr>
      </w:pPr>
      <w:r>
        <w:rPr>
          <w:rFonts w:ascii="仿宋_GB2312" w:eastAsia="仿宋_GB2312"/>
          <w:color w:val="000000"/>
          <w:sz w:val="32"/>
          <w:szCs w:val="32"/>
        </w:rPr>
        <w:t>21.</w:t>
      </w:r>
      <w:r>
        <w:rPr>
          <w:rFonts w:hint="eastAsia" w:ascii="仿宋_GB2312" w:eastAsia="仿宋_GB2312"/>
          <w:color w:val="000000"/>
          <w:sz w:val="32"/>
          <w:szCs w:val="32"/>
        </w:rPr>
        <w:t>资源勘探信息等（类）…（款）…（项）：指……。</w:t>
      </w:r>
    </w:p>
    <w:p>
      <w:pPr>
        <w:ind w:firstLine="640" w:firstLineChars="200"/>
        <w:rPr>
          <w:rFonts w:ascii="仿宋_GB2312" w:eastAsia="仿宋_GB2312"/>
          <w:color w:val="000000"/>
          <w:sz w:val="32"/>
          <w:szCs w:val="32"/>
        </w:rPr>
      </w:pPr>
      <w:r>
        <w:rPr>
          <w:rFonts w:ascii="仿宋_GB2312" w:eastAsia="仿宋_GB2312"/>
          <w:color w:val="000000"/>
          <w:sz w:val="32"/>
          <w:szCs w:val="32"/>
        </w:rPr>
        <w:t>22.</w:t>
      </w:r>
      <w:r>
        <w:rPr>
          <w:rFonts w:hint="eastAsia" w:ascii="仿宋_GB2312" w:eastAsia="仿宋_GB2312"/>
          <w:color w:val="000000"/>
          <w:sz w:val="32"/>
          <w:szCs w:val="32"/>
        </w:rPr>
        <w:t>商业服务业（类）…（款）…（项）：指……。</w:t>
      </w:r>
    </w:p>
    <w:p>
      <w:pPr>
        <w:ind w:firstLine="640" w:firstLineChars="200"/>
        <w:rPr>
          <w:rFonts w:ascii="仿宋_GB2312" w:eastAsia="仿宋_GB2312"/>
          <w:color w:val="000000"/>
          <w:sz w:val="32"/>
          <w:szCs w:val="32"/>
        </w:rPr>
      </w:pPr>
      <w:r>
        <w:rPr>
          <w:rFonts w:ascii="仿宋_GB2312" w:eastAsia="仿宋_GB2312"/>
          <w:color w:val="000000"/>
          <w:sz w:val="32"/>
          <w:szCs w:val="32"/>
        </w:rPr>
        <w:t>23.</w:t>
      </w:r>
      <w:r>
        <w:rPr>
          <w:rFonts w:hint="eastAsia" w:ascii="仿宋_GB2312" w:eastAsia="仿宋_GB2312"/>
          <w:color w:val="000000"/>
          <w:sz w:val="32"/>
          <w:szCs w:val="32"/>
        </w:rPr>
        <w:t>金融（类）…（款）…（项）：指……。</w:t>
      </w:r>
    </w:p>
    <w:p>
      <w:pPr>
        <w:ind w:firstLine="640" w:firstLineChars="200"/>
        <w:rPr>
          <w:rFonts w:ascii="仿宋_GB2312" w:eastAsia="仿宋_GB2312"/>
          <w:color w:val="000000"/>
          <w:sz w:val="32"/>
          <w:szCs w:val="32"/>
        </w:rPr>
      </w:pPr>
      <w:r>
        <w:rPr>
          <w:rFonts w:ascii="仿宋_GB2312" w:eastAsia="仿宋_GB2312"/>
          <w:color w:val="000000"/>
          <w:sz w:val="32"/>
          <w:szCs w:val="32"/>
        </w:rPr>
        <w:t>24.</w:t>
      </w:r>
      <w:r>
        <w:rPr>
          <w:rFonts w:hint="eastAsia" w:ascii="仿宋_GB2312" w:eastAsia="仿宋_GB2312"/>
          <w:color w:val="000000"/>
          <w:sz w:val="32"/>
          <w:szCs w:val="32"/>
        </w:rPr>
        <w:t>国土海洋气象等（类）…（款）…（项）：指……。</w:t>
      </w:r>
    </w:p>
    <w:p>
      <w:pPr>
        <w:ind w:firstLine="640" w:firstLineChars="200"/>
        <w:rPr>
          <w:rFonts w:ascii="仿宋_GB2312" w:eastAsia="仿宋_GB2312"/>
          <w:color w:val="000000"/>
          <w:sz w:val="32"/>
          <w:szCs w:val="32"/>
        </w:rPr>
      </w:pPr>
      <w:r>
        <w:rPr>
          <w:rFonts w:ascii="仿宋_GB2312" w:eastAsia="仿宋_GB2312"/>
          <w:color w:val="000000"/>
          <w:sz w:val="32"/>
          <w:szCs w:val="32"/>
        </w:rPr>
        <w:t>25.</w:t>
      </w:r>
      <w:r>
        <w:rPr>
          <w:rFonts w:hint="eastAsia" w:ascii="仿宋_GB2312" w:eastAsia="仿宋_GB2312"/>
          <w:color w:val="000000"/>
          <w:sz w:val="32"/>
          <w:szCs w:val="32"/>
        </w:rPr>
        <w:t>住房保障（类）…（款）…（项）：指……。</w:t>
      </w:r>
    </w:p>
    <w:p>
      <w:pPr>
        <w:ind w:firstLine="640" w:firstLineChars="200"/>
        <w:rPr>
          <w:rFonts w:ascii="仿宋_GB2312" w:eastAsia="仿宋_GB2312"/>
          <w:color w:val="000000"/>
          <w:sz w:val="32"/>
          <w:szCs w:val="32"/>
        </w:rPr>
      </w:pPr>
      <w:r>
        <w:rPr>
          <w:rFonts w:ascii="仿宋_GB2312" w:eastAsia="仿宋_GB2312"/>
          <w:color w:val="000000"/>
          <w:sz w:val="32"/>
          <w:szCs w:val="32"/>
        </w:rPr>
        <w:t>26.</w:t>
      </w:r>
      <w:r>
        <w:rPr>
          <w:rFonts w:hint="eastAsia" w:ascii="仿宋_GB2312" w:eastAsia="仿宋_GB2312"/>
          <w:color w:val="000000"/>
          <w:sz w:val="32"/>
          <w:szCs w:val="32"/>
        </w:rPr>
        <w:t>粮油物资储备（类）…（款）…（项）：指……。</w:t>
      </w:r>
    </w:p>
    <w:p>
      <w:pPr>
        <w:ind w:firstLine="640" w:firstLineChars="200"/>
        <w:rPr>
          <w:rFonts w:ascii="仿宋_GB2312" w:eastAsia="仿宋_GB2312"/>
          <w:color w:val="000000"/>
          <w:sz w:val="32"/>
          <w:szCs w:val="32"/>
        </w:rPr>
      </w:pPr>
      <w:r>
        <w:rPr>
          <w:rFonts w:hint="eastAsia" w:ascii="仿宋_GB2312" w:eastAsia="仿宋_GB2312"/>
          <w:color w:val="000000"/>
          <w:sz w:val="32"/>
          <w:szCs w:val="32"/>
        </w:rPr>
        <w:t>……</w:t>
      </w:r>
    </w:p>
    <w:p>
      <w:pPr>
        <w:ind w:firstLine="640" w:firstLineChars="200"/>
        <w:rPr>
          <w:rFonts w:ascii="仿宋_GB2312" w:eastAsia="仿宋_GB2312"/>
          <w:color w:val="000000"/>
          <w:sz w:val="32"/>
          <w:szCs w:val="32"/>
        </w:rPr>
      </w:pPr>
      <w:r>
        <w:rPr>
          <w:rFonts w:hint="eastAsia" w:ascii="仿宋_GB2312" w:eastAsia="仿宋_GB2312"/>
          <w:color w:val="000000"/>
          <w:sz w:val="32"/>
          <w:szCs w:val="32"/>
        </w:rPr>
        <w:t>……</w:t>
      </w:r>
    </w:p>
    <w:p>
      <w:pPr>
        <w:ind w:firstLine="640" w:firstLineChars="200"/>
        <w:rPr>
          <w:rFonts w:ascii="仿宋_GB2312" w:eastAsia="仿宋_GB2312"/>
          <w:color w:val="000000"/>
          <w:sz w:val="32"/>
          <w:szCs w:val="32"/>
        </w:rPr>
      </w:pPr>
      <w:r>
        <w:rPr>
          <w:rFonts w:hint="eastAsia" w:ascii="仿宋_GB2312" w:eastAsia="仿宋_GB2312"/>
          <w:color w:val="000000"/>
          <w:sz w:val="32"/>
          <w:szCs w:val="32"/>
        </w:rPr>
        <w:t>……</w:t>
      </w:r>
    </w:p>
    <w:p>
      <w:pPr>
        <w:spacing w:line="600" w:lineRule="exact"/>
        <w:ind w:firstLine="640"/>
        <w:rPr>
          <w:rFonts w:ascii="仿宋" w:hAnsi="仿宋" w:eastAsia="仿宋"/>
          <w:b/>
          <w:color w:val="000000"/>
          <w:sz w:val="32"/>
          <w:szCs w:val="32"/>
        </w:rPr>
      </w:pPr>
      <w:r>
        <w:rPr>
          <w:rFonts w:hint="eastAsia" w:ascii="仿宋" w:hAnsi="仿宋" w:eastAsia="仿宋"/>
          <w:b/>
          <w:color w:val="000000"/>
          <w:sz w:val="32"/>
          <w:szCs w:val="32"/>
        </w:rPr>
        <w:t>（解释本部门决算报表中全部功能分类科目至项级，请参照《</w:t>
      </w:r>
      <w:r>
        <w:rPr>
          <w:rFonts w:ascii="仿宋" w:hAnsi="仿宋" w:eastAsia="仿宋"/>
          <w:b/>
          <w:color w:val="000000"/>
          <w:sz w:val="32"/>
          <w:szCs w:val="32"/>
        </w:rPr>
        <w:t>201</w:t>
      </w:r>
      <w:r>
        <w:rPr>
          <w:rFonts w:hint="eastAsia" w:ascii="仿宋" w:hAnsi="仿宋" w:eastAsia="仿宋"/>
          <w:b/>
          <w:color w:val="000000"/>
          <w:sz w:val="32"/>
          <w:szCs w:val="32"/>
        </w:rPr>
        <w:t>9年政府收支分类科目》增减内容。）</w:t>
      </w:r>
    </w:p>
    <w:p>
      <w:pPr>
        <w:ind w:firstLine="640" w:firstLineChars="200"/>
        <w:rPr>
          <w:rFonts w:ascii="仿宋_GB2312" w:eastAsia="仿宋_GB2312"/>
          <w:color w:val="000000"/>
          <w:sz w:val="32"/>
          <w:szCs w:val="32"/>
        </w:rPr>
      </w:pPr>
      <w:r>
        <w:rPr>
          <w:rFonts w:ascii="仿宋_GB2312" w:eastAsia="仿宋_GB2312"/>
          <w:color w:val="000000"/>
          <w:sz w:val="32"/>
          <w:szCs w:val="32"/>
        </w:rPr>
        <w:t>27.</w:t>
      </w:r>
      <w:r>
        <w:rPr>
          <w:rFonts w:hint="eastAsia" w:ascii="仿宋_GB2312" w:eastAsia="仿宋_GB2312"/>
          <w:color w:val="000000"/>
          <w:sz w:val="32"/>
          <w:szCs w:val="32"/>
        </w:rPr>
        <w:t>基本支出：指为保障机构正常运转、完成日常工作任务而发生的人员支出和公用支出。</w:t>
      </w:r>
    </w:p>
    <w:p>
      <w:pPr>
        <w:ind w:firstLine="640" w:firstLineChars="200"/>
        <w:rPr>
          <w:rFonts w:ascii="仿宋_GB2312" w:eastAsia="仿宋_GB2312"/>
          <w:color w:val="000000"/>
          <w:sz w:val="32"/>
          <w:szCs w:val="32"/>
        </w:rPr>
      </w:pPr>
      <w:r>
        <w:rPr>
          <w:rFonts w:ascii="仿宋_GB2312" w:eastAsia="仿宋_GB2312"/>
          <w:color w:val="000000"/>
          <w:sz w:val="32"/>
          <w:szCs w:val="32"/>
        </w:rPr>
        <w:t>28.</w:t>
      </w:r>
      <w:r>
        <w:rPr>
          <w:rFonts w:hint="eastAsia" w:ascii="仿宋_GB2312" w:eastAsia="仿宋_GB2312"/>
          <w:color w:val="000000"/>
          <w:sz w:val="32"/>
          <w:szCs w:val="32"/>
        </w:rPr>
        <w:t>项目支出：指在基本支出之外为完成特定行政任务和事业发展目标所发生的支出。</w:t>
      </w:r>
      <w:r>
        <w:rPr>
          <w:rFonts w:ascii="仿宋_GB2312" w:eastAsia="仿宋_GB2312"/>
          <w:color w:val="000000"/>
          <w:sz w:val="32"/>
          <w:szCs w:val="32"/>
        </w:rPr>
        <w:t xml:space="preserve"> </w:t>
      </w:r>
    </w:p>
    <w:p>
      <w:pPr>
        <w:ind w:firstLine="640" w:firstLineChars="200"/>
        <w:rPr>
          <w:rFonts w:ascii="仿宋_GB2312" w:eastAsia="仿宋_GB2312"/>
          <w:color w:val="000000"/>
          <w:sz w:val="32"/>
          <w:szCs w:val="32"/>
        </w:rPr>
      </w:pPr>
      <w:r>
        <w:rPr>
          <w:rFonts w:ascii="仿宋_GB2312" w:eastAsia="仿宋_GB2312"/>
          <w:color w:val="000000"/>
          <w:sz w:val="32"/>
          <w:szCs w:val="32"/>
        </w:rPr>
        <w:t>29.</w:t>
      </w:r>
      <w:r>
        <w:rPr>
          <w:rFonts w:hint="eastAsia" w:ascii="仿宋_GB2312" w:eastAsia="仿宋_GB2312"/>
          <w:color w:val="000000"/>
          <w:sz w:val="32"/>
          <w:szCs w:val="32"/>
        </w:rPr>
        <w:t>经营支出：指事业单位在专业业务活动及其辅助活动之外开展非独立核算经营活动发生的支出。</w:t>
      </w:r>
    </w:p>
    <w:p>
      <w:pPr>
        <w:pStyle w:val="22"/>
        <w:spacing w:line="560" w:lineRule="exact"/>
        <w:ind w:firstLine="640" w:firstLineChars="200"/>
        <w:rPr>
          <w:rFonts w:ascii="仿宋_GB2312" w:eastAsia="仿宋_GB2312"/>
          <w:sz w:val="32"/>
          <w:szCs w:val="32"/>
        </w:rPr>
      </w:pPr>
      <w:r>
        <w:rPr>
          <w:rFonts w:ascii="仿宋_GB2312" w:eastAsia="仿宋_GB2312"/>
          <w:sz w:val="32"/>
          <w:szCs w:val="32"/>
        </w:rPr>
        <w:t>30.</w:t>
      </w:r>
      <w:r>
        <w:rPr>
          <w:rFonts w:hint="eastAsia" w:ascii="仿宋_GB2312" w:eastAsia="仿宋_GB2312"/>
          <w:sz w:val="32"/>
          <w:szCs w:val="32"/>
        </w:rPr>
        <w:t>“三公”经费：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pPr>
        <w:pStyle w:val="22"/>
        <w:spacing w:line="560" w:lineRule="exact"/>
        <w:ind w:firstLine="640" w:firstLineChars="200"/>
        <w:rPr>
          <w:rFonts w:ascii="仿宋_GB2312" w:eastAsia="仿宋_GB2312"/>
          <w:sz w:val="32"/>
          <w:szCs w:val="32"/>
        </w:rPr>
      </w:pPr>
      <w:r>
        <w:rPr>
          <w:rFonts w:ascii="仿宋_GB2312" w:eastAsia="仿宋_GB2312"/>
          <w:sz w:val="32"/>
          <w:szCs w:val="32"/>
        </w:rPr>
        <w:t>31.</w:t>
      </w:r>
      <w:r>
        <w:rPr>
          <w:rFonts w:hint="eastAsia" w:ascii="仿宋_GB2312" w:eastAsia="仿宋_GB2312"/>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pStyle w:val="22"/>
        <w:spacing w:line="560" w:lineRule="exact"/>
        <w:ind w:firstLine="640" w:firstLineChars="200"/>
        <w:rPr>
          <w:rFonts w:ascii="仿宋_GB2312" w:eastAsia="仿宋_GB2312"/>
          <w:sz w:val="32"/>
          <w:szCs w:val="32"/>
        </w:rPr>
      </w:pPr>
      <w:r>
        <w:rPr>
          <w:rFonts w:ascii="仿宋_GB2312" w:eastAsia="仿宋_GB2312"/>
          <w:sz w:val="32"/>
          <w:szCs w:val="32"/>
        </w:rPr>
        <w:t>32.</w:t>
      </w:r>
      <w:r>
        <w:rPr>
          <w:rFonts w:hint="eastAsia" w:ascii="仿宋_GB2312" w:eastAsia="仿宋_GB2312"/>
          <w:sz w:val="32"/>
          <w:szCs w:val="32"/>
        </w:rPr>
        <w:t>……。</w:t>
      </w:r>
    </w:p>
    <w:p>
      <w:pPr>
        <w:pStyle w:val="22"/>
        <w:spacing w:line="560" w:lineRule="exact"/>
        <w:ind w:firstLine="640" w:firstLineChars="200"/>
        <w:rPr>
          <w:rFonts w:ascii="仿宋_GB2312" w:eastAsia="仿宋_GB2312" w:cs="黑体"/>
          <w:sz w:val="32"/>
          <w:szCs w:val="32"/>
        </w:rPr>
      </w:pPr>
    </w:p>
    <w:p>
      <w:pPr>
        <w:ind w:firstLine="643" w:firstLineChars="200"/>
        <w:rPr>
          <w:rFonts w:ascii="仿宋" w:hAnsi="仿宋" w:eastAsia="仿宋"/>
          <w:b/>
          <w:color w:val="000000"/>
          <w:sz w:val="32"/>
          <w:szCs w:val="32"/>
        </w:rPr>
      </w:pPr>
      <w:r>
        <w:rPr>
          <w:rFonts w:hint="eastAsia" w:ascii="仿宋" w:hAnsi="仿宋" w:eastAsia="仿宋"/>
          <w:b/>
          <w:color w:val="000000"/>
          <w:sz w:val="32"/>
          <w:szCs w:val="32"/>
        </w:rPr>
        <w:t>（名词解释部分请根据各部门实际列支情况罗列，并根据本部门职责职能增减名词解释内容。）</w:t>
      </w:r>
    </w:p>
    <w:p>
      <w:pPr>
        <w:widowControl/>
        <w:jc w:val="left"/>
        <w:rPr>
          <w:rStyle w:val="24"/>
          <w:rFonts w:ascii="黑体" w:hAnsi="黑体" w:eastAsia="黑体"/>
          <w:b w:val="0"/>
        </w:rPr>
      </w:pPr>
      <w:bookmarkStart w:id="53" w:name="_Toc15377226"/>
    </w:p>
    <w:p>
      <w:pPr>
        <w:widowControl/>
        <w:jc w:val="left"/>
        <w:rPr>
          <w:rStyle w:val="24"/>
          <w:rFonts w:ascii="黑体" w:hAnsi="黑体" w:eastAsia="黑体"/>
          <w:b w:val="0"/>
        </w:rPr>
      </w:pPr>
    </w:p>
    <w:p>
      <w:pPr>
        <w:widowControl/>
        <w:jc w:val="left"/>
        <w:rPr>
          <w:rStyle w:val="24"/>
          <w:rFonts w:ascii="黑体" w:hAnsi="黑体" w:eastAsia="黑体"/>
          <w:b w:val="0"/>
        </w:rPr>
      </w:pPr>
    </w:p>
    <w:p>
      <w:pPr>
        <w:widowControl/>
        <w:jc w:val="left"/>
        <w:rPr>
          <w:rStyle w:val="24"/>
          <w:rFonts w:ascii="黑体" w:hAnsi="黑体" w:eastAsia="黑体"/>
          <w:b w:val="0"/>
        </w:rPr>
      </w:pPr>
    </w:p>
    <w:p>
      <w:pPr>
        <w:widowControl/>
        <w:jc w:val="left"/>
        <w:rPr>
          <w:rStyle w:val="24"/>
          <w:rFonts w:ascii="黑体" w:hAnsi="黑体" w:eastAsia="黑体"/>
          <w:b w:val="0"/>
        </w:rPr>
      </w:pPr>
    </w:p>
    <w:p>
      <w:pPr>
        <w:spacing w:line="600" w:lineRule="exact"/>
        <w:jc w:val="center"/>
        <w:outlineLvl w:val="0"/>
        <w:rPr>
          <w:rStyle w:val="24"/>
          <w:rFonts w:ascii="黑体" w:hAnsi="黑体" w:eastAsia="黑体"/>
          <w:b w:val="0"/>
        </w:rPr>
      </w:pPr>
      <w:bookmarkStart w:id="54" w:name="_Toc15396618"/>
      <w:r>
        <w:rPr>
          <w:rFonts w:hint="eastAsia" w:ascii="黑体" w:hAnsi="黑体" w:eastAsia="黑体"/>
          <w:color w:val="000000"/>
          <w:sz w:val="44"/>
          <w:szCs w:val="44"/>
        </w:rPr>
        <w:t>第</w:t>
      </w:r>
      <w:r>
        <w:rPr>
          <w:rFonts w:hint="eastAsia" w:ascii="黑体" w:hAnsi="黑体" w:eastAsia="黑体"/>
          <w:color w:val="000000"/>
          <w:sz w:val="44"/>
          <w:szCs w:val="44"/>
          <w:lang w:eastAsia="zh-CN"/>
        </w:rPr>
        <w:t>四</w:t>
      </w:r>
      <w:r>
        <w:rPr>
          <w:rStyle w:val="24"/>
          <w:rFonts w:hint="eastAsia" w:ascii="黑体" w:hAnsi="黑体" w:eastAsia="黑体"/>
          <w:b w:val="0"/>
        </w:rPr>
        <w:t>部分 附表</w:t>
      </w:r>
      <w:bookmarkEnd w:id="53"/>
      <w:bookmarkEnd w:id="54"/>
    </w:p>
    <w:p>
      <w:pPr>
        <w:spacing w:line="600" w:lineRule="exact"/>
        <w:jc w:val="center"/>
        <w:outlineLvl w:val="0"/>
        <w:rPr>
          <w:rFonts w:ascii="仿宋" w:hAnsi="仿宋" w:eastAsia="仿宋"/>
          <w:b/>
          <w:color w:val="000000"/>
          <w:sz w:val="44"/>
          <w:szCs w:val="44"/>
        </w:rPr>
      </w:pPr>
    </w:p>
    <w:p>
      <w:pPr>
        <w:pStyle w:val="3"/>
        <w:rPr>
          <w:rFonts w:ascii="仿宋" w:hAnsi="仿宋" w:eastAsia="仿宋"/>
          <w:color w:val="000000"/>
        </w:rPr>
      </w:pPr>
      <w:bookmarkStart w:id="55" w:name="_Toc15396619"/>
      <w:r>
        <w:rPr>
          <w:rFonts w:hint="eastAsia" w:ascii="仿宋" w:hAnsi="仿宋" w:eastAsia="仿宋"/>
          <w:b w:val="0"/>
          <w:color w:val="000000"/>
        </w:rPr>
        <w:t>一、收</w:t>
      </w:r>
      <w:r>
        <w:rPr>
          <w:rStyle w:val="25"/>
          <w:rFonts w:hint="eastAsia" w:ascii="仿宋" w:hAnsi="仿宋" w:eastAsia="仿宋"/>
          <w:b w:val="0"/>
          <w:bCs w:val="0"/>
        </w:rPr>
        <w:t>入支出决算总表</w:t>
      </w:r>
      <w:bookmarkEnd w:id="55"/>
    </w:p>
    <w:p>
      <w:pPr>
        <w:pStyle w:val="3"/>
        <w:rPr>
          <w:rFonts w:ascii="仿宋" w:hAnsi="仿宋" w:eastAsia="仿宋"/>
          <w:color w:val="000000"/>
        </w:rPr>
      </w:pPr>
      <w:bookmarkStart w:id="56" w:name="_Toc15396620"/>
      <w:r>
        <w:rPr>
          <w:rFonts w:hint="eastAsia" w:ascii="仿宋" w:hAnsi="仿宋" w:eastAsia="仿宋"/>
          <w:b w:val="0"/>
          <w:color w:val="000000"/>
        </w:rPr>
        <w:t>二、收</w:t>
      </w:r>
      <w:r>
        <w:rPr>
          <w:rStyle w:val="25"/>
          <w:rFonts w:hint="eastAsia" w:ascii="仿宋" w:hAnsi="仿宋" w:eastAsia="仿宋"/>
          <w:b w:val="0"/>
          <w:bCs w:val="0"/>
        </w:rPr>
        <w:t>入决算表</w:t>
      </w:r>
      <w:bookmarkEnd w:id="56"/>
    </w:p>
    <w:p>
      <w:pPr>
        <w:pStyle w:val="3"/>
        <w:rPr>
          <w:rFonts w:ascii="仿宋" w:hAnsi="仿宋" w:eastAsia="仿宋"/>
          <w:color w:val="000000"/>
        </w:rPr>
      </w:pPr>
      <w:bookmarkStart w:id="57" w:name="_Toc15396621"/>
      <w:r>
        <w:rPr>
          <w:rStyle w:val="25"/>
          <w:rFonts w:hint="eastAsia" w:ascii="仿宋" w:hAnsi="仿宋" w:eastAsia="仿宋"/>
          <w:b w:val="0"/>
          <w:bCs w:val="0"/>
        </w:rPr>
        <w:t>三、</w:t>
      </w:r>
      <w:r>
        <w:rPr>
          <w:rFonts w:hint="eastAsia" w:ascii="仿宋" w:hAnsi="仿宋" w:eastAsia="仿宋"/>
          <w:b w:val="0"/>
          <w:color w:val="000000"/>
        </w:rPr>
        <w:t>支</w:t>
      </w:r>
      <w:r>
        <w:rPr>
          <w:rStyle w:val="25"/>
          <w:rFonts w:hint="eastAsia" w:ascii="仿宋" w:hAnsi="仿宋" w:eastAsia="仿宋"/>
          <w:b w:val="0"/>
          <w:bCs w:val="0"/>
        </w:rPr>
        <w:t>出决算表</w:t>
      </w:r>
      <w:bookmarkEnd w:id="57"/>
    </w:p>
    <w:p>
      <w:pPr>
        <w:pStyle w:val="3"/>
        <w:rPr>
          <w:rFonts w:ascii="仿宋" w:hAnsi="仿宋" w:eastAsia="仿宋"/>
          <w:b w:val="0"/>
          <w:color w:val="000000"/>
        </w:rPr>
      </w:pPr>
      <w:bookmarkStart w:id="58" w:name="_Toc15396622"/>
      <w:r>
        <w:rPr>
          <w:rStyle w:val="25"/>
          <w:rFonts w:hint="eastAsia" w:ascii="仿宋" w:hAnsi="仿宋" w:eastAsia="仿宋"/>
          <w:b w:val="0"/>
          <w:bCs w:val="0"/>
        </w:rPr>
        <w:t>四、</w:t>
      </w:r>
      <w:r>
        <w:rPr>
          <w:rFonts w:hint="eastAsia" w:ascii="仿宋" w:hAnsi="仿宋" w:eastAsia="仿宋"/>
          <w:b w:val="0"/>
          <w:color w:val="000000"/>
        </w:rPr>
        <w:t>财</w:t>
      </w:r>
      <w:r>
        <w:rPr>
          <w:rStyle w:val="25"/>
          <w:rFonts w:hint="eastAsia" w:ascii="仿宋" w:hAnsi="仿宋" w:eastAsia="仿宋"/>
          <w:b w:val="0"/>
          <w:bCs w:val="0"/>
        </w:rPr>
        <w:t>政拨款收入支出决算总表</w:t>
      </w:r>
      <w:bookmarkEnd w:id="58"/>
    </w:p>
    <w:p>
      <w:pPr>
        <w:pStyle w:val="3"/>
        <w:rPr>
          <w:rStyle w:val="25"/>
          <w:rFonts w:ascii="仿宋" w:hAnsi="仿宋" w:eastAsia="仿宋"/>
          <w:b w:val="0"/>
          <w:bCs w:val="0"/>
        </w:rPr>
      </w:pPr>
      <w:bookmarkStart w:id="59" w:name="_Toc15396623"/>
      <w:r>
        <w:rPr>
          <w:rStyle w:val="25"/>
          <w:rFonts w:hint="eastAsia" w:ascii="仿宋" w:hAnsi="仿宋" w:eastAsia="仿宋"/>
          <w:b w:val="0"/>
          <w:bCs w:val="0"/>
        </w:rPr>
        <w:t>五、</w:t>
      </w:r>
      <w:r>
        <w:rPr>
          <w:rFonts w:hint="eastAsia" w:ascii="仿宋" w:hAnsi="仿宋" w:eastAsia="仿宋"/>
          <w:b w:val="0"/>
          <w:color w:val="000000"/>
        </w:rPr>
        <w:t>财</w:t>
      </w:r>
      <w:r>
        <w:rPr>
          <w:rStyle w:val="25"/>
          <w:rFonts w:hint="eastAsia" w:ascii="仿宋" w:hAnsi="仿宋" w:eastAsia="仿宋"/>
          <w:b w:val="0"/>
          <w:bCs w:val="0"/>
        </w:rPr>
        <w:t>政拨款支出决算明细表</w:t>
      </w:r>
      <w:bookmarkEnd w:id="59"/>
      <w:bookmarkStart w:id="60" w:name="_Toc15396624"/>
    </w:p>
    <w:p>
      <w:pPr>
        <w:pStyle w:val="3"/>
        <w:rPr>
          <w:rFonts w:ascii="仿宋" w:hAnsi="仿宋" w:eastAsia="仿宋"/>
          <w:color w:val="000000"/>
        </w:rPr>
      </w:pPr>
      <w:r>
        <w:rPr>
          <w:rStyle w:val="25"/>
          <w:rFonts w:hint="eastAsia" w:ascii="仿宋" w:hAnsi="仿宋" w:eastAsia="仿宋"/>
          <w:b w:val="0"/>
          <w:bCs w:val="0"/>
        </w:rPr>
        <w:t>六、</w:t>
      </w:r>
      <w:r>
        <w:rPr>
          <w:rFonts w:hint="eastAsia" w:ascii="仿宋" w:hAnsi="仿宋" w:eastAsia="仿宋"/>
          <w:b w:val="0"/>
          <w:color w:val="000000"/>
        </w:rPr>
        <w:t>一</w:t>
      </w:r>
      <w:r>
        <w:rPr>
          <w:rStyle w:val="25"/>
          <w:rFonts w:hint="eastAsia" w:ascii="仿宋" w:hAnsi="仿宋" w:eastAsia="仿宋"/>
          <w:b w:val="0"/>
          <w:bCs w:val="0"/>
        </w:rPr>
        <w:t>般公共预算财政拨款支出决算表</w:t>
      </w:r>
      <w:bookmarkEnd w:id="60"/>
    </w:p>
    <w:p>
      <w:pPr>
        <w:pStyle w:val="3"/>
        <w:rPr>
          <w:rFonts w:ascii="仿宋" w:hAnsi="仿宋" w:eastAsia="仿宋"/>
          <w:color w:val="000000"/>
        </w:rPr>
      </w:pPr>
      <w:bookmarkStart w:id="61" w:name="_Toc15396625"/>
      <w:r>
        <w:rPr>
          <w:rStyle w:val="25"/>
          <w:rFonts w:hint="eastAsia" w:ascii="仿宋" w:hAnsi="仿宋" w:eastAsia="仿宋"/>
          <w:b w:val="0"/>
          <w:bCs w:val="0"/>
        </w:rPr>
        <w:t>七、</w:t>
      </w:r>
      <w:r>
        <w:rPr>
          <w:rFonts w:hint="eastAsia" w:ascii="仿宋" w:hAnsi="仿宋" w:eastAsia="仿宋"/>
          <w:b w:val="0"/>
          <w:color w:val="000000"/>
        </w:rPr>
        <w:t>一</w:t>
      </w:r>
      <w:r>
        <w:rPr>
          <w:rStyle w:val="25"/>
          <w:rFonts w:hint="eastAsia" w:ascii="仿宋" w:hAnsi="仿宋" w:eastAsia="仿宋"/>
          <w:b w:val="0"/>
          <w:bCs w:val="0"/>
        </w:rPr>
        <w:t>般公共预算财政拨款支出决算明细表</w:t>
      </w:r>
      <w:bookmarkEnd w:id="61"/>
    </w:p>
    <w:p>
      <w:pPr>
        <w:pStyle w:val="3"/>
        <w:rPr>
          <w:rFonts w:ascii="仿宋" w:hAnsi="仿宋" w:eastAsia="仿宋"/>
          <w:color w:val="000000"/>
        </w:rPr>
      </w:pPr>
      <w:bookmarkStart w:id="62" w:name="_Toc15396626"/>
      <w:r>
        <w:rPr>
          <w:rStyle w:val="25"/>
          <w:rFonts w:hint="eastAsia" w:ascii="仿宋" w:hAnsi="仿宋" w:eastAsia="仿宋"/>
          <w:b w:val="0"/>
          <w:bCs w:val="0"/>
        </w:rPr>
        <w:t>八、</w:t>
      </w:r>
      <w:r>
        <w:rPr>
          <w:rFonts w:hint="eastAsia" w:ascii="仿宋" w:hAnsi="仿宋" w:eastAsia="仿宋"/>
          <w:b w:val="0"/>
          <w:color w:val="000000"/>
        </w:rPr>
        <w:t>一</w:t>
      </w:r>
      <w:r>
        <w:rPr>
          <w:rStyle w:val="25"/>
          <w:rFonts w:hint="eastAsia" w:ascii="仿宋" w:hAnsi="仿宋" w:eastAsia="仿宋"/>
          <w:b w:val="0"/>
          <w:bCs w:val="0"/>
        </w:rPr>
        <w:t>般公共预算财政拨款基本支出决算表</w:t>
      </w:r>
      <w:bookmarkEnd w:id="62"/>
    </w:p>
    <w:p>
      <w:pPr>
        <w:pStyle w:val="3"/>
        <w:rPr>
          <w:rFonts w:ascii="仿宋" w:hAnsi="仿宋" w:eastAsia="仿宋"/>
          <w:color w:val="000000"/>
        </w:rPr>
      </w:pPr>
      <w:bookmarkStart w:id="63" w:name="_Toc15396627"/>
      <w:r>
        <w:rPr>
          <w:rStyle w:val="25"/>
          <w:rFonts w:hint="eastAsia" w:ascii="仿宋" w:hAnsi="仿宋" w:eastAsia="仿宋"/>
          <w:b w:val="0"/>
          <w:bCs w:val="0"/>
        </w:rPr>
        <w:t>九、</w:t>
      </w:r>
      <w:r>
        <w:rPr>
          <w:rFonts w:hint="eastAsia" w:ascii="仿宋" w:hAnsi="仿宋" w:eastAsia="仿宋"/>
          <w:b w:val="0"/>
          <w:color w:val="000000"/>
        </w:rPr>
        <w:t>一</w:t>
      </w:r>
      <w:r>
        <w:rPr>
          <w:rStyle w:val="25"/>
          <w:rFonts w:hint="eastAsia" w:ascii="仿宋" w:hAnsi="仿宋" w:eastAsia="仿宋"/>
          <w:b w:val="0"/>
          <w:bCs w:val="0"/>
        </w:rPr>
        <w:t>般公共预算财政拨款项目支出决算表</w:t>
      </w:r>
      <w:bookmarkEnd w:id="63"/>
    </w:p>
    <w:p>
      <w:pPr>
        <w:pStyle w:val="3"/>
        <w:rPr>
          <w:rFonts w:ascii="仿宋" w:hAnsi="仿宋" w:eastAsia="仿宋"/>
          <w:color w:val="000000"/>
        </w:rPr>
      </w:pPr>
      <w:bookmarkStart w:id="64" w:name="_Toc15396628"/>
      <w:r>
        <w:rPr>
          <w:rStyle w:val="25"/>
          <w:rFonts w:hint="eastAsia" w:ascii="仿宋" w:hAnsi="仿宋" w:eastAsia="仿宋"/>
          <w:b w:val="0"/>
          <w:bCs w:val="0"/>
        </w:rPr>
        <w:t>十、</w:t>
      </w:r>
      <w:r>
        <w:rPr>
          <w:rFonts w:hint="eastAsia" w:ascii="仿宋" w:hAnsi="仿宋" w:eastAsia="仿宋"/>
          <w:b w:val="0"/>
          <w:color w:val="000000"/>
        </w:rPr>
        <w:t>一</w:t>
      </w:r>
      <w:r>
        <w:rPr>
          <w:rStyle w:val="25"/>
          <w:rFonts w:hint="eastAsia" w:ascii="仿宋" w:hAnsi="仿宋" w:eastAsia="仿宋"/>
          <w:b w:val="0"/>
          <w:bCs w:val="0"/>
        </w:rPr>
        <w:t>般公共预算财政拨款“三公”经费支出决算表</w:t>
      </w:r>
      <w:bookmarkEnd w:id="64"/>
    </w:p>
    <w:p>
      <w:pPr>
        <w:pStyle w:val="3"/>
        <w:rPr>
          <w:rFonts w:ascii="仿宋" w:hAnsi="仿宋" w:eastAsia="仿宋"/>
          <w:color w:val="000000"/>
        </w:rPr>
      </w:pPr>
      <w:bookmarkStart w:id="65" w:name="_Toc15396629"/>
      <w:r>
        <w:rPr>
          <w:rStyle w:val="25"/>
          <w:rFonts w:hint="eastAsia" w:ascii="仿宋" w:hAnsi="仿宋" w:eastAsia="仿宋"/>
          <w:b w:val="0"/>
          <w:bCs w:val="0"/>
        </w:rPr>
        <w:t>十一、</w:t>
      </w:r>
      <w:r>
        <w:rPr>
          <w:rFonts w:hint="eastAsia" w:ascii="仿宋" w:hAnsi="仿宋" w:eastAsia="仿宋"/>
          <w:b w:val="0"/>
          <w:color w:val="000000"/>
        </w:rPr>
        <w:t>政</w:t>
      </w:r>
      <w:r>
        <w:rPr>
          <w:rStyle w:val="25"/>
          <w:rFonts w:hint="eastAsia" w:ascii="仿宋" w:hAnsi="仿宋" w:eastAsia="仿宋"/>
          <w:b w:val="0"/>
          <w:bCs w:val="0"/>
        </w:rPr>
        <w:t>府性基金预算财政拨款收入支出决算表</w:t>
      </w:r>
      <w:bookmarkEnd w:id="65"/>
    </w:p>
    <w:p>
      <w:pPr>
        <w:pStyle w:val="3"/>
        <w:rPr>
          <w:rFonts w:ascii="仿宋" w:hAnsi="仿宋" w:eastAsia="仿宋"/>
          <w:color w:val="000000"/>
        </w:rPr>
      </w:pPr>
      <w:bookmarkStart w:id="66" w:name="_Toc15396630"/>
      <w:r>
        <w:rPr>
          <w:rStyle w:val="25"/>
          <w:rFonts w:hint="eastAsia" w:ascii="仿宋" w:hAnsi="仿宋" w:eastAsia="仿宋"/>
          <w:b w:val="0"/>
          <w:bCs w:val="0"/>
        </w:rPr>
        <w:t>十二、</w:t>
      </w:r>
      <w:r>
        <w:rPr>
          <w:rFonts w:hint="eastAsia" w:ascii="仿宋" w:hAnsi="仿宋" w:eastAsia="仿宋"/>
          <w:b w:val="0"/>
          <w:color w:val="000000"/>
        </w:rPr>
        <w:t>政</w:t>
      </w:r>
      <w:r>
        <w:rPr>
          <w:rStyle w:val="25"/>
          <w:rFonts w:hint="eastAsia" w:ascii="仿宋" w:hAnsi="仿宋" w:eastAsia="仿宋"/>
          <w:b w:val="0"/>
          <w:bCs w:val="0"/>
        </w:rPr>
        <w:t>府性基金预算财政拨款“三公”经费支出决算表</w:t>
      </w:r>
      <w:bookmarkEnd w:id="66"/>
    </w:p>
    <w:p>
      <w:pPr>
        <w:pStyle w:val="3"/>
        <w:rPr>
          <w:rFonts w:ascii="仿宋" w:hAnsi="仿宋" w:eastAsia="仿宋"/>
          <w:color w:val="000000" w:themeColor="text1"/>
        </w:rPr>
      </w:pPr>
      <w:bookmarkStart w:id="67" w:name="_Toc15396631"/>
      <w:r>
        <w:rPr>
          <w:rStyle w:val="25"/>
          <w:rFonts w:hint="eastAsia" w:ascii="仿宋" w:hAnsi="仿宋" w:eastAsia="仿宋"/>
          <w:b w:val="0"/>
          <w:bCs w:val="0"/>
        </w:rPr>
        <w:t>十三、</w:t>
      </w:r>
      <w:r>
        <w:rPr>
          <w:rFonts w:hint="eastAsia" w:ascii="仿宋" w:hAnsi="仿宋" w:eastAsia="仿宋"/>
          <w:b w:val="0"/>
          <w:color w:val="000000"/>
        </w:rPr>
        <w:t>国</w:t>
      </w:r>
      <w:r>
        <w:rPr>
          <w:rStyle w:val="25"/>
          <w:rFonts w:hint="eastAsia" w:ascii="仿宋" w:hAnsi="仿宋" w:eastAsia="仿宋"/>
          <w:b w:val="0"/>
          <w:bCs w:val="0"/>
        </w:rPr>
        <w:t>有资本经营预算支出决算表</w:t>
      </w:r>
      <w:bookmarkEnd w:id="67"/>
    </w:p>
    <w:sectPr>
      <w:headerReference r:id="rId3" w:type="default"/>
      <w:footerReference r:id="rId4" w:type="default"/>
      <w:pgSz w:w="11906" w:h="16838"/>
      <w:pgMar w:top="1440" w:right="1800" w:bottom="1440" w:left="1800" w:header="851" w:footer="992" w:gutter="0"/>
      <w:pgNumType w:start="1"/>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小标宋简体">
    <w:panose1 w:val="02010601030101010101"/>
    <w:charset w:val="86"/>
    <w:family w:val="script"/>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等线">
    <w:altName w:val="微软雅黑"/>
    <w:panose1 w:val="02010600030101010101"/>
    <w:charset w:val="86"/>
    <w:family w:val="swiss"/>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 w:name="Impact">
    <w:panose1 w:val="020B0806030902050204"/>
    <w:charset w:val="00"/>
    <w:family w:val="auto"/>
    <w:pitch w:val="default"/>
    <w:sig w:usb0="00000287" w:usb1="00000000" w:usb2="00000000" w:usb3="00000000" w:csb0="2000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94781956"/>
    </w:sdtPr>
    <w:sdtContent>
      <w:p>
        <w:pPr>
          <w:pStyle w:val="8"/>
          <w:jc w:val="center"/>
        </w:pPr>
        <w:r>
          <w:fldChar w:fldCharType="begin"/>
        </w:r>
        <w:r>
          <w:instrText xml:space="preserve">PAGE   \* MERGEFORMAT</w:instrText>
        </w:r>
        <w:r>
          <w:fldChar w:fldCharType="separate"/>
        </w:r>
        <w:r>
          <w:rPr>
            <w:lang w:val="zh-CN"/>
          </w:rPr>
          <w:t>24</w:t>
        </w:r>
        <w:r>
          <w:fldChar w:fldCharType="end"/>
        </w:r>
      </w:p>
    </w:sdtContent>
  </w:sdt>
  <w:p>
    <w:pPr>
      <w:pStyle w:val="8"/>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F652CEC"/>
    <w:multiLevelType w:val="singleLevel"/>
    <w:tmpl w:val="CF652CEC"/>
    <w:lvl w:ilvl="0" w:tentative="0">
      <w:start w:val="9"/>
      <w:numFmt w:val="chineseCounting"/>
      <w:suff w:val="nothing"/>
      <w:lvlText w:val="%1、"/>
      <w:lvlJc w:val="left"/>
      <w:rPr>
        <w:rFonts w:hint="eastAsia"/>
      </w:rPr>
    </w:lvl>
  </w:abstractNum>
  <w:abstractNum w:abstractNumId="1">
    <w:nsid w:val="E2FA047D"/>
    <w:multiLevelType w:val="singleLevel"/>
    <w:tmpl w:val="E2FA047D"/>
    <w:lvl w:ilvl="0" w:tentative="0">
      <w:start w:val="3"/>
      <w:numFmt w:val="chineseCounting"/>
      <w:suff w:val="space"/>
      <w:lvlText w:val="第%1部分"/>
      <w:lvlJc w:val="left"/>
      <w:rPr>
        <w:rFonts w:hint="eastAsia"/>
      </w:rPr>
    </w:lvl>
  </w:abstractNum>
  <w:abstractNum w:abstractNumId="2">
    <w:nsid w:val="E3EF8BA0"/>
    <w:multiLevelType w:val="singleLevel"/>
    <w:tmpl w:val="E3EF8BA0"/>
    <w:lvl w:ilvl="0" w:tentative="0">
      <w:start w:val="4"/>
      <w:numFmt w:val="chineseCounting"/>
      <w:suff w:val="nothing"/>
      <w:lvlText w:val="（%1）"/>
      <w:lvlJc w:val="left"/>
      <w:rPr>
        <w:rFonts w:hint="eastAsia"/>
      </w:rPr>
    </w:lvl>
  </w:abstractNum>
  <w:abstractNum w:abstractNumId="3">
    <w:nsid w:val="1272550B"/>
    <w:multiLevelType w:val="multilevel"/>
    <w:tmpl w:val="1272550B"/>
    <w:lvl w:ilvl="0" w:tentative="0">
      <w:start w:val="1"/>
      <w:numFmt w:val="japaneseCounting"/>
      <w:lvlText w:val="%1、"/>
      <w:lvlJc w:val="left"/>
      <w:pPr>
        <w:ind w:left="1360" w:hanging="720"/>
      </w:pPr>
      <w:rPr>
        <w:rFonts w:hint="default"/>
        <w:b w:val="0"/>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4">
    <w:nsid w:val="58C89E3F"/>
    <w:multiLevelType w:val="singleLevel"/>
    <w:tmpl w:val="58C89E3F"/>
    <w:lvl w:ilvl="0" w:tentative="0">
      <w:start w:val="1"/>
      <w:numFmt w:val="decimal"/>
      <w:suff w:val="nothing"/>
      <w:lvlText w:val="（%1）"/>
      <w:lvlJc w:val="left"/>
    </w:lvl>
  </w:abstractNum>
  <w:num w:numId="1">
    <w:abstractNumId w:val="3"/>
  </w:num>
  <w:num w:numId="2">
    <w:abstractNumId w:val="0"/>
  </w:num>
  <w:num w:numId="3">
    <w:abstractNumId w:val="2"/>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F1361C"/>
    <w:rsid w:val="000222C6"/>
    <w:rsid w:val="0002549F"/>
    <w:rsid w:val="000468DB"/>
    <w:rsid w:val="0006487A"/>
    <w:rsid w:val="00065F8F"/>
    <w:rsid w:val="00070A43"/>
    <w:rsid w:val="000768F2"/>
    <w:rsid w:val="0009184B"/>
    <w:rsid w:val="00094236"/>
    <w:rsid w:val="0009593C"/>
    <w:rsid w:val="00097322"/>
    <w:rsid w:val="000A6A92"/>
    <w:rsid w:val="000B047F"/>
    <w:rsid w:val="000B5923"/>
    <w:rsid w:val="000B5A48"/>
    <w:rsid w:val="000B6FF3"/>
    <w:rsid w:val="000C3467"/>
    <w:rsid w:val="000C3CA6"/>
    <w:rsid w:val="000D1267"/>
    <w:rsid w:val="000D1D50"/>
    <w:rsid w:val="000D5782"/>
    <w:rsid w:val="000E6613"/>
    <w:rsid w:val="000E7119"/>
    <w:rsid w:val="00114E9B"/>
    <w:rsid w:val="00142216"/>
    <w:rsid w:val="00144D6A"/>
    <w:rsid w:val="0014729F"/>
    <w:rsid w:val="00157BAB"/>
    <w:rsid w:val="001654D1"/>
    <w:rsid w:val="00174518"/>
    <w:rsid w:val="0018106D"/>
    <w:rsid w:val="001877A7"/>
    <w:rsid w:val="00191536"/>
    <w:rsid w:val="00196687"/>
    <w:rsid w:val="001C0962"/>
    <w:rsid w:val="001D7531"/>
    <w:rsid w:val="001E737D"/>
    <w:rsid w:val="001F0592"/>
    <w:rsid w:val="001F7506"/>
    <w:rsid w:val="002006CD"/>
    <w:rsid w:val="00202B36"/>
    <w:rsid w:val="00204B7A"/>
    <w:rsid w:val="00204CDE"/>
    <w:rsid w:val="0021101A"/>
    <w:rsid w:val="00220536"/>
    <w:rsid w:val="00235629"/>
    <w:rsid w:val="00260C38"/>
    <w:rsid w:val="002616C0"/>
    <w:rsid w:val="00265372"/>
    <w:rsid w:val="002662AA"/>
    <w:rsid w:val="00280496"/>
    <w:rsid w:val="00294DC9"/>
    <w:rsid w:val="00295495"/>
    <w:rsid w:val="002A31DE"/>
    <w:rsid w:val="002B2613"/>
    <w:rsid w:val="002D19B0"/>
    <w:rsid w:val="002D6D05"/>
    <w:rsid w:val="002F1818"/>
    <w:rsid w:val="002F567B"/>
    <w:rsid w:val="003216A9"/>
    <w:rsid w:val="00335A74"/>
    <w:rsid w:val="0036561B"/>
    <w:rsid w:val="0037013F"/>
    <w:rsid w:val="00380C92"/>
    <w:rsid w:val="003A484F"/>
    <w:rsid w:val="003A4883"/>
    <w:rsid w:val="003B0BE0"/>
    <w:rsid w:val="003B0C1B"/>
    <w:rsid w:val="003B688C"/>
    <w:rsid w:val="003C0291"/>
    <w:rsid w:val="003C39AE"/>
    <w:rsid w:val="003C7B60"/>
    <w:rsid w:val="003D0C0F"/>
    <w:rsid w:val="003D1FB2"/>
    <w:rsid w:val="003D66DA"/>
    <w:rsid w:val="003E1310"/>
    <w:rsid w:val="003E6F55"/>
    <w:rsid w:val="00406254"/>
    <w:rsid w:val="00416CD4"/>
    <w:rsid w:val="004223DE"/>
    <w:rsid w:val="00434489"/>
    <w:rsid w:val="00437085"/>
    <w:rsid w:val="00443880"/>
    <w:rsid w:val="004464F4"/>
    <w:rsid w:val="00471401"/>
    <w:rsid w:val="00473F31"/>
    <w:rsid w:val="0048263A"/>
    <w:rsid w:val="00487E5D"/>
    <w:rsid w:val="004A711F"/>
    <w:rsid w:val="004B199D"/>
    <w:rsid w:val="004B4690"/>
    <w:rsid w:val="004E0A2D"/>
    <w:rsid w:val="004E206B"/>
    <w:rsid w:val="004E6DF7"/>
    <w:rsid w:val="004F0FBD"/>
    <w:rsid w:val="004F403E"/>
    <w:rsid w:val="00505A47"/>
    <w:rsid w:val="00512FDA"/>
    <w:rsid w:val="00520DA0"/>
    <w:rsid w:val="005664BB"/>
    <w:rsid w:val="00566FFA"/>
    <w:rsid w:val="0057481D"/>
    <w:rsid w:val="00575F0B"/>
    <w:rsid w:val="0058486E"/>
    <w:rsid w:val="00585B33"/>
    <w:rsid w:val="0059014D"/>
    <w:rsid w:val="005B5C64"/>
    <w:rsid w:val="005C6BD0"/>
    <w:rsid w:val="005C6C4C"/>
    <w:rsid w:val="005D1C8B"/>
    <w:rsid w:val="005D468D"/>
    <w:rsid w:val="005D5CED"/>
    <w:rsid w:val="005F1A4C"/>
    <w:rsid w:val="00605688"/>
    <w:rsid w:val="006070AF"/>
    <w:rsid w:val="00607E6C"/>
    <w:rsid w:val="006101B1"/>
    <w:rsid w:val="00614E44"/>
    <w:rsid w:val="0062270A"/>
    <w:rsid w:val="00622830"/>
    <w:rsid w:val="00623DA0"/>
    <w:rsid w:val="00630AEF"/>
    <w:rsid w:val="006325F8"/>
    <w:rsid w:val="00633463"/>
    <w:rsid w:val="00634C9A"/>
    <w:rsid w:val="006440E4"/>
    <w:rsid w:val="0066343B"/>
    <w:rsid w:val="00664777"/>
    <w:rsid w:val="006748A4"/>
    <w:rsid w:val="00681A31"/>
    <w:rsid w:val="00683E73"/>
    <w:rsid w:val="006A3141"/>
    <w:rsid w:val="006A5E34"/>
    <w:rsid w:val="006B2422"/>
    <w:rsid w:val="006B2B9A"/>
    <w:rsid w:val="006C1937"/>
    <w:rsid w:val="006F020C"/>
    <w:rsid w:val="007127B7"/>
    <w:rsid w:val="0071798E"/>
    <w:rsid w:val="00727533"/>
    <w:rsid w:val="007416B6"/>
    <w:rsid w:val="00746F48"/>
    <w:rsid w:val="0075404D"/>
    <w:rsid w:val="0076182A"/>
    <w:rsid w:val="00767B7E"/>
    <w:rsid w:val="007770C3"/>
    <w:rsid w:val="00784D24"/>
    <w:rsid w:val="00785FBA"/>
    <w:rsid w:val="00786E4A"/>
    <w:rsid w:val="007875EB"/>
    <w:rsid w:val="0079426B"/>
    <w:rsid w:val="007D1682"/>
    <w:rsid w:val="007D312A"/>
    <w:rsid w:val="007D3F19"/>
    <w:rsid w:val="007E23B0"/>
    <w:rsid w:val="007F1991"/>
    <w:rsid w:val="007F2C2F"/>
    <w:rsid w:val="007F55FC"/>
    <w:rsid w:val="007F5665"/>
    <w:rsid w:val="00800112"/>
    <w:rsid w:val="00813348"/>
    <w:rsid w:val="008253BB"/>
    <w:rsid w:val="00833962"/>
    <w:rsid w:val="0083706E"/>
    <w:rsid w:val="008408F6"/>
    <w:rsid w:val="008423A5"/>
    <w:rsid w:val="00850625"/>
    <w:rsid w:val="00853718"/>
    <w:rsid w:val="00855221"/>
    <w:rsid w:val="00860645"/>
    <w:rsid w:val="00871F71"/>
    <w:rsid w:val="00872FD8"/>
    <w:rsid w:val="00885AF4"/>
    <w:rsid w:val="008939CD"/>
    <w:rsid w:val="008B768C"/>
    <w:rsid w:val="008C4DB1"/>
    <w:rsid w:val="008C4EAF"/>
    <w:rsid w:val="008C5176"/>
    <w:rsid w:val="008C7FD0"/>
    <w:rsid w:val="008E1DE7"/>
    <w:rsid w:val="008E707C"/>
    <w:rsid w:val="00900B08"/>
    <w:rsid w:val="00902155"/>
    <w:rsid w:val="00902FA3"/>
    <w:rsid w:val="00923564"/>
    <w:rsid w:val="0092392E"/>
    <w:rsid w:val="009315F9"/>
    <w:rsid w:val="00933499"/>
    <w:rsid w:val="00935C98"/>
    <w:rsid w:val="00946945"/>
    <w:rsid w:val="00951248"/>
    <w:rsid w:val="0095152F"/>
    <w:rsid w:val="00954C49"/>
    <w:rsid w:val="00955E37"/>
    <w:rsid w:val="0097099F"/>
    <w:rsid w:val="00971997"/>
    <w:rsid w:val="00971FFC"/>
    <w:rsid w:val="0098660A"/>
    <w:rsid w:val="009931C3"/>
    <w:rsid w:val="009B2C43"/>
    <w:rsid w:val="009B4EAE"/>
    <w:rsid w:val="009B7573"/>
    <w:rsid w:val="009C22F4"/>
    <w:rsid w:val="009C2E98"/>
    <w:rsid w:val="009C37FB"/>
    <w:rsid w:val="009D3447"/>
    <w:rsid w:val="009D4711"/>
    <w:rsid w:val="009F1185"/>
    <w:rsid w:val="009F18CD"/>
    <w:rsid w:val="009F2A13"/>
    <w:rsid w:val="009F7527"/>
    <w:rsid w:val="00A039ED"/>
    <w:rsid w:val="00A04EB0"/>
    <w:rsid w:val="00A13CC1"/>
    <w:rsid w:val="00A16847"/>
    <w:rsid w:val="00A237D8"/>
    <w:rsid w:val="00A268C4"/>
    <w:rsid w:val="00A307CD"/>
    <w:rsid w:val="00A331C8"/>
    <w:rsid w:val="00A35117"/>
    <w:rsid w:val="00A40A00"/>
    <w:rsid w:val="00A4142F"/>
    <w:rsid w:val="00A422EB"/>
    <w:rsid w:val="00A45BB7"/>
    <w:rsid w:val="00A56DF2"/>
    <w:rsid w:val="00A56E6E"/>
    <w:rsid w:val="00A67AB5"/>
    <w:rsid w:val="00A733B2"/>
    <w:rsid w:val="00A741C2"/>
    <w:rsid w:val="00A91760"/>
    <w:rsid w:val="00A93B00"/>
    <w:rsid w:val="00A93C21"/>
    <w:rsid w:val="00AB64C9"/>
    <w:rsid w:val="00AC3C6A"/>
    <w:rsid w:val="00AD0F83"/>
    <w:rsid w:val="00AD5620"/>
    <w:rsid w:val="00AD656B"/>
    <w:rsid w:val="00AD7C1B"/>
    <w:rsid w:val="00AE16BA"/>
    <w:rsid w:val="00AE1EBE"/>
    <w:rsid w:val="00B03C9D"/>
    <w:rsid w:val="00B060AE"/>
    <w:rsid w:val="00B10517"/>
    <w:rsid w:val="00B14E76"/>
    <w:rsid w:val="00B161B8"/>
    <w:rsid w:val="00B2048C"/>
    <w:rsid w:val="00B310B9"/>
    <w:rsid w:val="00B35F3F"/>
    <w:rsid w:val="00B36CBB"/>
    <w:rsid w:val="00B425E0"/>
    <w:rsid w:val="00B440AA"/>
    <w:rsid w:val="00B44B70"/>
    <w:rsid w:val="00B53C56"/>
    <w:rsid w:val="00B57DAF"/>
    <w:rsid w:val="00B77EA6"/>
    <w:rsid w:val="00B81598"/>
    <w:rsid w:val="00B841F1"/>
    <w:rsid w:val="00B944D6"/>
    <w:rsid w:val="00BB4DF0"/>
    <w:rsid w:val="00BC289F"/>
    <w:rsid w:val="00BC2D50"/>
    <w:rsid w:val="00BC5361"/>
    <w:rsid w:val="00BC5460"/>
    <w:rsid w:val="00BC6B50"/>
    <w:rsid w:val="00BD0E25"/>
    <w:rsid w:val="00BF5BD6"/>
    <w:rsid w:val="00C03E31"/>
    <w:rsid w:val="00C30E69"/>
    <w:rsid w:val="00C33E72"/>
    <w:rsid w:val="00C354B2"/>
    <w:rsid w:val="00C35554"/>
    <w:rsid w:val="00C42709"/>
    <w:rsid w:val="00C533CC"/>
    <w:rsid w:val="00C5751C"/>
    <w:rsid w:val="00C61BFC"/>
    <w:rsid w:val="00C62B85"/>
    <w:rsid w:val="00C65438"/>
    <w:rsid w:val="00C91CBB"/>
    <w:rsid w:val="00CB4E70"/>
    <w:rsid w:val="00CC09B6"/>
    <w:rsid w:val="00CC666F"/>
    <w:rsid w:val="00CD1E3F"/>
    <w:rsid w:val="00CE44F6"/>
    <w:rsid w:val="00CE49DA"/>
    <w:rsid w:val="00CE7B61"/>
    <w:rsid w:val="00D00095"/>
    <w:rsid w:val="00D114F0"/>
    <w:rsid w:val="00D20620"/>
    <w:rsid w:val="00D254F7"/>
    <w:rsid w:val="00D26091"/>
    <w:rsid w:val="00D2685C"/>
    <w:rsid w:val="00D34E7C"/>
    <w:rsid w:val="00D35489"/>
    <w:rsid w:val="00D36AFE"/>
    <w:rsid w:val="00D51276"/>
    <w:rsid w:val="00D7035F"/>
    <w:rsid w:val="00DA634F"/>
    <w:rsid w:val="00DA65AC"/>
    <w:rsid w:val="00DB1913"/>
    <w:rsid w:val="00DC410D"/>
    <w:rsid w:val="00DC5A81"/>
    <w:rsid w:val="00DC68CA"/>
    <w:rsid w:val="00DC7CBA"/>
    <w:rsid w:val="00DD73B7"/>
    <w:rsid w:val="00DF28BC"/>
    <w:rsid w:val="00DF34B9"/>
    <w:rsid w:val="00E01053"/>
    <w:rsid w:val="00E07ACF"/>
    <w:rsid w:val="00E331A1"/>
    <w:rsid w:val="00E33202"/>
    <w:rsid w:val="00E336A9"/>
    <w:rsid w:val="00E472B1"/>
    <w:rsid w:val="00E50624"/>
    <w:rsid w:val="00E568DF"/>
    <w:rsid w:val="00E64269"/>
    <w:rsid w:val="00E66797"/>
    <w:rsid w:val="00E82267"/>
    <w:rsid w:val="00E853CE"/>
    <w:rsid w:val="00E867B6"/>
    <w:rsid w:val="00E87F08"/>
    <w:rsid w:val="00EA010F"/>
    <w:rsid w:val="00ED1B63"/>
    <w:rsid w:val="00ED3C1F"/>
    <w:rsid w:val="00ED4085"/>
    <w:rsid w:val="00ED420E"/>
    <w:rsid w:val="00ED6FBE"/>
    <w:rsid w:val="00EE2F57"/>
    <w:rsid w:val="00EF4C34"/>
    <w:rsid w:val="00EF77C6"/>
    <w:rsid w:val="00F05438"/>
    <w:rsid w:val="00F1361C"/>
    <w:rsid w:val="00F156F0"/>
    <w:rsid w:val="00F160C7"/>
    <w:rsid w:val="00F2408F"/>
    <w:rsid w:val="00F240E9"/>
    <w:rsid w:val="00F36D8F"/>
    <w:rsid w:val="00F417B1"/>
    <w:rsid w:val="00F45853"/>
    <w:rsid w:val="00F602DF"/>
    <w:rsid w:val="00F754A1"/>
    <w:rsid w:val="00F81FD9"/>
    <w:rsid w:val="00F841AA"/>
    <w:rsid w:val="00F84A94"/>
    <w:rsid w:val="00F87E96"/>
    <w:rsid w:val="00FA23E8"/>
    <w:rsid w:val="00FD3CC1"/>
    <w:rsid w:val="00FF1E02"/>
    <w:rsid w:val="00FF30B4"/>
    <w:rsid w:val="10C055FF"/>
    <w:rsid w:val="14654FD2"/>
    <w:rsid w:val="16BB723D"/>
    <w:rsid w:val="1DE7145C"/>
    <w:rsid w:val="1FFA0E1E"/>
    <w:rsid w:val="240371BF"/>
    <w:rsid w:val="24707684"/>
    <w:rsid w:val="29FD04D3"/>
    <w:rsid w:val="2B4425EE"/>
    <w:rsid w:val="319F7F4E"/>
    <w:rsid w:val="33875B77"/>
    <w:rsid w:val="4ECE2238"/>
    <w:rsid w:val="56F566EC"/>
    <w:rsid w:val="65DF5EE2"/>
    <w:rsid w:val="67F66094"/>
    <w:rsid w:val="685D3704"/>
    <w:rsid w:val="72734D90"/>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99"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4"/>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25"/>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28"/>
    <w:unhideWhenUsed/>
    <w:qFormat/>
    <w:uiPriority w:val="9"/>
    <w:pPr>
      <w:keepNext/>
      <w:keepLines/>
      <w:spacing w:before="260" w:after="260" w:line="416" w:lineRule="auto"/>
      <w:outlineLvl w:val="2"/>
    </w:pPr>
    <w:rPr>
      <w:b/>
      <w:bCs/>
      <w:sz w:val="32"/>
      <w:szCs w:val="32"/>
    </w:rPr>
  </w:style>
  <w:style w:type="character" w:default="1" w:styleId="13">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5">
    <w:name w:val="Body Text"/>
    <w:basedOn w:val="1"/>
    <w:link w:val="21"/>
    <w:qFormat/>
    <w:uiPriority w:val="99"/>
    <w:pPr>
      <w:spacing w:beforeLines="30"/>
    </w:pPr>
    <w:rPr>
      <w:rFonts w:ascii="仿宋_GB2312" w:eastAsia="仿宋_GB2312"/>
      <w:kern w:val="0"/>
      <w:sz w:val="30"/>
    </w:rPr>
  </w:style>
  <w:style w:type="paragraph" w:styleId="6">
    <w:name w:val="toc 3"/>
    <w:basedOn w:val="1"/>
    <w:next w:val="1"/>
    <w:unhideWhenUsed/>
    <w:qFormat/>
    <w:uiPriority w:val="39"/>
    <w:pPr>
      <w:tabs>
        <w:tab w:val="right" w:leader="dot" w:pos="8296"/>
      </w:tabs>
      <w:ind w:left="840" w:leftChars="400"/>
    </w:pPr>
  </w:style>
  <w:style w:type="paragraph" w:styleId="7">
    <w:name w:val="Balloon Text"/>
    <w:basedOn w:val="1"/>
    <w:link w:val="27"/>
    <w:semiHidden/>
    <w:unhideWhenUsed/>
    <w:qFormat/>
    <w:uiPriority w:val="99"/>
    <w:rPr>
      <w:sz w:val="18"/>
      <w:szCs w:val="18"/>
    </w:rPr>
  </w:style>
  <w:style w:type="paragraph" w:styleId="8">
    <w:name w:val="footer"/>
    <w:basedOn w:val="1"/>
    <w:link w:val="19"/>
    <w:qFormat/>
    <w:uiPriority w:val="99"/>
    <w:pPr>
      <w:tabs>
        <w:tab w:val="center" w:pos="4153"/>
        <w:tab w:val="right" w:pos="8306"/>
      </w:tabs>
      <w:snapToGrid w:val="0"/>
      <w:jc w:val="left"/>
    </w:pPr>
    <w:rPr>
      <w:rFonts w:ascii="Calibri" w:hAnsi="Calibri"/>
      <w:kern w:val="0"/>
      <w:sz w:val="18"/>
      <w:szCs w:val="18"/>
    </w:rPr>
  </w:style>
  <w:style w:type="paragraph" w:styleId="9">
    <w:name w:val="header"/>
    <w:basedOn w:val="1"/>
    <w:link w:val="17"/>
    <w:semiHidden/>
    <w:qFormat/>
    <w:uiPriority w:val="99"/>
    <w:pPr>
      <w:pBdr>
        <w:bottom w:val="single" w:color="auto" w:sz="6" w:space="1"/>
      </w:pBdr>
      <w:tabs>
        <w:tab w:val="center" w:pos="4153"/>
        <w:tab w:val="right" w:pos="8306"/>
      </w:tabs>
      <w:snapToGrid w:val="0"/>
      <w:jc w:val="center"/>
    </w:pPr>
    <w:rPr>
      <w:rFonts w:ascii="Calibri" w:hAnsi="Calibri"/>
      <w:kern w:val="0"/>
      <w:sz w:val="18"/>
      <w:szCs w:val="18"/>
    </w:rPr>
  </w:style>
  <w:style w:type="paragraph" w:styleId="10">
    <w:name w:val="toc 1"/>
    <w:basedOn w:val="1"/>
    <w:next w:val="1"/>
    <w:unhideWhenUsed/>
    <w:qFormat/>
    <w:uiPriority w:val="39"/>
    <w:pPr>
      <w:tabs>
        <w:tab w:val="right" w:leader="dot" w:pos="8296"/>
      </w:tabs>
      <w:spacing w:before="93"/>
      <w:jc w:val="center"/>
    </w:pPr>
    <w:rPr>
      <w:rFonts w:ascii="仿宋" w:hAnsi="仿宋" w:eastAsia="仿宋"/>
      <w:sz w:val="28"/>
      <w:szCs w:val="28"/>
    </w:rPr>
  </w:style>
  <w:style w:type="paragraph" w:styleId="11">
    <w:name w:val="toc 2"/>
    <w:basedOn w:val="1"/>
    <w:next w:val="1"/>
    <w:unhideWhenUsed/>
    <w:qFormat/>
    <w:uiPriority w:val="39"/>
    <w:pPr>
      <w:tabs>
        <w:tab w:val="right" w:leader="dot" w:pos="8296"/>
      </w:tabs>
      <w:ind w:left="420" w:leftChars="200"/>
    </w:pPr>
  </w:style>
  <w:style w:type="character" w:styleId="14">
    <w:name w:val="Strong"/>
    <w:basedOn w:val="13"/>
    <w:qFormat/>
    <w:uiPriority w:val="99"/>
    <w:rPr>
      <w:b/>
    </w:rPr>
  </w:style>
  <w:style w:type="character" w:styleId="15">
    <w:name w:val="Hyperlink"/>
    <w:basedOn w:val="13"/>
    <w:unhideWhenUsed/>
    <w:qFormat/>
    <w:uiPriority w:val="99"/>
    <w:rPr>
      <w:color w:val="0000FF" w:themeColor="hyperlink"/>
      <w:u w:val="single"/>
    </w:rPr>
  </w:style>
  <w:style w:type="character" w:customStyle="1" w:styleId="16">
    <w:name w:val="Header Char"/>
    <w:basedOn w:val="13"/>
    <w:semiHidden/>
    <w:qFormat/>
    <w:uiPriority w:val="99"/>
    <w:rPr>
      <w:rFonts w:ascii="Times New Roman" w:hAnsi="Times New Roman"/>
      <w:sz w:val="18"/>
      <w:szCs w:val="18"/>
    </w:rPr>
  </w:style>
  <w:style w:type="character" w:customStyle="1" w:styleId="17">
    <w:name w:val="页眉 Char"/>
    <w:link w:val="9"/>
    <w:semiHidden/>
    <w:qFormat/>
    <w:locked/>
    <w:uiPriority w:val="99"/>
    <w:rPr>
      <w:sz w:val="18"/>
    </w:rPr>
  </w:style>
  <w:style w:type="character" w:customStyle="1" w:styleId="18">
    <w:name w:val="Footer Char"/>
    <w:basedOn w:val="13"/>
    <w:semiHidden/>
    <w:qFormat/>
    <w:uiPriority w:val="99"/>
    <w:rPr>
      <w:rFonts w:ascii="Times New Roman" w:hAnsi="Times New Roman"/>
      <w:sz w:val="18"/>
      <w:szCs w:val="18"/>
    </w:rPr>
  </w:style>
  <w:style w:type="character" w:customStyle="1" w:styleId="19">
    <w:name w:val="页脚 Char"/>
    <w:link w:val="8"/>
    <w:qFormat/>
    <w:locked/>
    <w:uiPriority w:val="99"/>
    <w:rPr>
      <w:sz w:val="18"/>
    </w:rPr>
  </w:style>
  <w:style w:type="character" w:customStyle="1" w:styleId="20">
    <w:name w:val="Body Text Char"/>
    <w:basedOn w:val="13"/>
    <w:semiHidden/>
    <w:qFormat/>
    <w:uiPriority w:val="99"/>
    <w:rPr>
      <w:rFonts w:ascii="Times New Roman" w:hAnsi="Times New Roman"/>
      <w:szCs w:val="24"/>
    </w:rPr>
  </w:style>
  <w:style w:type="character" w:customStyle="1" w:styleId="21">
    <w:name w:val="正文文本 Char"/>
    <w:link w:val="5"/>
    <w:qFormat/>
    <w:locked/>
    <w:uiPriority w:val="99"/>
    <w:rPr>
      <w:rFonts w:ascii="仿宋_GB2312" w:hAnsi="Times New Roman" w:eastAsia="仿宋_GB2312"/>
      <w:sz w:val="24"/>
    </w:rPr>
  </w:style>
  <w:style w:type="paragraph" w:customStyle="1" w:styleId="22">
    <w:name w:val="Default"/>
    <w:qFormat/>
    <w:uiPriority w:val="99"/>
    <w:pPr>
      <w:widowControl w:val="0"/>
      <w:autoSpaceDE w:val="0"/>
      <w:autoSpaceDN w:val="0"/>
      <w:adjustRightInd w:val="0"/>
    </w:pPr>
    <w:rPr>
      <w:rFonts w:ascii="仿宋" w:hAnsi="Calibri" w:eastAsia="仿宋" w:cs="仿宋"/>
      <w:color w:val="000000"/>
      <w:sz w:val="24"/>
      <w:szCs w:val="24"/>
      <w:lang w:val="en-US" w:eastAsia="zh-CN" w:bidi="ar-SA"/>
    </w:rPr>
  </w:style>
  <w:style w:type="paragraph" w:styleId="23">
    <w:name w:val="List Paragraph"/>
    <w:basedOn w:val="1"/>
    <w:qFormat/>
    <w:uiPriority w:val="34"/>
    <w:pPr>
      <w:ind w:firstLine="420" w:firstLineChars="200"/>
    </w:pPr>
  </w:style>
  <w:style w:type="character" w:customStyle="1" w:styleId="24">
    <w:name w:val="标题 1 Char"/>
    <w:basedOn w:val="13"/>
    <w:link w:val="2"/>
    <w:qFormat/>
    <w:uiPriority w:val="9"/>
    <w:rPr>
      <w:rFonts w:ascii="Times New Roman" w:hAnsi="Times New Roman"/>
      <w:b/>
      <w:bCs/>
      <w:kern w:val="44"/>
      <w:sz w:val="44"/>
      <w:szCs w:val="44"/>
    </w:rPr>
  </w:style>
  <w:style w:type="character" w:customStyle="1" w:styleId="25">
    <w:name w:val="标题 2 Char"/>
    <w:basedOn w:val="13"/>
    <w:link w:val="3"/>
    <w:qFormat/>
    <w:uiPriority w:val="9"/>
    <w:rPr>
      <w:rFonts w:asciiTheme="majorHAnsi" w:hAnsiTheme="majorHAnsi" w:eastAsiaTheme="majorEastAsia" w:cstheme="majorBidi"/>
      <w:b/>
      <w:bCs/>
      <w:kern w:val="2"/>
      <w:sz w:val="32"/>
      <w:szCs w:val="32"/>
    </w:rPr>
  </w:style>
  <w:style w:type="paragraph" w:customStyle="1" w:styleId="26">
    <w:name w:val="TOC 标题1"/>
    <w:basedOn w:val="2"/>
    <w:next w:val="1"/>
    <w:unhideWhenUsed/>
    <w:qFormat/>
    <w:uiPriority w:val="39"/>
    <w:pPr>
      <w:widowControl/>
      <w:spacing w:before="480" w:after="0" w:line="276" w:lineRule="auto"/>
      <w:jc w:val="left"/>
      <w:outlineLvl w:val="9"/>
    </w:pPr>
    <w:rPr>
      <w:rFonts w:asciiTheme="majorHAnsi" w:hAnsiTheme="majorHAnsi" w:eastAsiaTheme="majorEastAsia" w:cstheme="majorBidi"/>
      <w:color w:val="366091" w:themeColor="accent1" w:themeShade="BF"/>
      <w:kern w:val="0"/>
      <w:sz w:val="28"/>
      <w:szCs w:val="28"/>
    </w:rPr>
  </w:style>
  <w:style w:type="character" w:customStyle="1" w:styleId="27">
    <w:name w:val="批注框文本 Char"/>
    <w:basedOn w:val="13"/>
    <w:link w:val="7"/>
    <w:semiHidden/>
    <w:qFormat/>
    <w:uiPriority w:val="99"/>
    <w:rPr>
      <w:rFonts w:ascii="Times New Roman" w:hAnsi="Times New Roman"/>
      <w:kern w:val="2"/>
      <w:sz w:val="18"/>
      <w:szCs w:val="18"/>
    </w:rPr>
  </w:style>
  <w:style w:type="character" w:customStyle="1" w:styleId="28">
    <w:name w:val="标题 3 Char"/>
    <w:basedOn w:val="13"/>
    <w:link w:val="4"/>
    <w:qFormat/>
    <w:uiPriority w:val="9"/>
    <w:rPr>
      <w:rFonts w:ascii="Times New Roman" w:hAnsi="Times New Roman"/>
      <w:b/>
      <w:bCs/>
      <w:kern w:val="2"/>
      <w:sz w:val="32"/>
      <w:szCs w:val="32"/>
    </w:rPr>
  </w:style>
  <w:style w:type="paragraph" w:customStyle="1" w:styleId="29">
    <w:name w:val="TOC Heading"/>
    <w:basedOn w:val="2"/>
    <w:next w:val="1"/>
    <w:unhideWhenUsed/>
    <w:qFormat/>
    <w:uiPriority w:val="39"/>
    <w:pPr>
      <w:widowControl/>
      <w:spacing w:before="480" w:after="0" w:line="276" w:lineRule="auto"/>
      <w:jc w:val="left"/>
      <w:outlineLvl w:val="9"/>
    </w:pPr>
    <w:rPr>
      <w:rFonts w:asciiTheme="majorHAnsi" w:hAnsiTheme="majorHAnsi" w:eastAsiaTheme="majorEastAsia" w:cstheme="majorBidi"/>
      <w:color w:val="366091" w:themeColor="accent1" w:themeShade="BF"/>
      <w:kern w:val="0"/>
      <w:sz w:val="28"/>
      <w:szCs w:val="28"/>
    </w:rPr>
  </w:style>
</w:styles>
</file>

<file path=word/_rels/document.xml.rels><?xml version="1.0" encoding="UTF-8" standalone="yes"?>
<Relationships xmlns="http://schemas.openxmlformats.org/package/2006/relationships"><Relationship Id="rId9" Type="http://schemas.openxmlformats.org/officeDocument/2006/relationships/chart" Target="charts/chart4.xml"/><Relationship Id="rId8" Type="http://schemas.openxmlformats.org/officeDocument/2006/relationships/chart" Target="charts/chart3.xml"/><Relationship Id="rId7" Type="http://schemas.openxmlformats.org/officeDocument/2006/relationships/chart" Target="charts/chart2.xml"/><Relationship Id="rId6" Type="http://schemas.openxmlformats.org/officeDocument/2006/relationships/chart" Target="charts/chart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2.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chart" Target="charts/chart7.xml"/><Relationship Id="rId11" Type="http://schemas.openxmlformats.org/officeDocument/2006/relationships/chart" Target="charts/chart6.xml"/><Relationship Id="rId10" Type="http://schemas.openxmlformats.org/officeDocument/2006/relationships/chart" Target="charts/chart5.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3" Type="http://schemas.microsoft.com/office/2011/relationships/chartColorStyle" Target="colors3.xml"/><Relationship Id="rId2" Type="http://schemas.microsoft.com/office/2011/relationships/chartStyle" Target="style3.xml"/><Relationship Id="rId1" Type="http://schemas.openxmlformats.org/officeDocument/2006/relationships/package" Target="../embeddings/Workbook3.xlsx"/></Relationships>
</file>

<file path=word/charts/_rels/chart2.xml.rels><?xml version="1.0" encoding="UTF-8" standalone="yes"?>
<Relationships xmlns="http://schemas.openxmlformats.org/package/2006/relationships"><Relationship Id="rId3" Type="http://schemas.microsoft.com/office/2011/relationships/chartColorStyle" Target="colors2.xml"/><Relationship Id="rId2" Type="http://schemas.microsoft.com/office/2011/relationships/chartStyle" Target="style2.xml"/><Relationship Id="rId1" Type="http://schemas.openxmlformats.org/officeDocument/2006/relationships/package" Target="../embeddings/Workbook2.xlsx"/></Relationships>
</file>

<file path=word/charts/_rels/chart3.xml.rels><?xml version="1.0" encoding="UTF-8" standalone="yes"?>
<Relationships xmlns="http://schemas.openxmlformats.org/package/2006/relationships"><Relationship Id="rId3" Type="http://schemas.microsoft.com/office/2011/relationships/chartColorStyle" Target="colors5.xml"/><Relationship Id="rId2" Type="http://schemas.microsoft.com/office/2011/relationships/chartStyle" Target="style5.xml"/><Relationship Id="rId1" Type="http://schemas.openxmlformats.org/officeDocument/2006/relationships/package" Target="../embeddings/Workbook5.xlsx"/></Relationships>
</file>

<file path=word/charts/_rels/chart4.xml.rels><?xml version="1.0" encoding="UTF-8" standalone="yes"?>
<Relationships xmlns="http://schemas.openxmlformats.org/package/2006/relationships"><Relationship Id="rId3" Type="http://schemas.microsoft.com/office/2011/relationships/chartColorStyle" Target="colors4.xml"/><Relationship Id="rId2" Type="http://schemas.microsoft.com/office/2011/relationships/chartStyle" Target="style4.xml"/><Relationship Id="rId1" Type="http://schemas.openxmlformats.org/officeDocument/2006/relationships/package" Target="../embeddings/Workbook4.xlsx"/></Relationships>
</file>

<file path=word/charts/_rels/chart5.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package" Target="../embeddings/Workbook1.xlsx"/></Relationships>
</file>

<file path=word/charts/_rels/chart6.xml.rels><?xml version="1.0" encoding="UTF-8" standalone="yes"?>
<Relationships xmlns="http://schemas.openxmlformats.org/package/2006/relationships"><Relationship Id="rId3" Type="http://schemas.microsoft.com/office/2011/relationships/chartColorStyle" Target="colors7.xml"/><Relationship Id="rId2" Type="http://schemas.microsoft.com/office/2011/relationships/chartStyle" Target="style7.xml"/><Relationship Id="rId1" Type="http://schemas.openxmlformats.org/officeDocument/2006/relationships/package" Target="../embeddings/Workbook7.xlsx"/></Relationships>
</file>

<file path=word/charts/_rels/chart7.xml.rels><?xml version="1.0" encoding="UTF-8" standalone="yes"?>
<Relationships xmlns="http://schemas.openxmlformats.org/package/2006/relationships"><Relationship Id="rId3" Type="http://schemas.microsoft.com/office/2011/relationships/chartColorStyle" Target="colors6.xml"/><Relationship Id="rId2" Type="http://schemas.microsoft.com/office/2011/relationships/chartStyle" Target="style6.xml"/><Relationship Id="rId1" Type="http://schemas.openxmlformats.org/officeDocument/2006/relationships/package" Target="../embeddings/Workbook6.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042075"/>
          <c:y val="0.127414728682171"/>
          <c:w val="0.927925"/>
          <c:h val="0.716566666666667"/>
        </c:manualLayout>
      </c:layout>
      <c:barChart>
        <c:barDir val="col"/>
        <c:grouping val="clustered"/>
        <c:varyColors val="0"/>
        <c:ser>
          <c:idx val="0"/>
          <c:order val="0"/>
          <c:tx>
            <c:strRef>
              <c:f>Sheet1!$B$1</c:f>
              <c:strCache>
                <c:ptCount val="1"/>
                <c:pt idx="0">
                  <c:v>收入</c:v>
                </c:pt>
              </c:strCache>
            </c:strRef>
          </c:tx>
          <c:spPr>
            <a:solidFill>
              <a:schemeClr val="accent1"/>
            </a:solidFill>
            <a:ln>
              <a:noFill/>
            </a:ln>
            <a:effectLst/>
          </c:spPr>
          <c:invertIfNegative val="0"/>
          <c:dLbls>
            <c:delete val="1"/>
          </c:dLbls>
          <c:cat>
            <c:strRef>
              <c:f>Sheet1!$A$2:$A$3</c:f>
              <c:strCache>
                <c:ptCount val="2"/>
                <c:pt idx="0">
                  <c:v>2018年</c:v>
                </c:pt>
                <c:pt idx="1">
                  <c:v>2019年</c:v>
                </c:pt>
              </c:strCache>
            </c:strRef>
          </c:cat>
          <c:val>
            <c:numRef>
              <c:f>Sheet1!$B$2:$B$3</c:f>
              <c:numCache>
                <c:formatCode>General</c:formatCode>
                <c:ptCount val="2"/>
                <c:pt idx="0">
                  <c:v>947.56</c:v>
                </c:pt>
                <c:pt idx="1">
                  <c:v>8756.46</c:v>
                </c:pt>
              </c:numCache>
            </c:numRef>
          </c:val>
        </c:ser>
        <c:ser>
          <c:idx val="1"/>
          <c:order val="1"/>
          <c:tx>
            <c:strRef>
              <c:f>Sheet1!$C$1</c:f>
              <c:strCache>
                <c:ptCount val="1"/>
                <c:pt idx="0">
                  <c:v>支出</c:v>
                </c:pt>
              </c:strCache>
            </c:strRef>
          </c:tx>
          <c:spPr>
            <a:solidFill>
              <a:schemeClr val="accent2"/>
            </a:solidFill>
            <a:ln>
              <a:noFill/>
            </a:ln>
            <a:effectLst/>
          </c:spPr>
          <c:invertIfNegative val="0"/>
          <c:dLbls>
            <c:delete val="1"/>
          </c:dLbls>
          <c:cat>
            <c:strRef>
              <c:f>Sheet1!$A$2:$A$3</c:f>
              <c:strCache>
                <c:ptCount val="2"/>
                <c:pt idx="0">
                  <c:v>2018年</c:v>
                </c:pt>
                <c:pt idx="1">
                  <c:v>2019年</c:v>
                </c:pt>
              </c:strCache>
            </c:strRef>
          </c:cat>
          <c:val>
            <c:numRef>
              <c:f>Sheet1!$C$2:$C$3</c:f>
              <c:numCache>
                <c:formatCode>General</c:formatCode>
                <c:ptCount val="2"/>
                <c:pt idx="0">
                  <c:v>979.36</c:v>
                </c:pt>
                <c:pt idx="1">
                  <c:v>8756.46</c:v>
                </c:pt>
              </c:numCache>
            </c:numRef>
          </c:val>
        </c:ser>
        <c:ser>
          <c:idx val="2"/>
          <c:order val="2"/>
          <c:tx>
            <c:strRef>
              <c:f>Sheet1!#REF!</c:f>
              <c:strCache>
                <c:ptCount val="1"/>
                <c:pt idx="0">
                  <c:v/>
                </c:pt>
              </c:strCache>
            </c:strRef>
          </c:tx>
          <c:spPr>
            <a:solidFill>
              <a:schemeClr val="accent3"/>
            </a:solidFill>
            <a:ln>
              <a:noFill/>
            </a:ln>
            <a:effectLst/>
          </c:spPr>
          <c:invertIfNegative val="0"/>
          <c:dLbls>
            <c:delete val="1"/>
          </c:dLbls>
          <c:cat>
            <c:strRef>
              <c:f>Sheet1!$A$2:$A$3</c:f>
              <c:strCache>
                <c:ptCount val="2"/>
                <c:pt idx="0">
                  <c:v>2018年</c:v>
                </c:pt>
                <c:pt idx="1">
                  <c:v>2019年</c:v>
                </c:pt>
              </c:strCache>
            </c:strRef>
          </c:cat>
          <c:val>
            <c:numRef>
              <c:f>Sheet1!#REF!</c:f>
              <c:numCache>
                <c:formatCode>General</c:formatCode>
                <c:ptCount val="1"/>
                <c:pt idx="0">
                  <c:v>1</c:v>
                </c:pt>
              </c:numCache>
            </c:numRef>
          </c:val>
        </c:ser>
        <c:dLbls>
          <c:showLegendKey val="0"/>
          <c:showVal val="0"/>
          <c:showCatName val="0"/>
          <c:showSerName val="0"/>
          <c:showPercent val="0"/>
          <c:showBubbleSize val="0"/>
        </c:dLbls>
        <c:gapWidth val="219"/>
        <c:overlap val="-27"/>
        <c:axId val="892484385"/>
        <c:axId val="420694311"/>
      </c:barChart>
      <c:catAx>
        <c:axId val="892484385"/>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420694311"/>
        <c:crosses val="autoZero"/>
        <c:auto val="1"/>
        <c:lblAlgn val="ctr"/>
        <c:lblOffset val="100"/>
        <c:noMultiLvlLbl val="0"/>
      </c:catAx>
      <c:valAx>
        <c:axId val="420694311"/>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892484385"/>
        <c:crosses val="autoZero"/>
        <c:crossBetween val="between"/>
      </c:valAx>
      <c:spPr>
        <a:noFill/>
        <a:ln>
          <a:noFill/>
        </a:ln>
        <a:effectLst/>
      </c:spPr>
    </c:plotArea>
    <c:legend>
      <c:legendPos val="b"/>
      <c:legendEntry>
        <c:idx val="2"/>
        <c:delete val="1"/>
      </c:legendEntry>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t>收入情况</a:t>
            </a:r>
          </a:p>
        </c:rich>
      </c:tx>
      <c:layout/>
      <c:overlay val="0"/>
      <c:spPr>
        <a:noFill/>
        <a:ln>
          <a:noFill/>
        </a:ln>
        <a:effectLst/>
      </c:spPr>
    </c:title>
    <c:autoTitleDeleted val="0"/>
    <c:plotArea>
      <c:layout/>
      <c:pieChart>
        <c:varyColors val="1"/>
        <c:ser>
          <c:idx val="0"/>
          <c:order val="0"/>
          <c:tx>
            <c:strRef>
              <c:f>Sheet1!$B$1</c:f>
              <c:strCache>
                <c:ptCount val="1"/>
                <c:pt idx="0">
                  <c:v>销售额</c:v>
                </c:pt>
              </c:strCache>
            </c:strRef>
          </c:tx>
          <c:spPr/>
          <c:explosion val="0"/>
          <c:dPt>
            <c:idx val="0"/>
            <c:bubble3D val="0"/>
            <c:spPr>
              <a:solidFill>
                <a:schemeClr val="accent1"/>
              </a:solidFill>
              <a:ln w="19050">
                <a:solidFill>
                  <a:schemeClr val="lt1"/>
                </a:solidFill>
              </a:ln>
              <a:effectLst/>
            </c:spPr>
          </c:dPt>
          <c:dPt>
            <c:idx val="1"/>
            <c:bubble3D val="0"/>
            <c:spPr>
              <a:solidFill>
                <a:schemeClr val="accent2"/>
              </a:solidFill>
              <a:ln w="19050">
                <a:solidFill>
                  <a:schemeClr val="lt1"/>
                </a:solidFill>
              </a:ln>
              <a:effectLst/>
            </c:spPr>
          </c:dPt>
          <c:dPt>
            <c:idx val="2"/>
            <c:bubble3D val="0"/>
            <c:spPr>
              <a:solidFill>
                <a:schemeClr val="accent3"/>
              </a:solidFill>
              <a:ln w="19050">
                <a:solidFill>
                  <a:schemeClr val="lt1"/>
                </a:solidFill>
              </a:ln>
              <a:effectLst/>
            </c:spPr>
          </c:dPt>
          <c:dPt>
            <c:idx val="3"/>
            <c:bubble3D val="0"/>
            <c:spPr>
              <a:solidFill>
                <a:schemeClr val="accent4"/>
              </a:solidFill>
              <a:ln w="19050">
                <a:solidFill>
                  <a:schemeClr val="lt1"/>
                </a:solidFill>
              </a:ln>
              <a:effectLst/>
            </c:spPr>
          </c:dPt>
          <c:dLbls>
            <c:delete val="1"/>
          </c:dLbls>
          <c:cat>
            <c:strRef>
              <c:f>Sheet1!$A$2:$A$5</c:f>
              <c:strCache>
                <c:ptCount val="4"/>
                <c:pt idx="0">
                  <c:v>一般公共预算财政拨款收入</c:v>
                </c:pt>
                <c:pt idx="1">
                  <c:v>政府性基金预算财政拨款收入</c:v>
                </c:pt>
                <c:pt idx="2">
                  <c:v>其他收入</c:v>
                </c:pt>
                <c:pt idx="3">
                  <c:v>年初结转和结余</c:v>
                </c:pt>
              </c:strCache>
            </c:strRef>
          </c:cat>
          <c:val>
            <c:numRef>
              <c:f>Sheet1!$B$2:$B$5</c:f>
              <c:numCache>
                <c:formatCode>General</c:formatCode>
                <c:ptCount val="4"/>
                <c:pt idx="0">
                  <c:v>4727.45</c:v>
                </c:pt>
                <c:pt idx="1">
                  <c:v>4000</c:v>
                </c:pt>
                <c:pt idx="2">
                  <c:v>24.43</c:v>
                </c:pt>
                <c:pt idx="3">
                  <c:v>4.58</c:v>
                </c:pt>
              </c:numCache>
            </c:numRef>
          </c:val>
        </c:ser>
        <c:dLbls>
          <c:showLegendKey val="0"/>
          <c:showVal val="0"/>
          <c:showCatName val="0"/>
          <c:showSerName val="0"/>
          <c:showPercent val="0"/>
          <c:showBubbleSize val="0"/>
          <c:showLeaderLines val="1"/>
        </c:dLbls>
        <c:firstSliceAng val="0"/>
      </c:pieChart>
      <c:spPr>
        <a:noFill/>
        <a:ln>
          <a:noFill/>
        </a:ln>
        <a:effectLst/>
      </c:spPr>
    </c:plotArea>
    <c:legend>
      <c:legendPos val="b"/>
      <c:layout>
        <c:manualLayout>
          <c:xMode val="edge"/>
          <c:yMode val="edge"/>
          <c:x val="0.159042553191489"/>
          <c:y val="0.781288218507949"/>
          <c:w val="0.737234042553191"/>
          <c:h val="0.2013860578883"/>
        </c:manualLayout>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spPr>
        <a:noFill/>
        <a:ln>
          <a:noFill/>
        </a:ln>
        <a:effectLst/>
      </c:spPr>
      <c:txPr>
        <a:bodyPr rot="0" spcFirstLastPara="0" vertOverflow="ellipsis" vert="horz" wrap="square" anchor="ctr" anchorCtr="1"/>
        <a:lstStyle/>
        <a:p>
          <a:pPr>
            <a:defRPr lang="zh-CN" sz="1400" b="0" i="0" u="none" strike="noStrike" kern="1200" spc="0" baseline="0">
              <a:solidFill>
                <a:schemeClr val="tx1">
                  <a:lumMod val="65000"/>
                  <a:lumOff val="35000"/>
                </a:schemeClr>
              </a:solidFill>
              <a:latin typeface="+mn-lt"/>
              <a:ea typeface="+mn-ea"/>
              <a:cs typeface="+mn-cs"/>
            </a:defRPr>
          </a:pPr>
        </a:p>
      </c:txPr>
    </c:title>
    <c:autoTitleDeleted val="0"/>
    <c:plotArea>
      <c:layout/>
      <c:pieChart>
        <c:varyColors val="1"/>
        <c:ser>
          <c:idx val="0"/>
          <c:order val="0"/>
          <c:tx>
            <c:strRef>
              <c:f>Sheet1!$B$1</c:f>
              <c:strCache>
                <c:ptCount val="1"/>
                <c:pt idx="0">
                  <c:v>支出情况</c:v>
                </c:pt>
              </c:strCache>
            </c:strRef>
          </c:tx>
          <c:spPr/>
          <c:explosion val="0"/>
          <c:dPt>
            <c:idx val="0"/>
            <c:bubble3D val="0"/>
            <c:spPr>
              <a:solidFill>
                <a:schemeClr val="accent1"/>
              </a:solidFill>
              <a:ln w="19050">
                <a:solidFill>
                  <a:schemeClr val="lt1"/>
                </a:solidFill>
              </a:ln>
              <a:effectLst/>
            </c:spPr>
          </c:dPt>
          <c:dPt>
            <c:idx val="1"/>
            <c:bubble3D val="0"/>
            <c:spPr>
              <a:solidFill>
                <a:schemeClr val="accent2"/>
              </a:solidFill>
              <a:ln w="19050">
                <a:solidFill>
                  <a:schemeClr val="lt1"/>
                </a:solidFill>
              </a:ln>
              <a:effectLst/>
            </c:spPr>
          </c:dPt>
          <c:dPt>
            <c:idx val="2"/>
            <c:bubble3D val="0"/>
            <c:spPr>
              <a:solidFill>
                <a:schemeClr val="accent3"/>
              </a:solidFill>
              <a:ln w="19050">
                <a:solidFill>
                  <a:schemeClr val="lt1"/>
                </a:solidFill>
              </a:ln>
              <a:effectLst/>
            </c:spPr>
          </c:dPt>
          <c:dPt>
            <c:idx val="3"/>
            <c:bubble3D val="0"/>
            <c:spPr>
              <a:solidFill>
                <a:schemeClr val="accent4"/>
              </a:solidFill>
              <a:ln w="19050">
                <a:solidFill>
                  <a:schemeClr val="lt1"/>
                </a:solidFill>
              </a:ln>
              <a:effectLst/>
            </c:spPr>
          </c:dPt>
          <c:dLbls>
            <c:delete val="1"/>
          </c:dLbls>
          <c:cat>
            <c:strRef>
              <c:f>Sheet1!$A$2:$A$5</c:f>
              <c:strCache>
                <c:ptCount val="4"/>
                <c:pt idx="0">
                  <c:v>基本支出</c:v>
                </c:pt>
                <c:pt idx="1">
                  <c:v>项目支出</c:v>
                </c:pt>
              </c:strCache>
            </c:strRef>
          </c:cat>
          <c:val>
            <c:numRef>
              <c:f>Sheet1!$B$2:$B$5</c:f>
              <c:numCache>
                <c:formatCode>General</c:formatCode>
                <c:ptCount val="4"/>
                <c:pt idx="0">
                  <c:v>903.57</c:v>
                </c:pt>
                <c:pt idx="1">
                  <c:v>7843.26</c:v>
                </c:pt>
              </c:numCache>
            </c:numRef>
          </c:val>
        </c:ser>
        <c:dLbls>
          <c:showLegendKey val="0"/>
          <c:showVal val="0"/>
          <c:showCatName val="0"/>
          <c:showSerName val="0"/>
          <c:showPercent val="0"/>
          <c:showBubbleSize val="0"/>
          <c:showLeaderLines val="1"/>
        </c:dLbls>
        <c:firstSliceAng val="0"/>
      </c:pieChart>
      <c:spPr>
        <a:noFill/>
        <a:ln>
          <a:noFill/>
        </a:ln>
        <a:effectLst/>
      </c:spPr>
    </c:plotArea>
    <c:legend>
      <c:legendPos val="b"/>
      <c:legendEntry>
        <c:idx val="2"/>
        <c:delete val="1"/>
      </c:legendEntry>
      <c:legendEntry>
        <c:idx val="3"/>
        <c:delete val="1"/>
      </c:legendEntry>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082552975510722"/>
          <c:y val="0.130513961958721"/>
          <c:w val="0.913640400964345"/>
          <c:h val="0.698583569405099"/>
        </c:manualLayout>
      </c:layout>
      <c:barChart>
        <c:barDir val="col"/>
        <c:grouping val="clustered"/>
        <c:varyColors val="0"/>
        <c:ser>
          <c:idx val="0"/>
          <c:order val="0"/>
          <c:tx>
            <c:strRef>
              <c:f>Sheet1!$B$1</c:f>
              <c:strCache>
                <c:ptCount val="1"/>
                <c:pt idx="0">
                  <c:v>财政拨款收入</c:v>
                </c:pt>
              </c:strCache>
            </c:strRef>
          </c:tx>
          <c:spPr>
            <a:solidFill>
              <a:schemeClr val="accent1"/>
            </a:solidFill>
            <a:ln>
              <a:noFill/>
            </a:ln>
            <a:effectLst/>
          </c:spPr>
          <c:invertIfNegative val="0"/>
          <c:dLbls>
            <c:delete val="1"/>
          </c:dLbls>
          <c:cat>
            <c:strRef>
              <c:f>Sheet1!$A$2:$A$3</c:f>
              <c:strCache>
                <c:ptCount val="2"/>
                <c:pt idx="0">
                  <c:v>2018年</c:v>
                </c:pt>
                <c:pt idx="1">
                  <c:v>2019年</c:v>
                </c:pt>
              </c:strCache>
            </c:strRef>
          </c:cat>
          <c:val>
            <c:numRef>
              <c:f>Sheet1!$B$2:$B$3</c:f>
              <c:numCache>
                <c:formatCode>General</c:formatCode>
                <c:ptCount val="2"/>
                <c:pt idx="0">
                  <c:v>947.56</c:v>
                </c:pt>
                <c:pt idx="1">
                  <c:v>8756.46</c:v>
                </c:pt>
              </c:numCache>
            </c:numRef>
          </c:val>
        </c:ser>
        <c:ser>
          <c:idx val="1"/>
          <c:order val="1"/>
          <c:tx>
            <c:strRef>
              <c:f>Sheet1!$C$1</c:f>
              <c:strCache>
                <c:ptCount val="1"/>
                <c:pt idx="0">
                  <c:v>财政拨款支出</c:v>
                </c:pt>
              </c:strCache>
            </c:strRef>
          </c:tx>
          <c:spPr>
            <a:solidFill>
              <a:schemeClr val="accent2"/>
            </a:solidFill>
            <a:ln>
              <a:noFill/>
            </a:ln>
            <a:effectLst/>
          </c:spPr>
          <c:invertIfNegative val="0"/>
          <c:dLbls>
            <c:delete val="1"/>
          </c:dLbls>
          <c:cat>
            <c:strRef>
              <c:f>Sheet1!$A$2:$A$3</c:f>
              <c:strCache>
                <c:ptCount val="2"/>
                <c:pt idx="0">
                  <c:v>2018年</c:v>
                </c:pt>
                <c:pt idx="1">
                  <c:v>2019年</c:v>
                </c:pt>
              </c:strCache>
            </c:strRef>
          </c:cat>
          <c:val>
            <c:numRef>
              <c:f>Sheet1!$C$2:$C$3</c:f>
              <c:numCache>
                <c:formatCode>General</c:formatCode>
                <c:ptCount val="2"/>
                <c:pt idx="0">
                  <c:v>979.36</c:v>
                </c:pt>
                <c:pt idx="1">
                  <c:v>8756.46</c:v>
                </c:pt>
              </c:numCache>
            </c:numRef>
          </c:val>
        </c:ser>
        <c:ser>
          <c:idx val="2"/>
          <c:order val="2"/>
          <c:tx>
            <c:strRef>
              <c:f>Sheet1!#REF!</c:f>
              <c:strCache>
                <c:ptCount val="1"/>
                <c:pt idx="0">
                  <c:v/>
                </c:pt>
              </c:strCache>
            </c:strRef>
          </c:tx>
          <c:spPr>
            <a:solidFill>
              <a:schemeClr val="accent3"/>
            </a:solidFill>
            <a:ln>
              <a:noFill/>
            </a:ln>
            <a:effectLst/>
          </c:spPr>
          <c:invertIfNegative val="0"/>
          <c:dLbls>
            <c:delete val="1"/>
          </c:dLbls>
          <c:cat>
            <c:strRef>
              <c:f>Sheet1!$A$2:$A$3</c:f>
              <c:strCache>
                <c:ptCount val="2"/>
                <c:pt idx="0">
                  <c:v>2018年</c:v>
                </c:pt>
                <c:pt idx="1">
                  <c:v>2019年</c:v>
                </c:pt>
              </c:strCache>
            </c:strRef>
          </c:cat>
          <c:val>
            <c:numRef>
              <c:f>Sheet1!#REF!</c:f>
              <c:numCache>
                <c:formatCode>General</c:formatCode>
                <c:ptCount val="1"/>
                <c:pt idx="0">
                  <c:v>1</c:v>
                </c:pt>
              </c:numCache>
            </c:numRef>
          </c:val>
        </c:ser>
        <c:dLbls>
          <c:showLegendKey val="0"/>
          <c:showVal val="0"/>
          <c:showCatName val="0"/>
          <c:showSerName val="0"/>
          <c:showPercent val="0"/>
          <c:showBubbleSize val="0"/>
        </c:dLbls>
        <c:gapWidth val="219"/>
        <c:overlap val="-27"/>
        <c:axId val="892484385"/>
        <c:axId val="420694311"/>
      </c:barChart>
      <c:catAx>
        <c:axId val="892484385"/>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420694311"/>
        <c:crosses val="autoZero"/>
        <c:auto val="1"/>
        <c:lblAlgn val="ctr"/>
        <c:lblOffset val="100"/>
        <c:noMultiLvlLbl val="0"/>
      </c:catAx>
      <c:valAx>
        <c:axId val="420694311"/>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892484385"/>
        <c:crosses val="autoZero"/>
        <c:crossBetween val="between"/>
      </c:valAx>
      <c:spPr>
        <a:noFill/>
        <a:ln>
          <a:noFill/>
        </a:ln>
        <a:effectLst/>
      </c:spPr>
    </c:plotArea>
    <c:legend>
      <c:legendPos val="b"/>
      <c:legendEntry>
        <c:idx val="2"/>
        <c:delete val="1"/>
      </c:legendEntry>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082552975510722"/>
          <c:y val="0.130513961958721"/>
          <c:w val="0.913640400964345"/>
          <c:h val="0.698583569405099"/>
        </c:manualLayout>
      </c:layout>
      <c:barChart>
        <c:barDir val="col"/>
        <c:grouping val="clustered"/>
        <c:varyColors val="0"/>
        <c:ser>
          <c:idx val="0"/>
          <c:order val="0"/>
          <c:tx>
            <c:strRef>
              <c:f>Sheet1!$B$1</c:f>
              <c:strCache>
                <c:ptCount val="1"/>
                <c:pt idx="0">
                  <c:v/>
                </c:pt>
              </c:strCache>
            </c:strRef>
          </c:tx>
          <c:spPr>
            <a:solidFill>
              <a:schemeClr val="accent1"/>
            </a:solidFill>
            <a:ln>
              <a:noFill/>
            </a:ln>
            <a:effectLst/>
          </c:spPr>
          <c:invertIfNegative val="0"/>
          <c:dLbls>
            <c:delete val="1"/>
          </c:dLbls>
          <c:cat>
            <c:strRef>
              <c:f>Sheet1!$A$2:$A$3</c:f>
              <c:strCache>
                <c:ptCount val="2"/>
                <c:pt idx="0">
                  <c:v>2018年</c:v>
                </c:pt>
                <c:pt idx="1">
                  <c:v>2019年</c:v>
                </c:pt>
              </c:strCache>
            </c:strRef>
          </c:cat>
          <c:val>
            <c:numRef>
              <c:f>Sheet1!$B$2:$B$3</c:f>
              <c:numCache>
                <c:formatCode>General</c:formatCode>
                <c:ptCount val="2"/>
                <c:pt idx="0">
                  <c:v>979.36</c:v>
                </c:pt>
                <c:pt idx="1">
                  <c:v>4732.03</c:v>
                </c:pt>
              </c:numCache>
            </c:numRef>
          </c:val>
        </c:ser>
        <c:ser>
          <c:idx val="1"/>
          <c:order val="1"/>
          <c:tx>
            <c:strRef>
              <c:f>Sheet1!$C$1</c:f>
              <c:strCache>
                <c:ptCount val="1"/>
                <c:pt idx="0">
                  <c:v/>
                </c:pt>
              </c:strCache>
            </c:strRef>
          </c:tx>
          <c:spPr>
            <a:solidFill>
              <a:schemeClr val="accent2"/>
            </a:solidFill>
            <a:ln>
              <a:noFill/>
            </a:ln>
            <a:effectLst/>
          </c:spPr>
          <c:invertIfNegative val="0"/>
          <c:dLbls>
            <c:delete val="1"/>
          </c:dLbls>
          <c:cat>
            <c:strRef>
              <c:f>Sheet1!$A$2:$A$3</c:f>
              <c:strCache>
                <c:ptCount val="2"/>
                <c:pt idx="0">
                  <c:v>2018年</c:v>
                </c:pt>
                <c:pt idx="1">
                  <c:v>2019年</c:v>
                </c:pt>
              </c:strCache>
            </c:strRef>
          </c:cat>
          <c:val>
            <c:numRef>
              <c:f>Sheet1!$C$2:$C$3</c:f>
              <c:numCache>
                <c:formatCode>General</c:formatCode>
                <c:ptCount val="2"/>
              </c:numCache>
            </c:numRef>
          </c:val>
        </c:ser>
        <c:ser>
          <c:idx val="2"/>
          <c:order val="2"/>
          <c:tx>
            <c:strRef>
              <c:f>Sheet1!#REF!</c:f>
              <c:strCache>
                <c:ptCount val="1"/>
                <c:pt idx="0">
                  <c:v/>
                </c:pt>
              </c:strCache>
            </c:strRef>
          </c:tx>
          <c:spPr>
            <a:solidFill>
              <a:schemeClr val="accent3"/>
            </a:solidFill>
            <a:ln>
              <a:noFill/>
            </a:ln>
            <a:effectLst/>
          </c:spPr>
          <c:invertIfNegative val="0"/>
          <c:dLbls>
            <c:delete val="1"/>
          </c:dLbls>
          <c:cat>
            <c:strRef>
              <c:f>Sheet1!$A$2:$A$3</c:f>
              <c:strCache>
                <c:ptCount val="2"/>
                <c:pt idx="0">
                  <c:v>2018年</c:v>
                </c:pt>
                <c:pt idx="1">
                  <c:v>2019年</c:v>
                </c:pt>
              </c:strCache>
            </c:strRef>
          </c:cat>
          <c:val>
            <c:numRef>
              <c:f>Sheet1!#REF!</c:f>
              <c:numCache>
                <c:formatCode>General</c:formatCode>
                <c:ptCount val="1"/>
                <c:pt idx="0">
                  <c:v>1</c:v>
                </c:pt>
              </c:numCache>
            </c:numRef>
          </c:val>
        </c:ser>
        <c:dLbls>
          <c:showLegendKey val="0"/>
          <c:showVal val="0"/>
          <c:showCatName val="0"/>
          <c:showSerName val="0"/>
          <c:showPercent val="0"/>
          <c:showBubbleSize val="0"/>
        </c:dLbls>
        <c:gapWidth val="219"/>
        <c:overlap val="-27"/>
        <c:axId val="892484385"/>
        <c:axId val="420694311"/>
      </c:barChart>
      <c:catAx>
        <c:axId val="892484385"/>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420694311"/>
        <c:crosses val="autoZero"/>
        <c:auto val="1"/>
        <c:lblAlgn val="ctr"/>
        <c:lblOffset val="100"/>
        <c:noMultiLvlLbl val="0"/>
      </c:catAx>
      <c:valAx>
        <c:axId val="420694311"/>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892484385"/>
        <c:crosses val="autoZero"/>
        <c:crossBetween val="between"/>
      </c:valAx>
      <c:spPr>
        <a:noFill/>
        <a:ln>
          <a:noFill/>
        </a:ln>
        <a:effectLst/>
      </c:spPr>
    </c:plotArea>
    <c:legend>
      <c:legendPos val="b"/>
      <c:legendEntry>
        <c:idx val="1"/>
        <c:delete val="1"/>
      </c:legendEntry>
      <c:legendEntry>
        <c:idx val="2"/>
        <c:delete val="1"/>
      </c:legendEntry>
      <c:layout>
        <c:manualLayout>
          <c:xMode val="edge"/>
          <c:yMode val="edge"/>
          <c:x val="0.338916381169902"/>
          <c:y val="0.905301497369486"/>
        </c:manualLayout>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manualLayout>
          <c:xMode val="edge"/>
          <c:yMode val="edge"/>
          <c:x val="0.193473193473193"/>
          <c:y val="0.0480615187439923"/>
        </c:manualLayout>
      </c:layout>
      <c:overlay val="0"/>
      <c:spPr>
        <a:noFill/>
        <a:ln>
          <a:noFill/>
        </a:ln>
        <a:effectLst/>
      </c:spPr>
      <c:txPr>
        <a:bodyPr rot="0" spcFirstLastPara="0" vertOverflow="ellipsis" vert="horz" wrap="square" anchor="ctr" anchorCtr="1"/>
        <a:lstStyle/>
        <a:p>
          <a:pPr>
            <a:defRPr lang="zh-CN" sz="1400" b="0" i="0" u="none" strike="noStrike" kern="1200" spc="0" baseline="0">
              <a:solidFill>
                <a:schemeClr val="tx1">
                  <a:lumMod val="65000"/>
                  <a:lumOff val="35000"/>
                </a:schemeClr>
              </a:solidFill>
              <a:latin typeface="+mn-lt"/>
              <a:ea typeface="+mn-ea"/>
              <a:cs typeface="+mn-cs"/>
            </a:defRPr>
          </a:pPr>
        </a:p>
      </c:txPr>
    </c:title>
    <c:autoTitleDeleted val="0"/>
    <c:plotArea>
      <c:layout/>
      <c:pieChart>
        <c:varyColors val="1"/>
        <c:ser>
          <c:idx val="0"/>
          <c:order val="0"/>
          <c:tx>
            <c:strRef>
              <c:f>Sheet1!$B$1</c:f>
              <c:strCache>
                <c:ptCount val="1"/>
                <c:pt idx="0">
                  <c:v>一般公共预算财政拨款支出</c:v>
                </c:pt>
              </c:strCache>
            </c:strRef>
          </c:tx>
          <c:spPr/>
          <c:explosion val="0"/>
          <c:dPt>
            <c:idx val="0"/>
            <c:bubble3D val="0"/>
            <c:spPr>
              <a:solidFill>
                <a:schemeClr val="accent1"/>
              </a:solidFill>
              <a:ln w="19050">
                <a:solidFill>
                  <a:schemeClr val="lt1"/>
                </a:solidFill>
              </a:ln>
              <a:effectLst/>
            </c:spPr>
          </c:dPt>
          <c:dPt>
            <c:idx val="1"/>
            <c:bubble3D val="0"/>
            <c:spPr>
              <a:solidFill>
                <a:schemeClr val="accent2"/>
              </a:solidFill>
              <a:ln w="19050">
                <a:solidFill>
                  <a:schemeClr val="lt1"/>
                </a:solidFill>
              </a:ln>
              <a:effectLst/>
            </c:spPr>
          </c:dPt>
          <c:dPt>
            <c:idx val="2"/>
            <c:bubble3D val="0"/>
            <c:spPr>
              <a:solidFill>
                <a:schemeClr val="accent3"/>
              </a:solidFill>
              <a:ln w="19050">
                <a:solidFill>
                  <a:schemeClr val="lt1"/>
                </a:solidFill>
              </a:ln>
              <a:effectLst/>
            </c:spPr>
          </c:dPt>
          <c:dPt>
            <c:idx val="3"/>
            <c:bubble3D val="0"/>
            <c:spPr>
              <a:solidFill>
                <a:schemeClr val="accent4"/>
              </a:solidFill>
              <a:ln w="19050">
                <a:solidFill>
                  <a:schemeClr val="lt1"/>
                </a:solidFill>
              </a:ln>
              <a:effectLst/>
            </c:spPr>
          </c:dPt>
          <c:dLbls>
            <c:delete val="1"/>
          </c:dLbls>
          <c:cat>
            <c:strRef>
              <c:f>Sheet1!$A$2:$A$5</c:f>
              <c:strCache>
                <c:ptCount val="4"/>
                <c:pt idx="0">
                  <c:v>卫生健康支出</c:v>
                </c:pt>
              </c:strCache>
            </c:strRef>
          </c:cat>
          <c:val>
            <c:numRef>
              <c:f>Sheet1!$B$2:$B$5</c:f>
              <c:numCache>
                <c:formatCode>General</c:formatCode>
                <c:ptCount val="4"/>
                <c:pt idx="0">
                  <c:v>4732.03</c:v>
                </c:pt>
              </c:numCache>
            </c:numRef>
          </c:val>
        </c:ser>
        <c:dLbls>
          <c:showLegendKey val="0"/>
          <c:showVal val="0"/>
          <c:showCatName val="0"/>
          <c:showSerName val="0"/>
          <c:showPercent val="0"/>
          <c:showBubbleSize val="0"/>
          <c:showLeaderLines val="1"/>
        </c:dLbls>
        <c:firstSliceAng val="0"/>
      </c:pieChart>
      <c:spPr>
        <a:noFill/>
        <a:ln>
          <a:noFill/>
        </a:ln>
        <a:effectLst/>
      </c:spPr>
    </c:plotArea>
    <c:legend>
      <c:legendPos val="b"/>
      <c:legendEntry>
        <c:idx val="1"/>
        <c:delete val="1"/>
      </c:legendEntry>
      <c:legendEntry>
        <c:idx val="2"/>
        <c:delete val="1"/>
      </c:legendEntry>
      <c:legendEntry>
        <c:idx val="3"/>
        <c:delete val="1"/>
      </c:legendEntry>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spPr>
        <a:noFill/>
        <a:ln>
          <a:noFill/>
        </a:ln>
        <a:effectLst/>
      </c:spPr>
      <c:txPr>
        <a:bodyPr rot="0" spcFirstLastPara="0" vertOverflow="ellipsis" vert="horz" wrap="square" anchor="ctr" anchorCtr="1"/>
        <a:lstStyle/>
        <a:p>
          <a:pPr>
            <a:defRPr lang="zh-CN" sz="1400" b="0" i="0" u="none" strike="noStrike" kern="1200" spc="0" baseline="0">
              <a:solidFill>
                <a:schemeClr val="tx1">
                  <a:lumMod val="65000"/>
                  <a:lumOff val="35000"/>
                </a:schemeClr>
              </a:solidFill>
              <a:latin typeface="+mn-lt"/>
              <a:ea typeface="+mn-ea"/>
              <a:cs typeface="+mn-cs"/>
            </a:defRPr>
          </a:pPr>
        </a:p>
      </c:txPr>
    </c:title>
    <c:autoTitleDeleted val="0"/>
    <c:plotArea>
      <c:layout/>
      <c:pieChart>
        <c:varyColors val="1"/>
        <c:ser>
          <c:idx val="0"/>
          <c:order val="0"/>
          <c:tx>
            <c:strRef>
              <c:f>Sheet1!$B$1</c:f>
              <c:strCache>
                <c:ptCount val="1"/>
                <c:pt idx="0">
                  <c:v>“三公”经费</c:v>
                </c:pt>
              </c:strCache>
            </c:strRef>
          </c:tx>
          <c:spPr/>
          <c:explosion val="0"/>
          <c:dPt>
            <c:idx val="0"/>
            <c:bubble3D val="0"/>
            <c:spPr>
              <a:solidFill>
                <a:schemeClr val="accent1"/>
              </a:solidFill>
              <a:ln w="19050">
                <a:solidFill>
                  <a:schemeClr val="lt1"/>
                </a:solidFill>
              </a:ln>
              <a:effectLst/>
            </c:spPr>
          </c:dPt>
          <c:dPt>
            <c:idx val="1"/>
            <c:bubble3D val="0"/>
            <c:spPr>
              <a:solidFill>
                <a:schemeClr val="accent2"/>
              </a:solidFill>
              <a:ln w="19050">
                <a:solidFill>
                  <a:schemeClr val="lt1"/>
                </a:solidFill>
              </a:ln>
              <a:effectLst/>
            </c:spPr>
          </c:dPt>
          <c:dPt>
            <c:idx val="2"/>
            <c:bubble3D val="0"/>
            <c:spPr>
              <a:solidFill>
                <a:schemeClr val="accent3"/>
              </a:solidFill>
              <a:ln w="19050">
                <a:solidFill>
                  <a:schemeClr val="lt1"/>
                </a:solidFill>
              </a:ln>
              <a:effectLst/>
            </c:spPr>
          </c:dPt>
          <c:dLbls>
            <c:delete val="1"/>
          </c:dLbls>
          <c:cat>
            <c:strRef>
              <c:f>Sheet1!$A$2:$A$4</c:f>
              <c:strCache>
                <c:ptCount val="3"/>
                <c:pt idx="0">
                  <c:v>公务用车购置及运行维护费</c:v>
                </c:pt>
                <c:pt idx="1">
                  <c:v>因公出国（境）费</c:v>
                </c:pt>
                <c:pt idx="2">
                  <c:v>公务接待费</c:v>
                </c:pt>
              </c:strCache>
            </c:strRef>
          </c:cat>
          <c:val>
            <c:numRef>
              <c:f>Sheet1!$B$2:$B$4</c:f>
              <c:numCache>
                <c:formatCode>General</c:formatCode>
                <c:ptCount val="3"/>
                <c:pt idx="0">
                  <c:v>2.65</c:v>
                </c:pt>
                <c:pt idx="1">
                  <c:v>0</c:v>
                </c:pt>
                <c:pt idx="2">
                  <c:v>2.83</c:v>
                </c:pt>
              </c:numCache>
            </c:numRef>
          </c:val>
        </c:ser>
        <c:dLbls>
          <c:showLegendKey val="0"/>
          <c:showVal val="0"/>
          <c:showCatName val="0"/>
          <c:showSerName val="0"/>
          <c:showPercent val="0"/>
          <c:showBubbleSize val="0"/>
          <c:showLeaderLines val="1"/>
        </c:dLbls>
        <c:firstSliceAng val="0"/>
      </c:pieChart>
      <c:spPr>
        <a:noFill/>
        <a:ln>
          <a:noFill/>
        </a:ln>
        <a:effectLst/>
      </c:spPr>
    </c:plotArea>
    <c:legend>
      <c:legendPos val="b"/>
      <c:layout>
        <c:manualLayout>
          <c:xMode val="edge"/>
          <c:yMode val="edge"/>
          <c:x val="0.233490566037736"/>
          <c:y val="0.916551724137931"/>
        </c:manualLayout>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7.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EB0ACD3-C931-4644-801A-B9EA7D580E31}">
  <ds:schemaRefs/>
</ds:datastoreItem>
</file>

<file path=docProps/app.xml><?xml version="1.0" encoding="utf-8"?>
<Properties xmlns="http://schemas.openxmlformats.org/officeDocument/2006/extended-properties" xmlns:vt="http://schemas.openxmlformats.org/officeDocument/2006/docPropsVTypes">
  <Template>Normal</Template>
  <Company>四川省财政厅</Company>
  <Pages>24</Pages>
  <Words>7622</Words>
  <Characters>931</Characters>
  <Lines>7</Lines>
  <Paragraphs>17</Paragraphs>
  <TotalTime>3</TotalTime>
  <ScaleCrop>false</ScaleCrop>
  <LinksUpToDate>false</LinksUpToDate>
  <CharactersWithSpaces>8536</CharactersWithSpaces>
  <Application>WPS Office_11.1.0.9584_F1E327BC-269C-435d-A152-05C5408002CA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2020-08-04T01:49:00Z</dcterms:created>
  <dc:creator>曹颖</dc:creator>
  <cp:lastModifiedBy>Administrator</cp:lastModifiedBy>
  <cp:lastPrinted>2020-07-23T02:58:00Z</cp:lastPrinted>
  <dcterms:modified xsi:type="dcterms:W3CDTF">2020-09-28T09:10:15Z</dcterms:modified>
  <dc:title>四川省***</dc:title>
  <cp:revision>38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