
<file path=[Content_Types].xml><?xml version="1.0" encoding="utf-8"?>
<Types xmlns="http://schemas.openxmlformats.org/package/2006/content-types">
  <Default Extension="xml" ContentType="application/xml"/>
  <Default Extension="xls" ContentType="application/vnd.ms-excel"/>
  <Default Extension="xlsx" ContentType="application/vnd.openxmlformats-officedocument.spreadsheetml.sheet"/>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00" w:lineRule="exact"/>
        <w:jc w:val="center"/>
        <w:outlineLvl w:val="0"/>
        <w:rPr>
          <w:rFonts w:ascii="方正小标宋简体" w:hAnsi="宋体" w:eastAsia="方正小标宋简体"/>
          <w:color w:val="000000"/>
          <w:sz w:val="72"/>
          <w:szCs w:val="72"/>
        </w:rPr>
      </w:pPr>
      <w:bookmarkStart w:id="0" w:name="_Toc15306267"/>
    </w:p>
    <w:p>
      <w:pPr>
        <w:spacing w:line="600" w:lineRule="exact"/>
        <w:jc w:val="center"/>
        <w:outlineLvl w:val="0"/>
        <w:rPr>
          <w:rFonts w:ascii="方正小标宋简体" w:hAnsi="宋体" w:eastAsia="方正小标宋简体"/>
          <w:color w:val="000000"/>
          <w:sz w:val="72"/>
          <w:szCs w:val="72"/>
        </w:rPr>
      </w:pPr>
    </w:p>
    <w:p>
      <w:pPr>
        <w:spacing w:line="600" w:lineRule="exact"/>
        <w:jc w:val="center"/>
        <w:outlineLvl w:val="0"/>
        <w:rPr>
          <w:rFonts w:ascii="方正小标宋简体" w:hAnsi="宋体" w:eastAsia="方正小标宋简体"/>
          <w:color w:val="000000"/>
          <w:sz w:val="72"/>
          <w:szCs w:val="72"/>
        </w:rPr>
      </w:pPr>
    </w:p>
    <w:p>
      <w:pPr>
        <w:spacing w:line="600" w:lineRule="exact"/>
        <w:jc w:val="center"/>
        <w:outlineLvl w:val="0"/>
        <w:rPr>
          <w:rFonts w:ascii="方正小标宋简体" w:hAnsi="宋体" w:eastAsia="方正小标宋简体"/>
          <w:color w:val="000000"/>
          <w:sz w:val="72"/>
          <w:szCs w:val="72"/>
        </w:rPr>
      </w:pPr>
    </w:p>
    <w:bookmarkEnd w:id="0"/>
    <w:p>
      <w:pPr>
        <w:adjustRightInd w:val="0"/>
        <w:snapToGrid w:val="0"/>
        <w:spacing w:line="360" w:lineRule="auto"/>
        <w:jc w:val="center"/>
        <w:outlineLvl w:val="0"/>
        <w:rPr>
          <w:rFonts w:ascii="方正小标宋简体" w:hAnsi="宋体" w:eastAsia="方正小标宋简体"/>
          <w:color w:val="000000"/>
          <w:sz w:val="72"/>
          <w:szCs w:val="72"/>
        </w:rPr>
      </w:pPr>
      <w:bookmarkStart w:id="1" w:name="_Toc15377194"/>
      <w:bookmarkStart w:id="2" w:name="_Toc15396598"/>
      <w:bookmarkStart w:id="3" w:name="_Toc15396476"/>
      <w:bookmarkStart w:id="4" w:name="_Toc15378442"/>
      <w:bookmarkStart w:id="5" w:name="_Toc15377426"/>
      <w:bookmarkStart w:id="6" w:name="_Toc15306268"/>
      <w:r>
        <w:rPr>
          <w:rFonts w:hint="eastAsia" w:ascii="方正小标宋简体" w:hAnsi="宋体" w:eastAsia="方正小标宋简体"/>
          <w:color w:val="000000"/>
          <w:sz w:val="72"/>
          <w:szCs w:val="72"/>
        </w:rPr>
        <w:t>乐至县</w:t>
      </w:r>
      <w:r>
        <w:rPr>
          <w:rFonts w:ascii="方正小标宋简体" w:hAnsi="宋体" w:eastAsia="方正小标宋简体"/>
          <w:color w:val="000000"/>
          <w:sz w:val="72"/>
          <w:szCs w:val="72"/>
        </w:rPr>
        <w:t>残疾人联合会</w:t>
      </w:r>
    </w:p>
    <w:p>
      <w:pPr>
        <w:adjustRightInd w:val="0"/>
        <w:snapToGrid w:val="0"/>
        <w:spacing w:line="360" w:lineRule="auto"/>
        <w:jc w:val="center"/>
        <w:outlineLvl w:val="0"/>
        <w:rPr>
          <w:rFonts w:ascii="方正小标宋简体" w:hAnsi="宋体" w:eastAsia="方正小标宋简体"/>
          <w:color w:val="000000"/>
          <w:sz w:val="72"/>
          <w:szCs w:val="72"/>
        </w:rPr>
      </w:pPr>
      <w:r>
        <w:rPr>
          <w:rFonts w:hint="eastAsia" w:ascii="方正小标宋简体" w:hAnsi="宋体" w:eastAsia="方正小标宋简体"/>
          <w:color w:val="000000"/>
          <w:sz w:val="72"/>
          <w:szCs w:val="72"/>
        </w:rPr>
        <w:t>2</w:t>
      </w:r>
      <w:r>
        <w:rPr>
          <w:rFonts w:ascii="方正小标宋简体" w:hAnsi="宋体" w:eastAsia="方正小标宋简体"/>
          <w:color w:val="000000"/>
          <w:sz w:val="72"/>
          <w:szCs w:val="72"/>
        </w:rPr>
        <w:t>019年度部门</w:t>
      </w:r>
      <w:r>
        <w:rPr>
          <w:rFonts w:hint="eastAsia" w:ascii="方正小标宋简体" w:hAnsi="宋体" w:eastAsia="方正小标宋简体"/>
          <w:color w:val="000000"/>
          <w:sz w:val="72"/>
          <w:szCs w:val="72"/>
        </w:rPr>
        <w:t>决算</w:t>
      </w:r>
      <w:bookmarkEnd w:id="1"/>
      <w:bookmarkEnd w:id="2"/>
      <w:bookmarkEnd w:id="3"/>
      <w:bookmarkEnd w:id="4"/>
      <w:bookmarkEnd w:id="5"/>
      <w:bookmarkEnd w:id="6"/>
    </w:p>
    <w:p>
      <w:pPr>
        <w:widowControl/>
        <w:jc w:val="center"/>
        <w:rPr>
          <w:rFonts w:ascii="黑体" w:hAnsi="黑体" w:eastAsia="黑体"/>
          <w:color w:val="000000"/>
          <w:sz w:val="48"/>
          <w:szCs w:val="48"/>
        </w:rPr>
      </w:pPr>
      <w:r>
        <w:rPr>
          <w:rFonts w:ascii="方正小标宋简体" w:hAnsi="宋体" w:eastAsia="方正小标宋简体"/>
          <w:color w:val="000000"/>
          <w:sz w:val="36"/>
          <w:szCs w:val="36"/>
        </w:rPr>
        <w:br w:type="page"/>
      </w:r>
      <w:r>
        <w:rPr>
          <w:rFonts w:hint="eastAsia" w:ascii="黑体" w:hAnsi="黑体" w:eastAsia="黑体"/>
          <w:color w:val="000000"/>
          <w:sz w:val="48"/>
          <w:szCs w:val="48"/>
        </w:rPr>
        <w:t>目录</w:t>
      </w:r>
    </w:p>
    <w:p>
      <w:pPr>
        <w:widowControl/>
        <w:jc w:val="center"/>
        <w:rPr>
          <w:rFonts w:ascii="黑体" w:hAnsi="黑体" w:eastAsia="黑体" w:cstheme="minorBidi"/>
          <w:sz w:val="28"/>
          <w:szCs w:val="28"/>
        </w:rPr>
      </w:pPr>
    </w:p>
    <w:p>
      <w:pPr>
        <w:pStyle w:val="11"/>
      </w:pPr>
      <w:r>
        <w:rPr>
          <w:rFonts w:hint="eastAsia"/>
        </w:rPr>
        <w:t>公开时间：2020年9月</w:t>
      </w:r>
      <w:r>
        <w:rPr>
          <w:rFonts w:hint="eastAsia"/>
          <w:lang w:val="en-US" w:eastAsia="zh-CN"/>
        </w:rPr>
        <w:t>19</w:t>
      </w:r>
      <w:r>
        <w:rPr>
          <w:rFonts w:hint="eastAsia"/>
        </w:rPr>
        <w:t>日</w:t>
      </w:r>
    </w:p>
    <w:p/>
    <w:p>
      <w:pPr>
        <w:pStyle w:val="11"/>
        <w:adjustRightInd w:val="0"/>
        <w:snapToGrid w:val="0"/>
        <w:spacing w:before="0" w:line="440" w:lineRule="exact"/>
        <w:jc w:val="left"/>
        <w:rPr>
          <w:rFonts w:cstheme="minorBidi"/>
          <w:sz w:val="24"/>
          <w:szCs w:val="24"/>
        </w:rPr>
      </w:pPr>
      <w:r>
        <w:rPr>
          <w:rFonts w:hint="eastAsia"/>
          <w:sz w:val="24"/>
        </w:rPr>
        <w:t>第一部分</w:t>
      </w:r>
      <w:r>
        <w:rPr>
          <w:sz w:val="24"/>
        </w:rPr>
        <w:t xml:space="preserve"> </w:t>
      </w:r>
      <w:r>
        <w:rPr>
          <w:rFonts w:hint="eastAsia"/>
          <w:sz w:val="24"/>
        </w:rPr>
        <w:t>部门概况</w:t>
      </w:r>
    </w:p>
    <w:p>
      <w:pPr>
        <w:pStyle w:val="12"/>
        <w:adjustRightInd w:val="0"/>
        <w:snapToGrid w:val="0"/>
        <w:spacing w:line="440" w:lineRule="exact"/>
        <w:jc w:val="left"/>
        <w:rPr>
          <w:rFonts w:ascii="仿宋" w:hAnsi="仿宋" w:eastAsia="仿宋"/>
          <w:sz w:val="24"/>
        </w:rPr>
      </w:pPr>
      <w:r>
        <w:rPr>
          <w:rFonts w:hint="eastAsia"/>
          <w:sz w:val="24"/>
        </w:rPr>
        <w:t>一、基本职能及主要工作</w:t>
      </w:r>
    </w:p>
    <w:p>
      <w:pPr>
        <w:pStyle w:val="12"/>
        <w:adjustRightInd w:val="0"/>
        <w:snapToGrid w:val="0"/>
        <w:spacing w:line="440" w:lineRule="exact"/>
        <w:jc w:val="left"/>
        <w:rPr>
          <w:rFonts w:ascii="仿宋" w:hAnsi="仿宋" w:eastAsia="仿宋" w:cstheme="minorBidi"/>
          <w:sz w:val="24"/>
        </w:rPr>
      </w:pPr>
      <w:r>
        <w:rPr>
          <w:rFonts w:hint="eastAsia"/>
          <w:sz w:val="24"/>
        </w:rPr>
        <w:t>二、机构设置</w:t>
      </w:r>
    </w:p>
    <w:p>
      <w:pPr>
        <w:pStyle w:val="11"/>
        <w:adjustRightInd w:val="0"/>
        <w:snapToGrid w:val="0"/>
        <w:spacing w:before="0" w:line="440" w:lineRule="exact"/>
        <w:jc w:val="left"/>
        <w:rPr>
          <w:sz w:val="24"/>
          <w:szCs w:val="24"/>
        </w:rPr>
      </w:pPr>
      <w:r>
        <w:rPr>
          <w:rFonts w:hint="eastAsia"/>
          <w:sz w:val="24"/>
        </w:rPr>
        <w:t>第二部分度部门决算情况说明</w:t>
      </w:r>
    </w:p>
    <w:p>
      <w:pPr>
        <w:pStyle w:val="12"/>
        <w:adjustRightInd w:val="0"/>
        <w:snapToGrid w:val="0"/>
        <w:spacing w:line="440" w:lineRule="exact"/>
        <w:jc w:val="left"/>
        <w:rPr>
          <w:rFonts w:ascii="仿宋" w:hAnsi="仿宋" w:eastAsia="仿宋" w:cstheme="minorBidi"/>
          <w:sz w:val="24"/>
        </w:rPr>
      </w:pPr>
      <w:r>
        <w:rPr>
          <w:rFonts w:hint="eastAsia"/>
          <w:sz w:val="24"/>
        </w:rPr>
        <w:t>一、收入支出决算总体情况说明</w:t>
      </w:r>
    </w:p>
    <w:p>
      <w:pPr>
        <w:pStyle w:val="12"/>
        <w:adjustRightInd w:val="0"/>
        <w:snapToGrid w:val="0"/>
        <w:spacing w:line="440" w:lineRule="exact"/>
        <w:jc w:val="left"/>
        <w:rPr>
          <w:rFonts w:ascii="仿宋" w:hAnsi="仿宋" w:eastAsia="仿宋" w:cstheme="minorBidi"/>
          <w:sz w:val="24"/>
        </w:rPr>
      </w:pPr>
      <w:r>
        <w:rPr>
          <w:rFonts w:hint="eastAsia"/>
          <w:sz w:val="24"/>
        </w:rPr>
        <w:t>二、收入决算情况说明</w:t>
      </w:r>
    </w:p>
    <w:p>
      <w:pPr>
        <w:pStyle w:val="12"/>
        <w:adjustRightInd w:val="0"/>
        <w:snapToGrid w:val="0"/>
        <w:spacing w:line="440" w:lineRule="exact"/>
        <w:jc w:val="left"/>
        <w:rPr>
          <w:rFonts w:ascii="仿宋" w:hAnsi="仿宋" w:eastAsia="仿宋" w:cstheme="minorBidi"/>
          <w:sz w:val="24"/>
        </w:rPr>
      </w:pPr>
      <w:r>
        <w:rPr>
          <w:rFonts w:hint="eastAsia"/>
          <w:sz w:val="24"/>
        </w:rPr>
        <w:t>三、支出决算情况说明</w:t>
      </w:r>
    </w:p>
    <w:p>
      <w:pPr>
        <w:pStyle w:val="12"/>
        <w:adjustRightInd w:val="0"/>
        <w:snapToGrid w:val="0"/>
        <w:spacing w:line="440" w:lineRule="exact"/>
        <w:jc w:val="left"/>
        <w:rPr>
          <w:rFonts w:ascii="仿宋" w:hAnsi="仿宋" w:eastAsia="仿宋" w:cstheme="minorBidi"/>
          <w:sz w:val="24"/>
        </w:rPr>
      </w:pPr>
      <w:r>
        <w:rPr>
          <w:rFonts w:hint="eastAsia"/>
          <w:sz w:val="24"/>
        </w:rPr>
        <w:t>四、财政拨款收入支出决算总体情况说明</w:t>
      </w:r>
    </w:p>
    <w:p>
      <w:pPr>
        <w:pStyle w:val="12"/>
        <w:adjustRightInd w:val="0"/>
        <w:snapToGrid w:val="0"/>
        <w:spacing w:line="440" w:lineRule="exact"/>
        <w:jc w:val="left"/>
        <w:rPr>
          <w:rFonts w:ascii="仿宋" w:hAnsi="仿宋" w:eastAsia="仿宋" w:cstheme="minorBidi"/>
          <w:sz w:val="24"/>
        </w:rPr>
      </w:pPr>
      <w:r>
        <w:rPr>
          <w:rFonts w:hint="eastAsia"/>
          <w:sz w:val="24"/>
        </w:rPr>
        <w:t>五、一般公共预算财政拨款支出决算情况说明</w:t>
      </w:r>
    </w:p>
    <w:p>
      <w:pPr>
        <w:pStyle w:val="12"/>
        <w:adjustRightInd w:val="0"/>
        <w:snapToGrid w:val="0"/>
        <w:spacing w:line="440" w:lineRule="exact"/>
        <w:jc w:val="left"/>
        <w:rPr>
          <w:rFonts w:ascii="仿宋" w:hAnsi="仿宋" w:eastAsia="仿宋" w:cstheme="minorBidi"/>
          <w:sz w:val="24"/>
        </w:rPr>
      </w:pPr>
      <w:r>
        <w:rPr>
          <w:rFonts w:hint="eastAsia"/>
          <w:sz w:val="24"/>
        </w:rPr>
        <w:t>六、一般公共预算财政拨款基本支出决算情况说明</w:t>
      </w:r>
    </w:p>
    <w:p>
      <w:pPr>
        <w:pStyle w:val="12"/>
        <w:adjustRightInd w:val="0"/>
        <w:snapToGrid w:val="0"/>
        <w:spacing w:line="440" w:lineRule="exact"/>
        <w:jc w:val="left"/>
        <w:rPr>
          <w:rFonts w:ascii="仿宋" w:hAnsi="仿宋" w:eastAsia="仿宋" w:cstheme="minorBidi"/>
          <w:sz w:val="24"/>
        </w:rPr>
      </w:pPr>
      <w:r>
        <w:rPr>
          <w:rFonts w:hint="eastAsia"/>
          <w:sz w:val="24"/>
        </w:rPr>
        <w:t>七、</w:t>
      </w:r>
      <w:r>
        <w:rPr>
          <w:sz w:val="24"/>
        </w:rPr>
        <w:t>“</w:t>
      </w:r>
      <w:r>
        <w:rPr>
          <w:rFonts w:hint="eastAsia"/>
          <w:sz w:val="24"/>
        </w:rPr>
        <w:t>三公”经费财政拨款支出决算情况说明</w:t>
      </w:r>
    </w:p>
    <w:p>
      <w:pPr>
        <w:pStyle w:val="12"/>
        <w:adjustRightInd w:val="0"/>
        <w:snapToGrid w:val="0"/>
        <w:spacing w:line="440" w:lineRule="exact"/>
        <w:jc w:val="left"/>
        <w:rPr>
          <w:rFonts w:ascii="仿宋" w:hAnsi="仿宋" w:eastAsia="仿宋" w:cstheme="minorBidi"/>
          <w:sz w:val="24"/>
        </w:rPr>
      </w:pPr>
      <w:r>
        <w:rPr>
          <w:rFonts w:hint="eastAsia"/>
          <w:sz w:val="24"/>
        </w:rPr>
        <w:t>八、政府性基金预算支出决算情况说明</w:t>
      </w:r>
    </w:p>
    <w:p>
      <w:pPr>
        <w:pStyle w:val="12"/>
        <w:adjustRightInd w:val="0"/>
        <w:snapToGrid w:val="0"/>
        <w:spacing w:line="440" w:lineRule="exact"/>
        <w:ind w:leftChars="0"/>
        <w:jc w:val="left"/>
        <w:rPr>
          <w:rFonts w:ascii="仿宋" w:hAnsi="仿宋" w:eastAsia="仿宋"/>
          <w:sz w:val="24"/>
        </w:rPr>
      </w:pPr>
      <w:r>
        <w:rPr>
          <w:rFonts w:hint="eastAsia" w:ascii="仿宋" w:hAnsi="仿宋" w:eastAsia="仿宋"/>
          <w:sz w:val="24"/>
        </w:rPr>
        <w:t>九、</w:t>
      </w:r>
      <w:r>
        <w:rPr>
          <w:sz w:val="24"/>
        </w:rPr>
        <w:t xml:space="preserve"> 国</w:t>
      </w:r>
      <w:r>
        <w:rPr>
          <w:rFonts w:hint="eastAsia"/>
          <w:sz w:val="24"/>
        </w:rPr>
        <w:t>有资本经营预算支出决算情况说明</w:t>
      </w:r>
    </w:p>
    <w:p>
      <w:pPr>
        <w:adjustRightInd w:val="0"/>
        <w:snapToGrid w:val="0"/>
        <w:spacing w:line="440" w:lineRule="exact"/>
        <w:ind w:firstLine="480" w:firstLineChars="200"/>
        <w:jc w:val="left"/>
        <w:rPr>
          <w:rFonts w:ascii="仿宋" w:hAnsi="仿宋" w:eastAsia="仿宋" w:cstheme="minorBidi"/>
          <w:sz w:val="24"/>
        </w:rPr>
      </w:pPr>
      <w:r>
        <w:rPr>
          <w:rStyle w:val="17"/>
          <w:rFonts w:hint="eastAsia" w:ascii="仿宋" w:hAnsi="仿宋" w:eastAsia="仿宋"/>
          <w:color w:val="000000" w:themeColor="text1"/>
          <w:sz w:val="24"/>
          <w:u w:val="none"/>
        </w:rPr>
        <w:t>十、</w:t>
      </w:r>
      <w:r>
        <w:rPr>
          <w:rFonts w:hint="eastAsia"/>
          <w:sz w:val="24"/>
        </w:rPr>
        <w:t>其他重要事项的情况说明</w:t>
      </w:r>
      <w:r>
        <w:rPr>
          <w:rFonts w:ascii="仿宋" w:hAnsi="仿宋" w:eastAsia="仿宋"/>
          <w:sz w:val="24"/>
        </w:rPr>
        <w:tab/>
      </w:r>
    </w:p>
    <w:p>
      <w:pPr>
        <w:pStyle w:val="11"/>
        <w:adjustRightInd w:val="0"/>
        <w:snapToGrid w:val="0"/>
        <w:spacing w:before="0" w:line="440" w:lineRule="exact"/>
        <w:jc w:val="left"/>
        <w:rPr>
          <w:rFonts w:cstheme="minorBidi"/>
          <w:sz w:val="24"/>
          <w:szCs w:val="24"/>
        </w:rPr>
      </w:pPr>
      <w:r>
        <w:rPr>
          <w:rFonts w:hint="eastAsia"/>
          <w:sz w:val="24"/>
        </w:rPr>
        <w:t>第三部分</w:t>
      </w:r>
      <w:r>
        <w:rPr>
          <w:sz w:val="24"/>
        </w:rPr>
        <w:t xml:space="preserve"> </w:t>
      </w:r>
      <w:r>
        <w:rPr>
          <w:rFonts w:hint="eastAsia"/>
          <w:sz w:val="24"/>
        </w:rPr>
        <w:t>名词解释</w:t>
      </w:r>
    </w:p>
    <w:p>
      <w:pPr>
        <w:pStyle w:val="11"/>
        <w:adjustRightInd w:val="0"/>
        <w:snapToGrid w:val="0"/>
        <w:spacing w:before="0" w:line="440" w:lineRule="exact"/>
        <w:jc w:val="left"/>
        <w:rPr>
          <w:rFonts w:cstheme="minorBidi"/>
          <w:sz w:val="24"/>
          <w:szCs w:val="24"/>
        </w:rPr>
      </w:pPr>
      <w:r>
        <w:rPr>
          <w:rFonts w:hint="eastAsia"/>
          <w:sz w:val="24"/>
        </w:rPr>
        <w:t>第四部分</w:t>
      </w:r>
      <w:r>
        <w:rPr>
          <w:sz w:val="24"/>
        </w:rPr>
        <w:t xml:space="preserve"> </w:t>
      </w:r>
      <w:r>
        <w:rPr>
          <w:rFonts w:hint="eastAsia"/>
          <w:sz w:val="24"/>
        </w:rPr>
        <w:t>附件</w:t>
      </w:r>
    </w:p>
    <w:p>
      <w:pPr>
        <w:pStyle w:val="12"/>
        <w:adjustRightInd w:val="0"/>
        <w:snapToGrid w:val="0"/>
        <w:spacing w:line="440" w:lineRule="exact"/>
        <w:jc w:val="left"/>
        <w:rPr>
          <w:rFonts w:ascii="仿宋" w:hAnsi="仿宋" w:eastAsia="仿宋" w:cstheme="minorBidi"/>
          <w:sz w:val="24"/>
        </w:rPr>
      </w:pPr>
      <w:r>
        <w:rPr>
          <w:rFonts w:hint="eastAsia"/>
          <w:sz w:val="24"/>
        </w:rPr>
        <w:t>附件</w:t>
      </w:r>
      <w:r>
        <w:rPr>
          <w:sz w:val="24"/>
        </w:rPr>
        <w:t>1</w:t>
      </w:r>
    </w:p>
    <w:p>
      <w:pPr>
        <w:pStyle w:val="12"/>
        <w:adjustRightInd w:val="0"/>
        <w:snapToGrid w:val="0"/>
        <w:spacing w:line="440" w:lineRule="exact"/>
        <w:jc w:val="left"/>
        <w:rPr>
          <w:rFonts w:ascii="仿宋" w:hAnsi="仿宋" w:eastAsia="仿宋" w:cstheme="minorBidi"/>
          <w:sz w:val="24"/>
        </w:rPr>
      </w:pPr>
      <w:r>
        <w:rPr>
          <w:rFonts w:hint="eastAsia"/>
          <w:sz w:val="24"/>
        </w:rPr>
        <w:t>附件</w:t>
      </w:r>
      <w:r>
        <w:rPr>
          <w:sz w:val="24"/>
        </w:rPr>
        <w:t>2</w:t>
      </w:r>
    </w:p>
    <w:p>
      <w:pPr>
        <w:pStyle w:val="11"/>
        <w:adjustRightInd w:val="0"/>
        <w:snapToGrid w:val="0"/>
        <w:spacing w:before="0" w:line="440" w:lineRule="exact"/>
        <w:jc w:val="left"/>
        <w:rPr>
          <w:rFonts w:cstheme="minorBidi"/>
          <w:sz w:val="24"/>
          <w:szCs w:val="24"/>
        </w:rPr>
      </w:pPr>
      <w:r>
        <w:rPr>
          <w:rFonts w:hint="eastAsia"/>
          <w:sz w:val="24"/>
        </w:rPr>
        <w:t>第五部分</w:t>
      </w:r>
      <w:r>
        <w:rPr>
          <w:sz w:val="24"/>
        </w:rPr>
        <w:t xml:space="preserve"> </w:t>
      </w:r>
      <w:r>
        <w:rPr>
          <w:rFonts w:hint="eastAsia"/>
          <w:sz w:val="24"/>
        </w:rPr>
        <w:t>附表</w:t>
      </w:r>
    </w:p>
    <w:p>
      <w:pPr>
        <w:pStyle w:val="12"/>
        <w:adjustRightInd w:val="0"/>
        <w:snapToGrid w:val="0"/>
        <w:spacing w:line="440" w:lineRule="exact"/>
        <w:jc w:val="left"/>
        <w:rPr>
          <w:rFonts w:ascii="仿宋" w:hAnsi="仿宋" w:eastAsia="仿宋" w:cstheme="minorBidi"/>
          <w:sz w:val="24"/>
        </w:rPr>
      </w:pPr>
      <w:r>
        <w:rPr>
          <w:rFonts w:hint="eastAsia" w:ascii="仿宋" w:hAnsi="仿宋" w:eastAsia="仿宋"/>
          <w:sz w:val="24"/>
        </w:rPr>
        <w:t>一、</w:t>
      </w:r>
      <w:r>
        <w:rPr>
          <w:rFonts w:hint="eastAsia"/>
          <w:sz w:val="24"/>
        </w:rPr>
        <w:t>收入支出决算总表</w:t>
      </w:r>
    </w:p>
    <w:p>
      <w:pPr>
        <w:pStyle w:val="12"/>
        <w:adjustRightInd w:val="0"/>
        <w:snapToGrid w:val="0"/>
        <w:spacing w:line="440" w:lineRule="exact"/>
        <w:jc w:val="left"/>
        <w:rPr>
          <w:rFonts w:ascii="仿宋" w:hAnsi="仿宋" w:eastAsia="仿宋" w:cstheme="minorBidi"/>
          <w:sz w:val="24"/>
        </w:rPr>
      </w:pPr>
      <w:r>
        <w:rPr>
          <w:rFonts w:hint="eastAsia" w:ascii="仿宋" w:hAnsi="仿宋" w:eastAsia="仿宋"/>
          <w:sz w:val="24"/>
        </w:rPr>
        <w:t>二、</w:t>
      </w:r>
      <w:r>
        <w:rPr>
          <w:rFonts w:hint="eastAsia"/>
          <w:sz w:val="24"/>
        </w:rPr>
        <w:t>收入</w:t>
      </w:r>
      <w:r>
        <w:rPr>
          <w:rFonts w:hint="eastAsia" w:ascii="仿宋" w:hAnsi="仿宋" w:eastAsia="仿宋"/>
          <w:sz w:val="24"/>
        </w:rPr>
        <w:t>决算</w:t>
      </w:r>
      <w:r>
        <w:rPr>
          <w:rFonts w:hint="eastAsia"/>
          <w:sz w:val="24"/>
        </w:rPr>
        <w:t>表</w:t>
      </w:r>
    </w:p>
    <w:p>
      <w:pPr>
        <w:pStyle w:val="12"/>
        <w:adjustRightInd w:val="0"/>
        <w:snapToGrid w:val="0"/>
        <w:spacing w:line="440" w:lineRule="exact"/>
        <w:jc w:val="left"/>
        <w:rPr>
          <w:rFonts w:ascii="仿宋" w:hAnsi="仿宋" w:eastAsia="仿宋" w:cstheme="minorBidi"/>
          <w:sz w:val="24"/>
        </w:rPr>
      </w:pPr>
      <w:r>
        <w:rPr>
          <w:rFonts w:hint="eastAsia" w:ascii="仿宋" w:hAnsi="仿宋" w:eastAsia="仿宋"/>
          <w:sz w:val="24"/>
        </w:rPr>
        <w:t>三、</w:t>
      </w:r>
      <w:r>
        <w:rPr>
          <w:rFonts w:hint="eastAsia"/>
          <w:sz w:val="24"/>
        </w:rPr>
        <w:t>支出</w:t>
      </w:r>
      <w:r>
        <w:rPr>
          <w:rFonts w:hint="eastAsia" w:ascii="仿宋" w:hAnsi="仿宋" w:eastAsia="仿宋"/>
          <w:sz w:val="24"/>
        </w:rPr>
        <w:t>决算</w:t>
      </w:r>
      <w:r>
        <w:rPr>
          <w:rFonts w:hint="eastAsia"/>
          <w:sz w:val="24"/>
        </w:rPr>
        <w:t>表</w:t>
      </w:r>
    </w:p>
    <w:p>
      <w:pPr>
        <w:pStyle w:val="12"/>
        <w:adjustRightInd w:val="0"/>
        <w:snapToGrid w:val="0"/>
        <w:spacing w:line="440" w:lineRule="exact"/>
        <w:jc w:val="left"/>
        <w:rPr>
          <w:rFonts w:ascii="仿宋" w:hAnsi="仿宋" w:eastAsia="仿宋" w:cstheme="minorBidi"/>
          <w:sz w:val="24"/>
        </w:rPr>
      </w:pPr>
      <w:r>
        <w:rPr>
          <w:rFonts w:hint="eastAsia" w:ascii="仿宋" w:hAnsi="仿宋" w:eastAsia="仿宋"/>
          <w:sz w:val="24"/>
        </w:rPr>
        <w:t>四、</w:t>
      </w:r>
      <w:r>
        <w:rPr>
          <w:rFonts w:hint="eastAsia"/>
          <w:sz w:val="24"/>
        </w:rPr>
        <w:t>财政拨款收入支出决算总表</w:t>
      </w:r>
    </w:p>
    <w:p>
      <w:pPr>
        <w:pStyle w:val="12"/>
        <w:adjustRightInd w:val="0"/>
        <w:snapToGrid w:val="0"/>
        <w:spacing w:line="440" w:lineRule="exact"/>
        <w:jc w:val="left"/>
        <w:rPr>
          <w:rFonts w:ascii="仿宋" w:hAnsi="仿宋" w:eastAsia="仿宋"/>
          <w:sz w:val="24"/>
        </w:rPr>
      </w:pPr>
      <w:r>
        <w:rPr>
          <w:rFonts w:hint="eastAsia" w:ascii="仿宋" w:hAnsi="仿宋" w:eastAsia="仿宋"/>
          <w:sz w:val="24"/>
        </w:rPr>
        <w:t>五、财政拨款支出决算明细表</w:t>
      </w:r>
    </w:p>
    <w:p>
      <w:pPr>
        <w:pStyle w:val="12"/>
        <w:adjustRightInd w:val="0"/>
        <w:snapToGrid w:val="0"/>
        <w:spacing w:line="440" w:lineRule="exact"/>
        <w:jc w:val="left"/>
        <w:rPr>
          <w:rFonts w:ascii="仿宋" w:hAnsi="仿宋" w:eastAsia="仿宋" w:cstheme="minorBidi"/>
          <w:sz w:val="24"/>
        </w:rPr>
      </w:pPr>
      <w:r>
        <w:rPr>
          <w:rFonts w:hint="eastAsia" w:ascii="仿宋" w:hAnsi="仿宋" w:eastAsia="仿宋"/>
          <w:sz w:val="24"/>
        </w:rPr>
        <w:t>六、</w:t>
      </w:r>
      <w:r>
        <w:rPr>
          <w:rFonts w:hint="eastAsia"/>
          <w:sz w:val="24"/>
        </w:rPr>
        <w:t>一般公共预算财政拨款支出决算表</w:t>
      </w:r>
    </w:p>
    <w:p>
      <w:pPr>
        <w:pStyle w:val="12"/>
        <w:adjustRightInd w:val="0"/>
        <w:snapToGrid w:val="0"/>
        <w:spacing w:line="440" w:lineRule="exact"/>
        <w:jc w:val="left"/>
        <w:rPr>
          <w:rFonts w:ascii="仿宋" w:hAnsi="仿宋" w:eastAsia="仿宋" w:cstheme="minorBidi"/>
          <w:sz w:val="24"/>
        </w:rPr>
      </w:pPr>
      <w:r>
        <w:rPr>
          <w:rFonts w:hint="eastAsia" w:ascii="仿宋" w:hAnsi="仿宋" w:eastAsia="仿宋"/>
          <w:sz w:val="24"/>
        </w:rPr>
        <w:t>七、</w:t>
      </w:r>
      <w:r>
        <w:rPr>
          <w:rFonts w:hint="eastAsia"/>
          <w:sz w:val="24"/>
        </w:rPr>
        <w:t>一般公共预算财政拨款支出决算明细表</w:t>
      </w:r>
    </w:p>
    <w:p>
      <w:pPr>
        <w:pStyle w:val="12"/>
        <w:adjustRightInd w:val="0"/>
        <w:snapToGrid w:val="0"/>
        <w:spacing w:line="440" w:lineRule="exact"/>
        <w:jc w:val="left"/>
        <w:rPr>
          <w:rFonts w:ascii="仿宋" w:hAnsi="仿宋" w:eastAsia="仿宋" w:cstheme="minorBidi"/>
          <w:sz w:val="24"/>
        </w:rPr>
      </w:pPr>
      <w:r>
        <w:rPr>
          <w:rFonts w:hint="eastAsia" w:ascii="仿宋" w:hAnsi="仿宋" w:eastAsia="仿宋"/>
          <w:sz w:val="24"/>
        </w:rPr>
        <w:t>八、</w:t>
      </w:r>
      <w:r>
        <w:rPr>
          <w:rFonts w:hint="eastAsia"/>
          <w:sz w:val="24"/>
        </w:rPr>
        <w:t>一般公共预算财政拨款基本支出决算表</w:t>
      </w:r>
    </w:p>
    <w:p>
      <w:pPr>
        <w:pStyle w:val="12"/>
        <w:adjustRightInd w:val="0"/>
        <w:snapToGrid w:val="0"/>
        <w:spacing w:line="440" w:lineRule="exact"/>
        <w:jc w:val="left"/>
        <w:rPr>
          <w:rFonts w:ascii="仿宋" w:hAnsi="仿宋" w:eastAsia="仿宋" w:cstheme="minorBidi"/>
          <w:sz w:val="24"/>
        </w:rPr>
      </w:pPr>
      <w:r>
        <w:rPr>
          <w:rFonts w:hint="eastAsia" w:ascii="仿宋" w:hAnsi="仿宋" w:eastAsia="仿宋"/>
          <w:sz w:val="24"/>
        </w:rPr>
        <w:t>九、</w:t>
      </w:r>
      <w:r>
        <w:rPr>
          <w:rFonts w:hint="eastAsia"/>
          <w:sz w:val="24"/>
        </w:rPr>
        <w:t>一般公共预算财政拨款项目支出决算表</w:t>
      </w:r>
    </w:p>
    <w:p>
      <w:pPr>
        <w:pStyle w:val="12"/>
        <w:adjustRightInd w:val="0"/>
        <w:snapToGrid w:val="0"/>
        <w:spacing w:line="440" w:lineRule="exact"/>
        <w:jc w:val="left"/>
        <w:rPr>
          <w:rFonts w:ascii="仿宋" w:hAnsi="仿宋" w:eastAsia="仿宋" w:cstheme="minorBidi"/>
          <w:sz w:val="24"/>
        </w:rPr>
      </w:pPr>
      <w:r>
        <w:rPr>
          <w:rFonts w:hint="eastAsia" w:ascii="仿宋" w:hAnsi="仿宋" w:eastAsia="仿宋"/>
          <w:sz w:val="24"/>
        </w:rPr>
        <w:t>十、</w:t>
      </w:r>
      <w:r>
        <w:rPr>
          <w:rFonts w:hint="eastAsia"/>
          <w:sz w:val="24"/>
        </w:rPr>
        <w:t>一般公共预算财政拨款“三公”经费支出决算表</w:t>
      </w:r>
    </w:p>
    <w:p>
      <w:pPr>
        <w:pStyle w:val="12"/>
        <w:adjustRightInd w:val="0"/>
        <w:snapToGrid w:val="0"/>
        <w:spacing w:line="440" w:lineRule="exact"/>
        <w:jc w:val="left"/>
        <w:rPr>
          <w:rFonts w:ascii="仿宋" w:hAnsi="仿宋" w:eastAsia="仿宋" w:cstheme="minorBidi"/>
          <w:sz w:val="24"/>
        </w:rPr>
      </w:pPr>
      <w:r>
        <w:rPr>
          <w:rFonts w:hint="eastAsia" w:ascii="仿宋" w:hAnsi="仿宋" w:eastAsia="仿宋"/>
          <w:sz w:val="24"/>
        </w:rPr>
        <w:t>十一、</w:t>
      </w:r>
      <w:r>
        <w:rPr>
          <w:rFonts w:hint="eastAsia"/>
          <w:sz w:val="24"/>
        </w:rPr>
        <w:t>政府性基金预算财政拨款收入支出决算表</w:t>
      </w:r>
    </w:p>
    <w:p>
      <w:pPr>
        <w:pStyle w:val="12"/>
        <w:adjustRightInd w:val="0"/>
        <w:snapToGrid w:val="0"/>
        <w:spacing w:line="440" w:lineRule="exact"/>
        <w:jc w:val="left"/>
        <w:rPr>
          <w:rFonts w:ascii="仿宋" w:hAnsi="仿宋" w:eastAsia="仿宋" w:cstheme="minorBidi"/>
          <w:sz w:val="24"/>
        </w:rPr>
      </w:pPr>
      <w:r>
        <w:rPr>
          <w:rFonts w:hint="eastAsia" w:ascii="仿宋" w:hAnsi="仿宋" w:eastAsia="仿宋"/>
          <w:sz w:val="24"/>
        </w:rPr>
        <w:t>十二、</w:t>
      </w:r>
      <w:r>
        <w:rPr>
          <w:rFonts w:hint="eastAsia"/>
          <w:sz w:val="24"/>
        </w:rPr>
        <w:t>政府性基金预算财政拨款“三公”经费支出决算表</w:t>
      </w:r>
    </w:p>
    <w:p>
      <w:pPr>
        <w:pStyle w:val="12"/>
        <w:adjustRightInd w:val="0"/>
        <w:snapToGrid w:val="0"/>
        <w:spacing w:line="440" w:lineRule="exact"/>
        <w:jc w:val="left"/>
        <w:rPr>
          <w:rFonts w:ascii="仿宋" w:hAnsi="仿宋" w:eastAsia="仿宋" w:cstheme="minorBidi"/>
          <w:sz w:val="24"/>
        </w:rPr>
      </w:pPr>
      <w:r>
        <w:rPr>
          <w:rFonts w:hint="eastAsia" w:ascii="仿宋" w:hAnsi="仿宋" w:eastAsia="仿宋"/>
          <w:sz w:val="24"/>
        </w:rPr>
        <w:t>十三、</w:t>
      </w:r>
      <w:r>
        <w:rPr>
          <w:rFonts w:hint="eastAsia"/>
          <w:sz w:val="24"/>
        </w:rPr>
        <w:t>国有资本经营预算支出决算表</w:t>
      </w:r>
    </w:p>
    <w:p>
      <w:pPr>
        <w:widowControl/>
        <w:adjustRightInd w:val="0"/>
        <w:snapToGrid w:val="0"/>
        <w:spacing w:line="440" w:lineRule="exact"/>
        <w:ind w:firstLine="1320" w:firstLineChars="550"/>
        <w:jc w:val="left"/>
        <w:rPr>
          <w:rFonts w:hint="eastAsia" w:ascii="仿宋" w:hAnsi="仿宋" w:eastAsia="仿宋"/>
          <w:color w:val="FF0000"/>
          <w:sz w:val="24"/>
        </w:rPr>
      </w:pPr>
    </w:p>
    <w:p>
      <w:pPr>
        <w:widowControl/>
        <w:spacing w:line="440" w:lineRule="exact"/>
        <w:jc w:val="left"/>
        <w:rPr>
          <w:rFonts w:ascii="仿宋" w:hAnsi="仿宋" w:eastAsia="仿宋"/>
          <w:bCs/>
          <w:kern w:val="44"/>
          <w:sz w:val="24"/>
        </w:rPr>
      </w:pPr>
      <w:bookmarkStart w:id="7" w:name="_Toc15396599"/>
      <w:bookmarkStart w:id="8" w:name="_Toc15377196"/>
      <w:r>
        <w:rPr>
          <w:rFonts w:ascii="仿宋" w:hAnsi="仿宋" w:eastAsia="仿宋"/>
          <w:b/>
          <w:sz w:val="24"/>
        </w:rPr>
        <w:br w:type="page"/>
      </w:r>
    </w:p>
    <w:p>
      <w:pPr>
        <w:pStyle w:val="2"/>
        <w:jc w:val="center"/>
        <w:rPr>
          <w:rStyle w:val="27"/>
          <w:rFonts w:ascii="黑体" w:hAnsi="黑体" w:eastAsia="黑体"/>
          <w:b/>
          <w:bCs w:val="0"/>
        </w:rPr>
      </w:pPr>
      <w:r>
        <w:rPr>
          <w:rFonts w:hint="eastAsia" w:ascii="黑体" w:hAnsi="黑体" w:eastAsia="黑体"/>
          <w:b w:val="0"/>
        </w:rPr>
        <w:t xml:space="preserve">第一部分 </w:t>
      </w:r>
      <w:r>
        <w:rPr>
          <w:rStyle w:val="27"/>
          <w:rFonts w:hint="eastAsia" w:ascii="黑体" w:hAnsi="黑体" w:eastAsia="黑体"/>
          <w:b w:val="0"/>
          <w:bCs w:val="0"/>
        </w:rPr>
        <w:t>部门概况</w:t>
      </w:r>
      <w:bookmarkEnd w:id="7"/>
      <w:bookmarkEnd w:id="8"/>
    </w:p>
    <w:p>
      <w:pPr>
        <w:widowControl/>
        <w:jc w:val="left"/>
        <w:rPr>
          <w:rFonts w:ascii="黑体" w:eastAsia="黑体"/>
          <w:color w:val="000000"/>
          <w:sz w:val="32"/>
          <w:szCs w:val="32"/>
        </w:rPr>
      </w:pPr>
    </w:p>
    <w:p>
      <w:pPr>
        <w:pStyle w:val="3"/>
        <w:rPr>
          <w:rStyle w:val="28"/>
          <w:rFonts w:ascii="仿宋" w:hAnsi="仿宋" w:eastAsia="仿宋"/>
          <w:b w:val="0"/>
          <w:bCs w:val="0"/>
        </w:rPr>
      </w:pPr>
      <w:bookmarkStart w:id="9" w:name="_Toc15396600"/>
      <w:bookmarkStart w:id="10" w:name="_Toc15377197"/>
      <w:r>
        <w:rPr>
          <w:rFonts w:hint="eastAsia" w:ascii="黑体" w:hAnsi="黑体" w:eastAsia="黑体"/>
          <w:b w:val="0"/>
          <w:color w:val="000000"/>
        </w:rPr>
        <w:t>一、基</w:t>
      </w:r>
      <w:r>
        <w:rPr>
          <w:rStyle w:val="28"/>
          <w:rFonts w:hint="eastAsia" w:ascii="黑体" w:hAnsi="黑体" w:eastAsia="黑体"/>
          <w:b w:val="0"/>
          <w:bCs w:val="0"/>
        </w:rPr>
        <w:t>本职能及主要工作</w:t>
      </w:r>
      <w:bookmarkEnd w:id="9"/>
      <w:bookmarkEnd w:id="10"/>
    </w:p>
    <w:p>
      <w:pPr>
        <w:snapToGrid w:val="0"/>
        <w:spacing w:line="520" w:lineRule="exact"/>
        <w:ind w:firstLine="640"/>
        <w:rPr>
          <w:rFonts w:ascii="新宋体" w:hAnsi="新宋体" w:eastAsia="新宋体"/>
          <w:sz w:val="28"/>
          <w:szCs w:val="28"/>
        </w:rPr>
      </w:pPr>
      <w:bookmarkStart w:id="11" w:name="_Toc15377198"/>
      <w:bookmarkStart w:id="12" w:name="_Toc15378445"/>
      <w:r>
        <w:rPr>
          <w:rFonts w:hint="eastAsia" w:ascii="仿宋" w:hAnsi="仿宋" w:eastAsia="仿宋"/>
          <w:bCs/>
          <w:color w:val="000000"/>
          <w:sz w:val="32"/>
          <w:szCs w:val="32"/>
        </w:rPr>
        <w:t>（一）主要职能。</w:t>
      </w:r>
      <w:bookmarkEnd w:id="11"/>
      <w:bookmarkEnd w:id="12"/>
      <w:bookmarkStart w:id="13" w:name="_Toc15378446"/>
      <w:bookmarkStart w:id="14" w:name="_Toc15377199"/>
      <w:r>
        <w:rPr>
          <w:rFonts w:ascii="新宋体" w:hAnsi="新宋体" w:eastAsia="新宋体"/>
          <w:sz w:val="28"/>
          <w:szCs w:val="28"/>
        </w:rPr>
        <w:t>乐至县残疾人联合会基本职能及主要工作-履行“代表、管理、服务”职能：代表残疾人共同利益，维护残疾人合法权益；开展各项业务和活动，直接为残疾人服务；承担政府委托的部门行政职能，发展和管理残疾人事业</w:t>
      </w:r>
      <w:r>
        <w:rPr>
          <w:rFonts w:hint="eastAsia" w:ascii="新宋体" w:hAnsi="新宋体" w:eastAsia="新宋体"/>
          <w:sz w:val="28"/>
          <w:szCs w:val="28"/>
        </w:rPr>
        <w:t>。</w:t>
      </w:r>
    </w:p>
    <w:p>
      <w:pPr>
        <w:pStyle w:val="6"/>
        <w:adjustRightInd w:val="0"/>
        <w:snapToGrid w:val="0"/>
        <w:spacing w:before="93" w:line="600" w:lineRule="exact"/>
        <w:ind w:firstLine="672" w:firstLineChars="210"/>
        <w:outlineLvl w:val="2"/>
        <w:rPr>
          <w:rFonts w:ascii="仿宋" w:hAnsi="仿宋" w:eastAsia="仿宋"/>
          <w:bCs/>
          <w:color w:val="000000"/>
          <w:sz w:val="32"/>
          <w:szCs w:val="32"/>
        </w:rPr>
      </w:pPr>
      <w:r>
        <w:rPr>
          <w:rFonts w:hint="eastAsia" w:ascii="仿宋" w:hAnsi="仿宋" w:eastAsia="仿宋"/>
          <w:bCs/>
          <w:color w:val="000000"/>
          <w:sz w:val="32"/>
          <w:szCs w:val="32"/>
        </w:rPr>
        <w:t>（二）</w:t>
      </w:r>
      <w:r>
        <w:rPr>
          <w:rFonts w:ascii="仿宋" w:hAnsi="仿宋" w:eastAsia="仿宋"/>
          <w:bCs/>
          <w:color w:val="000000"/>
          <w:sz w:val="32"/>
          <w:szCs w:val="32"/>
        </w:rPr>
        <w:t>201</w:t>
      </w:r>
      <w:r>
        <w:rPr>
          <w:rFonts w:hint="eastAsia" w:ascii="仿宋" w:hAnsi="仿宋" w:eastAsia="仿宋"/>
          <w:bCs/>
          <w:color w:val="000000"/>
          <w:sz w:val="32"/>
          <w:szCs w:val="32"/>
        </w:rPr>
        <w:t>9年重点工作完成情况。</w:t>
      </w:r>
      <w:bookmarkEnd w:id="13"/>
      <w:bookmarkEnd w:id="14"/>
    </w:p>
    <w:p>
      <w:pPr>
        <w:pStyle w:val="6"/>
        <w:adjustRightInd w:val="0"/>
        <w:snapToGrid w:val="0"/>
        <w:spacing w:before="93" w:line="600" w:lineRule="exact"/>
        <w:outlineLvl w:val="2"/>
        <w:rPr>
          <w:rFonts w:ascii="仿宋" w:hAnsi="仿宋" w:eastAsia="仿宋"/>
          <w:bCs/>
          <w:sz w:val="32"/>
          <w:szCs w:val="32"/>
        </w:rPr>
      </w:pPr>
    </w:p>
    <w:p>
      <w:pPr>
        <w:spacing w:line="620" w:lineRule="exact"/>
        <w:ind w:firstLine="600"/>
        <w:rPr>
          <w:rFonts w:ascii="新宋体" w:hAnsi="新宋体" w:eastAsia="新宋体"/>
          <w:sz w:val="28"/>
          <w:szCs w:val="28"/>
        </w:rPr>
      </w:pPr>
      <w:r>
        <w:rPr>
          <w:rFonts w:ascii="新宋体" w:hAnsi="新宋体" w:eastAsia="新宋体"/>
          <w:sz w:val="28"/>
          <w:szCs w:val="28"/>
        </w:rPr>
        <w:t>全面完成各项涉残民生工程任务。城乡残疾人居家灵活就业已完成6159人，占任务的135.81%；农村贫困残疾人发展生产已完成1589人，占任务数135.14%；为贫困残疾人适配亟需的基本辅助器具已完成895人，占任务数155%；救助贫困脑瘫儿童项目已完成36例，占任务数112.25%；救助贫困家庭重度听力残疾儿童项目已完成13人，占任务数100%。</w:t>
      </w:r>
    </w:p>
    <w:p>
      <w:pPr>
        <w:pStyle w:val="6"/>
        <w:adjustRightInd w:val="0"/>
        <w:snapToGrid w:val="0"/>
        <w:spacing w:before="93" w:line="600" w:lineRule="exact"/>
        <w:ind w:firstLine="672" w:firstLineChars="210"/>
        <w:outlineLvl w:val="2"/>
        <w:rPr>
          <w:rFonts w:ascii="仿宋" w:hAnsi="仿宋" w:eastAsia="仿宋"/>
          <w:bCs/>
          <w:color w:val="000000"/>
          <w:sz w:val="32"/>
          <w:szCs w:val="32"/>
        </w:rPr>
      </w:pPr>
    </w:p>
    <w:p>
      <w:pPr>
        <w:pStyle w:val="6"/>
        <w:adjustRightInd w:val="0"/>
        <w:snapToGrid w:val="0"/>
        <w:spacing w:before="93" w:line="600" w:lineRule="exact"/>
        <w:ind w:firstLine="672" w:firstLineChars="210"/>
        <w:outlineLvl w:val="2"/>
        <w:rPr>
          <w:rFonts w:ascii="仿宋" w:hAnsi="仿宋" w:eastAsia="仿宋"/>
          <w:bCs/>
          <w:color w:val="000000"/>
          <w:sz w:val="32"/>
          <w:szCs w:val="32"/>
        </w:rPr>
      </w:pPr>
    </w:p>
    <w:p>
      <w:pPr>
        <w:pStyle w:val="6"/>
        <w:adjustRightInd w:val="0"/>
        <w:snapToGrid w:val="0"/>
        <w:spacing w:before="93" w:line="600" w:lineRule="exact"/>
        <w:ind w:firstLine="672" w:firstLineChars="210"/>
        <w:outlineLvl w:val="2"/>
        <w:rPr>
          <w:rFonts w:ascii="仿宋" w:hAnsi="仿宋" w:eastAsia="仿宋"/>
          <w:bCs/>
          <w:color w:val="000000"/>
          <w:sz w:val="32"/>
          <w:szCs w:val="32"/>
        </w:rPr>
      </w:pPr>
    </w:p>
    <w:p>
      <w:pPr>
        <w:pStyle w:val="6"/>
        <w:adjustRightInd w:val="0"/>
        <w:snapToGrid w:val="0"/>
        <w:spacing w:before="93" w:line="600" w:lineRule="exact"/>
        <w:ind w:firstLine="672" w:firstLineChars="210"/>
        <w:outlineLvl w:val="2"/>
        <w:rPr>
          <w:rFonts w:ascii="仿宋" w:hAnsi="仿宋" w:eastAsia="仿宋"/>
          <w:bCs/>
          <w:color w:val="000000"/>
          <w:sz w:val="32"/>
          <w:szCs w:val="32"/>
        </w:rPr>
      </w:pPr>
    </w:p>
    <w:p>
      <w:pPr>
        <w:pStyle w:val="6"/>
        <w:adjustRightInd w:val="0"/>
        <w:snapToGrid w:val="0"/>
        <w:spacing w:before="93" w:line="600" w:lineRule="exact"/>
        <w:ind w:firstLine="672" w:firstLineChars="210"/>
        <w:outlineLvl w:val="2"/>
        <w:rPr>
          <w:rFonts w:ascii="仿宋" w:hAnsi="仿宋" w:eastAsia="仿宋"/>
          <w:bCs/>
          <w:color w:val="000000"/>
          <w:sz w:val="32"/>
          <w:szCs w:val="32"/>
        </w:rPr>
      </w:pPr>
    </w:p>
    <w:p>
      <w:pPr>
        <w:pStyle w:val="6"/>
        <w:adjustRightInd w:val="0"/>
        <w:snapToGrid w:val="0"/>
        <w:spacing w:before="93" w:line="600" w:lineRule="exact"/>
        <w:ind w:firstLine="672" w:firstLineChars="210"/>
        <w:outlineLvl w:val="2"/>
        <w:rPr>
          <w:rFonts w:ascii="仿宋" w:hAnsi="仿宋" w:eastAsia="仿宋"/>
          <w:bCs/>
          <w:color w:val="000000"/>
          <w:sz w:val="32"/>
          <w:szCs w:val="32"/>
        </w:rPr>
      </w:pPr>
    </w:p>
    <w:p>
      <w:pPr>
        <w:pStyle w:val="6"/>
        <w:adjustRightInd w:val="0"/>
        <w:snapToGrid w:val="0"/>
        <w:spacing w:before="93" w:line="600" w:lineRule="exact"/>
        <w:ind w:firstLine="672" w:firstLineChars="210"/>
        <w:outlineLvl w:val="2"/>
        <w:rPr>
          <w:rFonts w:ascii="仿宋" w:hAnsi="仿宋" w:eastAsia="仿宋"/>
          <w:bCs/>
          <w:color w:val="000000"/>
          <w:sz w:val="32"/>
          <w:szCs w:val="32"/>
        </w:rPr>
      </w:pPr>
    </w:p>
    <w:p>
      <w:pPr>
        <w:pStyle w:val="3"/>
        <w:rPr>
          <w:rStyle w:val="28"/>
          <w:b w:val="0"/>
          <w:bCs w:val="0"/>
        </w:rPr>
      </w:pPr>
      <w:bookmarkStart w:id="15" w:name="_Toc15377200"/>
      <w:bookmarkStart w:id="16" w:name="_Toc15396601"/>
      <w:r>
        <w:rPr>
          <w:rFonts w:hint="eastAsia" w:ascii="黑体" w:eastAsia="黑体"/>
          <w:b w:val="0"/>
          <w:color w:val="000000"/>
        </w:rPr>
        <w:t>二、</w:t>
      </w:r>
      <w:r>
        <w:rPr>
          <w:rFonts w:hint="eastAsia" w:ascii="黑体" w:hAnsi="黑体" w:eastAsia="黑体"/>
          <w:b w:val="0"/>
          <w:color w:val="000000"/>
        </w:rPr>
        <w:t>机</w:t>
      </w:r>
      <w:r>
        <w:rPr>
          <w:rStyle w:val="28"/>
          <w:rFonts w:hint="eastAsia" w:ascii="黑体" w:hAnsi="黑体" w:eastAsia="黑体"/>
          <w:b w:val="0"/>
          <w:bCs w:val="0"/>
        </w:rPr>
        <w:t>构设置</w:t>
      </w:r>
      <w:bookmarkEnd w:id="15"/>
      <w:bookmarkEnd w:id="16"/>
    </w:p>
    <w:p>
      <w:pPr>
        <w:pStyle w:val="3"/>
        <w:ind w:firstLine="560" w:firstLineChars="200"/>
        <w:rPr>
          <w:rFonts w:ascii="新宋体" w:hAnsi="新宋体" w:eastAsia="新宋体"/>
          <w:b w:val="0"/>
          <w:sz w:val="28"/>
          <w:szCs w:val="28"/>
        </w:rPr>
      </w:pPr>
      <w:r>
        <w:rPr>
          <w:rFonts w:ascii="新宋体" w:hAnsi="新宋体" w:eastAsia="新宋体"/>
          <w:b w:val="0"/>
          <w:sz w:val="28"/>
          <w:szCs w:val="28"/>
        </w:rPr>
        <w:t>乐至县残疾人联合会下属单位1个，其中：行政单位0个，参照公务员法管理的事业单位 1个，其他事业单位0个。</w:t>
      </w:r>
    </w:p>
    <w:p>
      <w:pPr>
        <w:pStyle w:val="3"/>
        <w:ind w:firstLine="560" w:firstLineChars="200"/>
        <w:rPr>
          <w:rFonts w:ascii="新宋体" w:hAnsi="新宋体" w:eastAsia="新宋体"/>
          <w:b w:val="0"/>
          <w:sz w:val="28"/>
          <w:szCs w:val="28"/>
        </w:rPr>
      </w:pPr>
      <w:r>
        <w:rPr>
          <w:rFonts w:hint="eastAsia" w:ascii="新宋体" w:hAnsi="新宋体" w:eastAsia="新宋体" w:cs="新宋体"/>
          <w:b w:val="0"/>
          <w:kern w:val="0"/>
          <w:sz w:val="28"/>
          <w:szCs w:val="28"/>
        </w:rPr>
        <w:t>纳入乐至县残疾人联合会2018年度部门决算编制范围的一级预算单位包括：乐至县残疾人联合会</w:t>
      </w:r>
    </w:p>
    <w:p>
      <w:pPr>
        <w:pStyle w:val="6"/>
        <w:tabs>
          <w:tab w:val="left" w:pos="2355"/>
        </w:tabs>
        <w:adjustRightInd w:val="0"/>
        <w:snapToGrid w:val="0"/>
        <w:spacing w:before="93" w:line="600" w:lineRule="exact"/>
        <w:ind w:firstLine="1120" w:firstLineChars="350"/>
        <w:rPr>
          <w:rFonts w:ascii="仿宋" w:hAnsi="仿宋" w:eastAsia="仿宋"/>
          <w:color w:val="000000"/>
          <w:sz w:val="32"/>
          <w:szCs w:val="32"/>
        </w:rPr>
      </w:pPr>
    </w:p>
    <w:p>
      <w:pPr>
        <w:widowControl/>
        <w:jc w:val="left"/>
        <w:rPr>
          <w:rFonts w:ascii="仿宋" w:hAnsi="仿宋" w:eastAsia="仿宋"/>
          <w:color w:val="000000"/>
          <w:kern w:val="0"/>
          <w:sz w:val="32"/>
          <w:szCs w:val="32"/>
        </w:rPr>
      </w:pPr>
      <w:r>
        <w:rPr>
          <w:rFonts w:ascii="仿宋" w:hAnsi="仿宋" w:eastAsia="仿宋"/>
          <w:color w:val="000000"/>
          <w:sz w:val="32"/>
          <w:szCs w:val="32"/>
        </w:rPr>
        <w:br w:type="page"/>
      </w:r>
    </w:p>
    <w:p>
      <w:pPr>
        <w:pStyle w:val="2"/>
        <w:ind w:right="440"/>
        <w:jc w:val="right"/>
        <w:rPr>
          <w:rStyle w:val="27"/>
          <w:rFonts w:ascii="黑体" w:hAnsi="黑体" w:eastAsia="黑体"/>
          <w:b w:val="0"/>
          <w:bCs w:val="0"/>
        </w:rPr>
      </w:pPr>
      <w:bookmarkStart w:id="17" w:name="_Toc15377204"/>
      <w:bookmarkStart w:id="18" w:name="_Toc15396602"/>
      <w:r>
        <w:rPr>
          <w:rFonts w:hint="eastAsia" w:ascii="黑体" w:hAnsi="黑体" w:eastAsia="黑体"/>
          <w:b w:val="0"/>
          <w:color w:val="000000"/>
        </w:rPr>
        <w:t>第二部分</w:t>
      </w:r>
      <w:r>
        <w:rPr>
          <w:rFonts w:hint="eastAsia" w:ascii="黑体" w:hAnsi="黑体" w:eastAsia="黑体"/>
          <w:color w:val="000000"/>
        </w:rPr>
        <w:t xml:space="preserve"> </w:t>
      </w:r>
      <w:r>
        <w:rPr>
          <w:rStyle w:val="27"/>
          <w:rFonts w:hint="eastAsia" w:ascii="黑体" w:hAnsi="黑体" w:eastAsia="黑体"/>
          <w:b w:val="0"/>
          <w:bCs w:val="0"/>
        </w:rPr>
        <w:t>2019年度部门决算情况说明</w:t>
      </w:r>
      <w:bookmarkEnd w:id="17"/>
      <w:bookmarkEnd w:id="18"/>
    </w:p>
    <w:p/>
    <w:p>
      <w:pPr>
        <w:pStyle w:val="26"/>
        <w:numPr>
          <w:ilvl w:val="0"/>
          <w:numId w:val="1"/>
        </w:numPr>
        <w:spacing w:line="600" w:lineRule="exact"/>
        <w:ind w:firstLineChars="0"/>
        <w:outlineLvl w:val="1"/>
        <w:rPr>
          <w:rStyle w:val="28"/>
          <w:rFonts w:ascii="黑体" w:hAnsi="黑体" w:eastAsia="黑体"/>
          <w:b w:val="0"/>
        </w:rPr>
      </w:pPr>
      <w:bookmarkStart w:id="19" w:name="_Toc15396603"/>
      <w:bookmarkStart w:id="20" w:name="_Toc15377205"/>
      <w:r>
        <w:rPr>
          <w:rFonts w:hint="eastAsia" w:ascii="黑体" w:hAnsi="黑体" w:eastAsia="黑体"/>
          <w:color w:val="000000"/>
          <w:sz w:val="32"/>
          <w:szCs w:val="32"/>
        </w:rPr>
        <w:t>收</w:t>
      </w:r>
      <w:r>
        <w:rPr>
          <w:rStyle w:val="28"/>
          <w:rFonts w:hint="eastAsia" w:ascii="黑体" w:hAnsi="黑体" w:eastAsia="黑体"/>
          <w:b w:val="0"/>
        </w:rPr>
        <w:t>入支出决算总体情况说明</w:t>
      </w:r>
      <w:bookmarkEnd w:id="19"/>
      <w:bookmarkEnd w:id="20"/>
    </w:p>
    <w:p>
      <w:pPr>
        <w:pStyle w:val="26"/>
        <w:shd w:val="clear" w:color="000000" w:fill="FFFFFF"/>
        <w:spacing w:line="600" w:lineRule="exact"/>
        <w:ind w:left="1360" w:firstLine="0" w:firstLineChars="0"/>
        <w:rPr>
          <w:rFonts w:ascii="新宋体" w:hAnsi="新宋体" w:eastAsia="新宋体"/>
          <w:sz w:val="28"/>
          <w:szCs w:val="28"/>
        </w:rPr>
      </w:pPr>
      <w:r>
        <w:rPr>
          <w:rFonts w:hint="eastAsia" w:ascii="新宋体" w:hAnsi="新宋体" w:eastAsia="新宋体" w:cs="新宋体"/>
          <w:color w:val="000000"/>
          <w:sz w:val="28"/>
          <w:szCs w:val="28"/>
        </w:rPr>
        <w:t>201</w:t>
      </w:r>
      <w:r>
        <w:rPr>
          <w:rFonts w:ascii="新宋体" w:hAnsi="新宋体" w:eastAsia="新宋体" w:cs="新宋体"/>
          <w:color w:val="000000"/>
          <w:sz w:val="28"/>
          <w:szCs w:val="28"/>
        </w:rPr>
        <w:t>9</w:t>
      </w:r>
      <w:r>
        <w:rPr>
          <w:rFonts w:hint="eastAsia" w:ascii="新宋体" w:hAnsi="新宋体" w:eastAsia="新宋体" w:cs="新宋体"/>
          <w:color w:val="000000"/>
          <w:sz w:val="28"/>
          <w:szCs w:val="28"/>
        </w:rPr>
        <w:t>年度收、支总计5</w:t>
      </w:r>
      <w:r>
        <w:rPr>
          <w:rFonts w:ascii="新宋体" w:hAnsi="新宋体" w:eastAsia="新宋体" w:cs="新宋体"/>
          <w:color w:val="000000"/>
          <w:sz w:val="28"/>
          <w:szCs w:val="28"/>
        </w:rPr>
        <w:t>27.92</w:t>
      </w:r>
      <w:r>
        <w:rPr>
          <w:rFonts w:hint="eastAsia" w:ascii="新宋体" w:hAnsi="新宋体" w:eastAsia="新宋体" w:cs="新宋体"/>
          <w:color w:val="000000"/>
          <w:sz w:val="28"/>
          <w:szCs w:val="28"/>
        </w:rPr>
        <w:t>万元，</w:t>
      </w:r>
      <w:r>
        <w:rPr>
          <w:rFonts w:ascii="新宋体" w:hAnsi="新宋体" w:eastAsia="新宋体"/>
          <w:color w:val="000000"/>
          <w:sz w:val="28"/>
          <w:szCs w:val="28"/>
        </w:rPr>
        <w:t>与2018年收</w:t>
      </w:r>
      <w:r>
        <w:rPr>
          <w:rFonts w:hint="eastAsia" w:ascii="新宋体" w:hAnsi="新宋体" w:eastAsia="新宋体"/>
          <w:color w:val="000000"/>
          <w:sz w:val="28"/>
          <w:szCs w:val="28"/>
        </w:rPr>
        <w:t>支</w:t>
      </w:r>
      <w:r>
        <w:rPr>
          <w:rFonts w:ascii="新宋体" w:hAnsi="新宋体" w:eastAsia="新宋体"/>
          <w:color w:val="000000"/>
          <w:sz w:val="28"/>
          <w:szCs w:val="28"/>
        </w:rPr>
        <w:t>495.94万元相比，</w:t>
      </w:r>
      <w:r>
        <w:rPr>
          <w:rFonts w:hint="eastAsia" w:ascii="新宋体" w:hAnsi="新宋体" w:eastAsia="新宋体"/>
          <w:color w:val="000000"/>
          <w:sz w:val="28"/>
          <w:szCs w:val="28"/>
        </w:rPr>
        <w:t>增加了</w:t>
      </w:r>
      <w:r>
        <w:rPr>
          <w:rFonts w:ascii="新宋体" w:hAnsi="新宋体" w:eastAsia="新宋体"/>
          <w:color w:val="000000"/>
          <w:sz w:val="28"/>
          <w:szCs w:val="28"/>
        </w:rPr>
        <w:t>31.98</w:t>
      </w:r>
      <w:r>
        <w:rPr>
          <w:rFonts w:hint="eastAsia" w:ascii="新宋体" w:hAnsi="新宋体" w:eastAsia="新宋体"/>
          <w:color w:val="000000"/>
          <w:sz w:val="28"/>
          <w:szCs w:val="28"/>
        </w:rPr>
        <w:t>万元，升</w:t>
      </w:r>
      <w:r>
        <w:rPr>
          <w:rFonts w:ascii="新宋体" w:hAnsi="新宋体" w:eastAsia="新宋体"/>
          <w:color w:val="000000"/>
          <w:sz w:val="28"/>
          <w:szCs w:val="28"/>
        </w:rPr>
        <w:t>6.45%，</w:t>
      </w:r>
      <w:r>
        <w:rPr>
          <w:rFonts w:ascii="新宋体" w:hAnsi="新宋体" w:eastAsia="新宋体"/>
          <w:sz w:val="28"/>
          <w:szCs w:val="28"/>
        </w:rPr>
        <w:t>主要变动原因是</w:t>
      </w:r>
      <w:r>
        <w:rPr>
          <w:rFonts w:hint="eastAsia" w:ascii="新宋体" w:hAnsi="新宋体" w:eastAsia="新宋体"/>
          <w:sz w:val="28"/>
          <w:szCs w:val="28"/>
        </w:rPr>
        <w:t>2</w:t>
      </w:r>
      <w:r>
        <w:rPr>
          <w:rFonts w:ascii="新宋体" w:hAnsi="新宋体" w:eastAsia="新宋体"/>
          <w:sz w:val="28"/>
          <w:szCs w:val="28"/>
        </w:rPr>
        <w:t>019年的</w:t>
      </w:r>
      <w:r>
        <w:rPr>
          <w:rFonts w:hint="eastAsia" w:ascii="新宋体" w:hAnsi="新宋体" w:eastAsia="新宋体"/>
          <w:sz w:val="28"/>
          <w:szCs w:val="28"/>
        </w:rPr>
        <w:t>人员经费</w:t>
      </w:r>
      <w:r>
        <w:rPr>
          <w:rFonts w:ascii="新宋体" w:hAnsi="新宋体" w:eastAsia="新宋体"/>
          <w:sz w:val="28"/>
          <w:szCs w:val="28"/>
        </w:rPr>
        <w:t>和日常公用经费</w:t>
      </w:r>
      <w:r>
        <w:rPr>
          <w:rFonts w:hint="eastAsia" w:ascii="新宋体" w:hAnsi="新宋体" w:eastAsia="新宋体"/>
          <w:sz w:val="28"/>
          <w:szCs w:val="28"/>
        </w:rPr>
        <w:t>的增加。</w:t>
      </w:r>
    </w:p>
    <w:p>
      <w:pPr>
        <w:spacing w:line="600" w:lineRule="exact"/>
        <w:ind w:firstLine="640" w:firstLineChars="200"/>
        <w:rPr>
          <w:rFonts w:ascii="仿宋" w:hAnsi="仿宋" w:eastAsia="仿宋"/>
          <w:color w:val="000000"/>
          <w:sz w:val="32"/>
          <w:szCs w:val="32"/>
        </w:rPr>
      </w:pPr>
    </w:p>
    <w:p>
      <w:pPr>
        <w:spacing w:line="600" w:lineRule="exact"/>
        <w:ind w:firstLine="640" w:firstLineChars="200"/>
        <w:rPr>
          <w:rFonts w:ascii="仿宋" w:hAnsi="仿宋" w:eastAsia="仿宋"/>
          <w:color w:val="000000"/>
          <w:sz w:val="32"/>
          <w:szCs w:val="32"/>
        </w:rPr>
      </w:pPr>
      <w:r>
        <w:rPr>
          <w:rFonts w:ascii="仿宋" w:hAnsi="仿宋" w:eastAsia="仿宋"/>
          <w:color w:val="000000"/>
          <w:sz w:val="32"/>
          <w:szCs w:val="32"/>
        </w:rPr>
        <w:drawing>
          <wp:anchor distT="0" distB="0" distL="114300" distR="114300" simplePos="0" relativeHeight="251659264" behindDoc="0" locked="0" layoutInCell="1" allowOverlap="1">
            <wp:simplePos x="0" y="0"/>
            <wp:positionH relativeFrom="column">
              <wp:posOffset>1549400</wp:posOffset>
            </wp:positionH>
            <wp:positionV relativeFrom="paragraph">
              <wp:posOffset>2809240</wp:posOffset>
            </wp:positionV>
            <wp:extent cx="4765040" cy="2499360"/>
            <wp:effectExtent l="0" t="0" r="635" b="0"/>
            <wp:wrapTopAndBottom/>
            <wp:docPr id="2" name="图表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anchor>
        </w:drawing>
      </w:r>
    </w:p>
    <w:p>
      <w:pPr>
        <w:spacing w:line="600" w:lineRule="exact"/>
        <w:ind w:firstLine="640" w:firstLineChars="200"/>
        <w:rPr>
          <w:rFonts w:ascii="仿宋" w:hAnsi="仿宋" w:eastAsia="仿宋"/>
          <w:color w:val="000000"/>
          <w:sz w:val="32"/>
          <w:szCs w:val="32"/>
        </w:rPr>
      </w:pPr>
    </w:p>
    <w:p>
      <w:pPr>
        <w:spacing w:line="600" w:lineRule="exact"/>
        <w:ind w:firstLine="640" w:firstLineChars="200"/>
        <w:rPr>
          <w:rFonts w:ascii="仿宋" w:hAnsi="仿宋" w:eastAsia="仿宋"/>
          <w:color w:val="000000"/>
          <w:sz w:val="32"/>
          <w:szCs w:val="32"/>
        </w:rPr>
      </w:pPr>
    </w:p>
    <w:p>
      <w:pPr>
        <w:spacing w:line="600" w:lineRule="exact"/>
        <w:ind w:firstLine="640" w:firstLineChars="200"/>
        <w:rPr>
          <w:rFonts w:ascii="仿宋" w:hAnsi="仿宋" w:eastAsia="仿宋"/>
          <w:color w:val="000000"/>
          <w:sz w:val="32"/>
          <w:szCs w:val="32"/>
        </w:rPr>
      </w:pPr>
    </w:p>
    <w:p>
      <w:pPr>
        <w:spacing w:line="600" w:lineRule="exact"/>
        <w:ind w:firstLine="640" w:firstLineChars="200"/>
        <w:rPr>
          <w:rFonts w:ascii="仿宋" w:hAnsi="仿宋" w:eastAsia="仿宋"/>
          <w:color w:val="000000"/>
          <w:sz w:val="32"/>
          <w:szCs w:val="32"/>
        </w:rPr>
      </w:pPr>
    </w:p>
    <w:p>
      <w:pPr>
        <w:spacing w:line="600" w:lineRule="exact"/>
        <w:ind w:firstLine="640" w:firstLineChars="200"/>
        <w:rPr>
          <w:rFonts w:ascii="仿宋" w:hAnsi="仿宋" w:eastAsia="仿宋"/>
          <w:color w:val="000000"/>
          <w:sz w:val="32"/>
          <w:szCs w:val="32"/>
        </w:rPr>
      </w:pPr>
    </w:p>
    <w:p>
      <w:pPr>
        <w:spacing w:line="600" w:lineRule="exact"/>
        <w:ind w:firstLine="640" w:firstLineChars="200"/>
        <w:rPr>
          <w:rFonts w:ascii="仿宋" w:hAnsi="仿宋" w:eastAsia="仿宋"/>
          <w:color w:val="000000"/>
          <w:sz w:val="32"/>
          <w:szCs w:val="32"/>
        </w:rPr>
      </w:pPr>
    </w:p>
    <w:p>
      <w:pPr>
        <w:spacing w:line="600" w:lineRule="exact"/>
        <w:ind w:firstLine="640" w:firstLineChars="200"/>
        <w:rPr>
          <w:rFonts w:ascii="仿宋" w:hAnsi="仿宋" w:eastAsia="仿宋"/>
          <w:color w:val="000000" w:themeColor="text1"/>
          <w:sz w:val="32"/>
          <w:szCs w:val="32"/>
        </w:rPr>
      </w:pPr>
      <w:r>
        <w:rPr>
          <w:rFonts w:hint="eastAsia" w:ascii="仿宋" w:hAnsi="仿宋" w:eastAsia="仿宋"/>
          <w:color w:val="000000" w:themeColor="text1"/>
          <w:sz w:val="32"/>
          <w:szCs w:val="32"/>
        </w:rPr>
        <w:t>（图</w:t>
      </w:r>
      <w:r>
        <w:rPr>
          <w:rFonts w:ascii="仿宋" w:hAnsi="仿宋" w:eastAsia="仿宋"/>
          <w:color w:val="000000" w:themeColor="text1"/>
          <w:sz w:val="32"/>
          <w:szCs w:val="32"/>
        </w:rPr>
        <w:t>1</w:t>
      </w:r>
      <w:r>
        <w:rPr>
          <w:rFonts w:hint="eastAsia" w:ascii="仿宋" w:hAnsi="仿宋" w:eastAsia="仿宋"/>
          <w:color w:val="000000" w:themeColor="text1"/>
          <w:sz w:val="32"/>
          <w:szCs w:val="32"/>
        </w:rPr>
        <w:t>：收、支决算总计变动情况图）（柱状图）</w:t>
      </w:r>
    </w:p>
    <w:p>
      <w:pPr>
        <w:spacing w:line="600" w:lineRule="exact"/>
        <w:ind w:firstLine="640" w:firstLineChars="200"/>
        <w:jc w:val="left"/>
        <w:rPr>
          <w:rFonts w:ascii="仿宋_GB2312" w:eastAsia="仿宋_GB2312"/>
          <w:color w:val="000000"/>
          <w:sz w:val="32"/>
          <w:szCs w:val="32"/>
        </w:rPr>
      </w:pPr>
    </w:p>
    <w:p>
      <w:pPr>
        <w:pStyle w:val="26"/>
        <w:numPr>
          <w:ilvl w:val="0"/>
          <w:numId w:val="1"/>
        </w:numPr>
        <w:spacing w:line="600" w:lineRule="exact"/>
        <w:ind w:firstLineChars="0"/>
        <w:outlineLvl w:val="1"/>
        <w:rPr>
          <w:rStyle w:val="28"/>
          <w:rFonts w:ascii="黑体" w:hAnsi="黑体" w:eastAsia="黑体"/>
          <w:b w:val="0"/>
        </w:rPr>
      </w:pPr>
      <w:bookmarkStart w:id="21" w:name="_Toc15396604"/>
      <w:bookmarkStart w:id="22" w:name="_Toc15377206"/>
      <w:r>
        <w:rPr>
          <w:rFonts w:hint="eastAsia" w:ascii="黑体" w:hAnsi="黑体" w:eastAsia="黑体"/>
          <w:color w:val="000000"/>
          <w:sz w:val="32"/>
          <w:szCs w:val="32"/>
        </w:rPr>
        <w:t>收</w:t>
      </w:r>
      <w:r>
        <w:rPr>
          <w:rStyle w:val="28"/>
          <w:rFonts w:hint="eastAsia" w:ascii="黑体" w:hAnsi="黑体" w:eastAsia="黑体"/>
          <w:b w:val="0"/>
        </w:rPr>
        <w:t>入决算情况说明</w:t>
      </w:r>
      <w:bookmarkEnd w:id="21"/>
      <w:bookmarkEnd w:id="22"/>
    </w:p>
    <w:p>
      <w:pPr>
        <w:spacing w:line="600" w:lineRule="exact"/>
        <w:ind w:firstLine="640" w:firstLineChars="200"/>
        <w:outlineLvl w:val="1"/>
        <w:rPr>
          <w:rFonts w:ascii="仿宋" w:hAnsi="仿宋" w:eastAsia="仿宋"/>
          <w:color w:val="000000"/>
          <w:sz w:val="32"/>
          <w:szCs w:val="32"/>
        </w:rPr>
      </w:pPr>
      <w:r>
        <w:rPr>
          <w:rFonts w:ascii="仿宋" w:hAnsi="仿宋" w:eastAsia="仿宋"/>
          <w:color w:val="000000"/>
          <w:sz w:val="32"/>
          <w:szCs w:val="32"/>
        </w:rPr>
        <w:t>201</w:t>
      </w:r>
      <w:r>
        <w:rPr>
          <w:rFonts w:hint="eastAsia" w:ascii="仿宋" w:hAnsi="仿宋" w:eastAsia="仿宋"/>
          <w:color w:val="000000"/>
          <w:sz w:val="32"/>
          <w:szCs w:val="32"/>
        </w:rPr>
        <w:t>9年本年收入合计</w:t>
      </w:r>
      <w:r>
        <w:rPr>
          <w:rFonts w:ascii="仿宋" w:hAnsi="仿宋" w:eastAsia="仿宋"/>
          <w:color w:val="000000"/>
          <w:sz w:val="32"/>
          <w:szCs w:val="32"/>
        </w:rPr>
        <w:t>527.92</w:t>
      </w:r>
      <w:r>
        <w:rPr>
          <w:rFonts w:hint="eastAsia" w:ascii="仿宋" w:hAnsi="仿宋" w:eastAsia="仿宋"/>
          <w:color w:val="000000"/>
          <w:sz w:val="32"/>
          <w:szCs w:val="32"/>
        </w:rPr>
        <w:t>万元，其中：一般公共预算财政拨款收入</w:t>
      </w:r>
      <w:r>
        <w:rPr>
          <w:rFonts w:ascii="仿宋" w:hAnsi="仿宋" w:eastAsia="仿宋"/>
          <w:color w:val="000000"/>
          <w:sz w:val="32"/>
          <w:szCs w:val="32"/>
        </w:rPr>
        <w:t>427.57</w:t>
      </w:r>
      <w:r>
        <w:rPr>
          <w:rFonts w:hint="eastAsia" w:ascii="仿宋" w:hAnsi="仿宋" w:eastAsia="仿宋"/>
          <w:color w:val="000000"/>
          <w:sz w:val="32"/>
          <w:szCs w:val="32"/>
        </w:rPr>
        <w:t>万元，占</w:t>
      </w:r>
      <w:r>
        <w:rPr>
          <w:rFonts w:ascii="仿宋" w:hAnsi="仿宋" w:eastAsia="仿宋"/>
          <w:color w:val="000000"/>
          <w:sz w:val="32"/>
          <w:szCs w:val="32"/>
        </w:rPr>
        <w:t>80.99%</w:t>
      </w:r>
      <w:r>
        <w:rPr>
          <w:rFonts w:hint="eastAsia" w:ascii="仿宋" w:hAnsi="仿宋" w:eastAsia="仿宋"/>
          <w:color w:val="000000"/>
          <w:sz w:val="32"/>
          <w:szCs w:val="32"/>
        </w:rPr>
        <w:t>；政府性基金预算财政拨款收入</w:t>
      </w:r>
      <w:r>
        <w:rPr>
          <w:rFonts w:ascii="仿宋" w:hAnsi="仿宋" w:eastAsia="仿宋"/>
          <w:color w:val="000000"/>
          <w:sz w:val="32"/>
          <w:szCs w:val="32"/>
        </w:rPr>
        <w:t>100.36</w:t>
      </w:r>
      <w:r>
        <w:rPr>
          <w:rFonts w:hint="eastAsia" w:ascii="仿宋" w:hAnsi="仿宋" w:eastAsia="仿宋"/>
          <w:color w:val="000000"/>
          <w:sz w:val="32"/>
          <w:szCs w:val="32"/>
        </w:rPr>
        <w:t>万元，占</w:t>
      </w:r>
      <w:r>
        <w:rPr>
          <w:rFonts w:ascii="仿宋" w:hAnsi="仿宋" w:eastAsia="仿宋"/>
          <w:color w:val="000000"/>
          <w:sz w:val="32"/>
          <w:szCs w:val="32"/>
        </w:rPr>
        <w:t>19.01%</w:t>
      </w:r>
      <w:r>
        <w:rPr>
          <w:rFonts w:hint="eastAsia" w:ascii="仿宋" w:hAnsi="仿宋" w:eastAsia="仿宋"/>
          <w:color w:val="000000"/>
          <w:sz w:val="32"/>
          <w:szCs w:val="32"/>
        </w:rPr>
        <w:t>；</w:t>
      </w:r>
      <w:r>
        <w:rPr>
          <w:rFonts w:hint="eastAsia" w:ascii="仿宋" w:hAnsi="仿宋" w:eastAsia="仿宋"/>
          <w:color w:val="000000" w:themeColor="text1"/>
          <w:sz w:val="32"/>
          <w:szCs w:val="32"/>
        </w:rPr>
        <w:t>上级补助收入</w:t>
      </w:r>
      <w:r>
        <w:rPr>
          <w:rFonts w:ascii="仿宋" w:hAnsi="仿宋" w:eastAsia="仿宋"/>
          <w:color w:val="000000" w:themeColor="text1"/>
          <w:sz w:val="32"/>
          <w:szCs w:val="32"/>
        </w:rPr>
        <w:t>0</w:t>
      </w:r>
      <w:r>
        <w:rPr>
          <w:rFonts w:hint="eastAsia" w:ascii="仿宋" w:hAnsi="仿宋" w:eastAsia="仿宋"/>
          <w:color w:val="000000"/>
          <w:sz w:val="32"/>
          <w:szCs w:val="32"/>
        </w:rPr>
        <w:t>万元，占</w:t>
      </w:r>
      <w:r>
        <w:rPr>
          <w:rFonts w:ascii="仿宋" w:hAnsi="仿宋" w:eastAsia="仿宋"/>
          <w:color w:val="000000"/>
          <w:sz w:val="32"/>
          <w:szCs w:val="32"/>
        </w:rPr>
        <w:t>0%</w:t>
      </w:r>
      <w:r>
        <w:rPr>
          <w:rFonts w:hint="eastAsia" w:ascii="仿宋" w:hAnsi="仿宋" w:eastAsia="仿宋"/>
          <w:color w:val="000000"/>
          <w:sz w:val="32"/>
          <w:szCs w:val="32"/>
        </w:rPr>
        <w:t>；事业收入</w:t>
      </w:r>
      <w:r>
        <w:rPr>
          <w:rFonts w:ascii="仿宋" w:hAnsi="仿宋" w:eastAsia="仿宋"/>
          <w:color w:val="000000"/>
          <w:sz w:val="32"/>
          <w:szCs w:val="32"/>
        </w:rPr>
        <w:t>0</w:t>
      </w:r>
      <w:r>
        <w:rPr>
          <w:rFonts w:hint="eastAsia" w:ascii="仿宋" w:hAnsi="仿宋" w:eastAsia="仿宋"/>
          <w:color w:val="000000"/>
          <w:sz w:val="32"/>
          <w:szCs w:val="32"/>
        </w:rPr>
        <w:t>万元，占</w:t>
      </w:r>
      <w:r>
        <w:rPr>
          <w:rFonts w:ascii="仿宋" w:hAnsi="仿宋" w:eastAsia="仿宋"/>
          <w:color w:val="000000"/>
          <w:sz w:val="32"/>
          <w:szCs w:val="32"/>
        </w:rPr>
        <w:t>0%</w:t>
      </w:r>
      <w:r>
        <w:rPr>
          <w:rFonts w:hint="eastAsia" w:ascii="仿宋" w:hAnsi="仿宋" w:eastAsia="仿宋"/>
          <w:color w:val="000000"/>
          <w:sz w:val="32"/>
          <w:szCs w:val="32"/>
        </w:rPr>
        <w:t>；经营收入</w:t>
      </w:r>
      <w:r>
        <w:rPr>
          <w:rFonts w:ascii="仿宋" w:hAnsi="仿宋" w:eastAsia="仿宋"/>
          <w:color w:val="000000"/>
          <w:sz w:val="32"/>
          <w:szCs w:val="32"/>
        </w:rPr>
        <w:t>0</w:t>
      </w:r>
      <w:r>
        <w:rPr>
          <w:rFonts w:hint="eastAsia" w:ascii="仿宋" w:hAnsi="仿宋" w:eastAsia="仿宋"/>
          <w:color w:val="000000"/>
          <w:sz w:val="32"/>
          <w:szCs w:val="32"/>
        </w:rPr>
        <w:t>万元，占0</w:t>
      </w:r>
      <w:r>
        <w:rPr>
          <w:rFonts w:ascii="仿宋" w:hAnsi="仿宋" w:eastAsia="仿宋"/>
          <w:color w:val="000000"/>
          <w:sz w:val="32"/>
          <w:szCs w:val="32"/>
        </w:rPr>
        <w:t>%</w:t>
      </w:r>
      <w:r>
        <w:rPr>
          <w:rFonts w:hint="eastAsia" w:ascii="仿宋" w:hAnsi="仿宋" w:eastAsia="仿宋"/>
          <w:color w:val="000000"/>
          <w:sz w:val="32"/>
          <w:szCs w:val="32"/>
        </w:rPr>
        <w:t>；附属单位上缴收入</w:t>
      </w:r>
      <w:r>
        <w:rPr>
          <w:rFonts w:ascii="仿宋" w:hAnsi="仿宋" w:eastAsia="仿宋"/>
          <w:color w:val="000000"/>
          <w:sz w:val="32"/>
          <w:szCs w:val="32"/>
        </w:rPr>
        <w:t>0</w:t>
      </w:r>
      <w:r>
        <w:rPr>
          <w:rFonts w:hint="eastAsia" w:ascii="仿宋" w:hAnsi="仿宋" w:eastAsia="仿宋"/>
          <w:color w:val="000000"/>
          <w:sz w:val="32"/>
          <w:szCs w:val="32"/>
        </w:rPr>
        <w:t>万元，占</w:t>
      </w:r>
      <w:r>
        <w:rPr>
          <w:rFonts w:ascii="仿宋" w:hAnsi="仿宋" w:eastAsia="仿宋"/>
          <w:color w:val="000000"/>
          <w:sz w:val="32"/>
          <w:szCs w:val="32"/>
        </w:rPr>
        <w:t>0%</w:t>
      </w:r>
      <w:r>
        <w:rPr>
          <w:rFonts w:hint="eastAsia" w:ascii="仿宋" w:hAnsi="仿宋" w:eastAsia="仿宋"/>
          <w:color w:val="000000"/>
          <w:sz w:val="32"/>
          <w:szCs w:val="32"/>
        </w:rPr>
        <w:t>；其他收入</w:t>
      </w:r>
      <w:r>
        <w:rPr>
          <w:rFonts w:ascii="仿宋" w:hAnsi="仿宋" w:eastAsia="仿宋"/>
          <w:color w:val="000000"/>
          <w:sz w:val="32"/>
          <w:szCs w:val="32"/>
        </w:rPr>
        <w:t>0</w:t>
      </w:r>
      <w:r>
        <w:rPr>
          <w:rFonts w:hint="eastAsia" w:ascii="仿宋" w:hAnsi="仿宋" w:eastAsia="仿宋"/>
          <w:color w:val="000000"/>
          <w:sz w:val="32"/>
          <w:szCs w:val="32"/>
        </w:rPr>
        <w:t>万元，占</w:t>
      </w:r>
      <w:r>
        <w:rPr>
          <w:rFonts w:ascii="仿宋" w:hAnsi="仿宋" w:eastAsia="仿宋"/>
          <w:color w:val="000000"/>
          <w:sz w:val="32"/>
          <w:szCs w:val="32"/>
        </w:rPr>
        <w:t>0%</w:t>
      </w:r>
      <w:r>
        <w:rPr>
          <w:rFonts w:hint="eastAsia" w:ascii="仿宋" w:hAnsi="仿宋" w:eastAsia="仿宋"/>
          <w:color w:val="000000"/>
          <w:sz w:val="32"/>
          <w:szCs w:val="32"/>
        </w:rPr>
        <w:t>。</w:t>
      </w:r>
    </w:p>
    <w:p>
      <w:pPr>
        <w:spacing w:line="600" w:lineRule="exact"/>
        <w:outlineLvl w:val="1"/>
        <w:rPr>
          <w:rFonts w:ascii="仿宋" w:hAnsi="仿宋" w:eastAsia="仿宋"/>
          <w:color w:val="000000"/>
          <w:sz w:val="32"/>
          <w:szCs w:val="32"/>
        </w:rPr>
      </w:pPr>
    </w:p>
    <w:p>
      <w:pPr>
        <w:spacing w:line="600" w:lineRule="exact"/>
        <w:outlineLvl w:val="1"/>
        <w:rPr>
          <w:rFonts w:ascii="仿宋" w:hAnsi="仿宋" w:eastAsia="仿宋"/>
          <w:color w:val="000000"/>
          <w:sz w:val="32"/>
          <w:szCs w:val="32"/>
        </w:rPr>
      </w:pPr>
    </w:p>
    <w:p>
      <w:pPr>
        <w:spacing w:line="600" w:lineRule="exact"/>
        <w:outlineLvl w:val="1"/>
        <w:rPr>
          <w:rFonts w:ascii="仿宋" w:hAnsi="仿宋" w:eastAsia="仿宋"/>
          <w:color w:val="000000"/>
          <w:sz w:val="32"/>
          <w:szCs w:val="32"/>
        </w:rPr>
      </w:pPr>
    </w:p>
    <w:p>
      <w:pPr>
        <w:spacing w:line="600" w:lineRule="exact"/>
        <w:outlineLvl w:val="1"/>
        <w:rPr>
          <w:rFonts w:ascii="仿宋" w:hAnsi="仿宋" w:eastAsia="仿宋"/>
          <w:color w:val="000000"/>
          <w:sz w:val="32"/>
          <w:szCs w:val="32"/>
        </w:rPr>
      </w:pPr>
      <w:r>
        <w:rPr>
          <w:rFonts w:hint="eastAsia" w:ascii="仿宋" w:hAnsi="仿宋" w:eastAsia="仿宋"/>
          <w:color w:val="000000"/>
          <w:sz w:val="32"/>
          <w:szCs w:val="32"/>
        </w:rPr>
        <w:drawing>
          <wp:anchor distT="0" distB="0" distL="114300" distR="114300" simplePos="0" relativeHeight="251660288" behindDoc="0" locked="0" layoutInCell="1" allowOverlap="1">
            <wp:simplePos x="0" y="0"/>
            <wp:positionH relativeFrom="column">
              <wp:posOffset>390525</wp:posOffset>
            </wp:positionH>
            <wp:positionV relativeFrom="paragraph">
              <wp:posOffset>6350</wp:posOffset>
            </wp:positionV>
            <wp:extent cx="7162165" cy="2738755"/>
            <wp:effectExtent l="0" t="6350" r="635" b="0"/>
            <wp:wrapTopAndBottom/>
            <wp:docPr id="5" name="图表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anchor>
        </w:drawing>
      </w:r>
    </w:p>
    <w:p>
      <w:pPr>
        <w:spacing w:line="600" w:lineRule="exact"/>
        <w:ind w:firstLine="640" w:firstLineChars="200"/>
        <w:rPr>
          <w:rFonts w:ascii="仿宋" w:hAnsi="仿宋" w:eastAsia="仿宋"/>
          <w:color w:val="000000" w:themeColor="text1"/>
          <w:sz w:val="32"/>
          <w:szCs w:val="32"/>
        </w:rPr>
      </w:pPr>
      <w:r>
        <w:rPr>
          <w:rFonts w:hint="eastAsia" w:ascii="仿宋" w:hAnsi="仿宋" w:eastAsia="仿宋"/>
          <w:color w:val="000000" w:themeColor="text1"/>
          <w:sz w:val="32"/>
          <w:szCs w:val="32"/>
        </w:rPr>
        <w:t>（图2：收入决算结构图）（饼状图）</w:t>
      </w:r>
    </w:p>
    <w:p>
      <w:pPr>
        <w:pStyle w:val="26"/>
        <w:numPr>
          <w:ilvl w:val="0"/>
          <w:numId w:val="1"/>
        </w:numPr>
        <w:spacing w:line="600" w:lineRule="exact"/>
        <w:ind w:firstLineChars="0"/>
        <w:outlineLvl w:val="1"/>
        <w:rPr>
          <w:rStyle w:val="28"/>
          <w:rFonts w:ascii="黑体" w:hAnsi="黑体" w:eastAsia="黑体"/>
          <w:b w:val="0"/>
        </w:rPr>
      </w:pPr>
      <w:bookmarkStart w:id="23" w:name="_Toc15396605"/>
      <w:bookmarkStart w:id="24" w:name="_Toc15377207"/>
      <w:r>
        <w:rPr>
          <w:rFonts w:hint="eastAsia" w:ascii="黑体" w:hAnsi="黑体" w:eastAsia="黑体"/>
          <w:color w:val="000000"/>
          <w:sz w:val="32"/>
          <w:szCs w:val="32"/>
        </w:rPr>
        <w:t>支</w:t>
      </w:r>
      <w:r>
        <w:rPr>
          <w:rStyle w:val="28"/>
          <w:rFonts w:hint="eastAsia" w:ascii="黑体" w:hAnsi="黑体" w:eastAsia="黑体"/>
          <w:b w:val="0"/>
        </w:rPr>
        <w:t>出决算情况说明</w:t>
      </w:r>
      <w:bookmarkEnd w:id="23"/>
      <w:bookmarkEnd w:id="24"/>
    </w:p>
    <w:p>
      <w:pPr>
        <w:spacing w:line="600" w:lineRule="exact"/>
        <w:ind w:firstLine="640" w:firstLineChars="200"/>
        <w:outlineLvl w:val="1"/>
        <w:rPr>
          <w:rFonts w:ascii="仿宋" w:hAnsi="仿宋" w:eastAsia="仿宋"/>
          <w:color w:val="000000"/>
          <w:sz w:val="32"/>
          <w:szCs w:val="32"/>
        </w:rPr>
      </w:pPr>
      <w:r>
        <w:rPr>
          <w:rFonts w:ascii="仿宋" w:hAnsi="仿宋" w:eastAsia="仿宋"/>
          <w:color w:val="000000"/>
          <w:sz w:val="32"/>
          <w:szCs w:val="32"/>
        </w:rPr>
        <w:t>201</w:t>
      </w:r>
      <w:r>
        <w:rPr>
          <w:rFonts w:hint="eastAsia" w:ascii="仿宋" w:hAnsi="仿宋" w:eastAsia="仿宋"/>
          <w:color w:val="000000"/>
          <w:sz w:val="32"/>
          <w:szCs w:val="32"/>
        </w:rPr>
        <w:t>9年本年支出合计</w:t>
      </w:r>
      <w:r>
        <w:rPr>
          <w:rFonts w:ascii="仿宋" w:hAnsi="仿宋" w:eastAsia="仿宋"/>
          <w:color w:val="000000"/>
          <w:sz w:val="32"/>
          <w:szCs w:val="32"/>
        </w:rPr>
        <w:t>527.92</w:t>
      </w:r>
      <w:r>
        <w:rPr>
          <w:rFonts w:hint="eastAsia" w:ascii="仿宋" w:hAnsi="仿宋" w:eastAsia="仿宋"/>
          <w:color w:val="000000"/>
          <w:sz w:val="32"/>
          <w:szCs w:val="32"/>
        </w:rPr>
        <w:t>万元，其中：基本支出2</w:t>
      </w:r>
      <w:r>
        <w:rPr>
          <w:rFonts w:ascii="仿宋" w:hAnsi="仿宋" w:eastAsia="仿宋"/>
          <w:color w:val="000000"/>
          <w:sz w:val="32"/>
          <w:szCs w:val="32"/>
        </w:rPr>
        <w:t>69.61</w:t>
      </w:r>
      <w:r>
        <w:rPr>
          <w:rFonts w:hint="eastAsia" w:ascii="仿宋" w:hAnsi="仿宋" w:eastAsia="仿宋"/>
          <w:color w:val="000000"/>
          <w:sz w:val="32"/>
          <w:szCs w:val="32"/>
        </w:rPr>
        <w:t>万元，占</w:t>
      </w:r>
      <w:r>
        <w:rPr>
          <w:rFonts w:ascii="仿宋" w:hAnsi="仿宋" w:eastAsia="仿宋"/>
          <w:color w:val="000000"/>
          <w:sz w:val="32"/>
          <w:szCs w:val="32"/>
        </w:rPr>
        <w:t>51.07%</w:t>
      </w:r>
      <w:r>
        <w:rPr>
          <w:rFonts w:hint="eastAsia" w:ascii="仿宋" w:hAnsi="仿宋" w:eastAsia="仿宋"/>
          <w:color w:val="000000"/>
          <w:sz w:val="32"/>
          <w:szCs w:val="32"/>
        </w:rPr>
        <w:t>；项目支出</w:t>
      </w:r>
      <w:r>
        <w:rPr>
          <w:rFonts w:ascii="仿宋" w:hAnsi="仿宋" w:eastAsia="仿宋"/>
          <w:color w:val="000000"/>
          <w:sz w:val="32"/>
          <w:szCs w:val="32"/>
        </w:rPr>
        <w:t>258.30</w:t>
      </w:r>
      <w:r>
        <w:rPr>
          <w:rFonts w:hint="eastAsia" w:ascii="仿宋" w:hAnsi="仿宋" w:eastAsia="仿宋"/>
          <w:color w:val="000000"/>
          <w:sz w:val="32"/>
          <w:szCs w:val="32"/>
        </w:rPr>
        <w:t>万元，占</w:t>
      </w:r>
      <w:r>
        <w:rPr>
          <w:rFonts w:ascii="仿宋" w:hAnsi="仿宋" w:eastAsia="仿宋"/>
          <w:color w:val="000000"/>
          <w:sz w:val="32"/>
          <w:szCs w:val="32"/>
        </w:rPr>
        <w:t>48.93%</w:t>
      </w:r>
      <w:r>
        <w:rPr>
          <w:rFonts w:hint="eastAsia" w:ascii="仿宋" w:hAnsi="仿宋" w:eastAsia="仿宋"/>
          <w:color w:val="000000"/>
          <w:sz w:val="32"/>
          <w:szCs w:val="32"/>
        </w:rPr>
        <w:t>；上缴上级支出</w:t>
      </w:r>
      <w:r>
        <w:rPr>
          <w:rFonts w:ascii="仿宋" w:hAnsi="仿宋" w:eastAsia="仿宋"/>
          <w:color w:val="000000"/>
          <w:sz w:val="32"/>
          <w:szCs w:val="32"/>
        </w:rPr>
        <w:t>0</w:t>
      </w:r>
      <w:r>
        <w:rPr>
          <w:rFonts w:hint="eastAsia" w:ascii="仿宋" w:hAnsi="仿宋" w:eastAsia="仿宋"/>
          <w:color w:val="000000"/>
          <w:sz w:val="32"/>
          <w:szCs w:val="32"/>
        </w:rPr>
        <w:t>万元，占</w:t>
      </w:r>
      <w:r>
        <w:rPr>
          <w:rFonts w:ascii="仿宋" w:hAnsi="仿宋" w:eastAsia="仿宋"/>
          <w:color w:val="000000"/>
          <w:sz w:val="32"/>
          <w:szCs w:val="32"/>
        </w:rPr>
        <w:t>0%</w:t>
      </w:r>
      <w:r>
        <w:rPr>
          <w:rFonts w:hint="eastAsia" w:ascii="仿宋" w:hAnsi="仿宋" w:eastAsia="仿宋"/>
          <w:color w:val="000000"/>
          <w:sz w:val="32"/>
          <w:szCs w:val="32"/>
        </w:rPr>
        <w:t>；经营支出0万元，占</w:t>
      </w:r>
      <w:r>
        <w:rPr>
          <w:rFonts w:ascii="仿宋" w:hAnsi="仿宋" w:eastAsia="仿宋"/>
          <w:color w:val="000000"/>
          <w:sz w:val="32"/>
          <w:szCs w:val="32"/>
        </w:rPr>
        <w:t>0%</w:t>
      </w:r>
      <w:r>
        <w:rPr>
          <w:rFonts w:hint="eastAsia" w:ascii="仿宋" w:hAnsi="仿宋" w:eastAsia="仿宋"/>
          <w:color w:val="000000"/>
          <w:sz w:val="32"/>
          <w:szCs w:val="32"/>
        </w:rPr>
        <w:t>；对附属单位补助支出0万元，占0</w:t>
      </w:r>
      <w:r>
        <w:rPr>
          <w:rFonts w:ascii="仿宋" w:hAnsi="仿宋" w:eastAsia="仿宋"/>
          <w:color w:val="000000"/>
          <w:sz w:val="32"/>
          <w:szCs w:val="32"/>
        </w:rPr>
        <w:t>%</w:t>
      </w:r>
      <w:r>
        <w:rPr>
          <w:rFonts w:hint="eastAsia" w:ascii="仿宋" w:hAnsi="仿宋" w:eastAsia="仿宋"/>
          <w:color w:val="000000"/>
          <w:sz w:val="32"/>
          <w:szCs w:val="32"/>
        </w:rPr>
        <w:t>。</w:t>
      </w:r>
      <w:r>
        <w:rPr>
          <w:rFonts w:ascii="仿宋" w:hAnsi="仿宋" w:eastAsia="仿宋"/>
          <w:color w:val="000000"/>
          <w:sz w:val="32"/>
          <w:szCs w:val="32"/>
        </w:rPr>
        <w:pict>
          <v:shape id="对象 8" o:spid="_x0000_s1030" o:spt="75" type="#_x0000_t75" style="position:absolute;left:0pt;margin-left:28.6pt;margin-top:213.25pt;height:138.05pt;width:186.3pt;mso-wrap-distance-bottom:0pt;mso-wrap-distance-top:0pt;z-index:251663360;mso-width-relative:page;mso-height-relative:page;" o:ole="t" filled="f" o:preferrelative="t" stroked="f" coordsize="21600,21600">
            <v:path/>
            <v:fill on="f" focussize="0,0"/>
            <v:stroke on="f" joinstyle="miter"/>
            <v:imagedata r:id="rId9" o:title=""/>
            <o:lock v:ext="edit" aspectratio="t"/>
            <w10:wrap type="topAndBottom"/>
          </v:shape>
          <o:OLEObject Type="Embed" ProgID="Excel.Sheet.8" ShapeID="对象 8" DrawAspect="Content" ObjectID="_1468075725" r:id="rId8">
            <o:LockedField>false</o:LockedField>
          </o:OLEObject>
        </w:pict>
      </w:r>
    </w:p>
    <w:p>
      <w:pPr>
        <w:spacing w:line="600" w:lineRule="exact"/>
        <w:outlineLvl w:val="1"/>
        <w:rPr>
          <w:rFonts w:ascii="仿宋" w:hAnsi="仿宋" w:eastAsia="仿宋"/>
          <w:color w:val="000000"/>
          <w:sz w:val="32"/>
          <w:szCs w:val="32"/>
        </w:rPr>
      </w:pPr>
    </w:p>
    <w:p>
      <w:pPr>
        <w:spacing w:line="600" w:lineRule="exact"/>
        <w:outlineLvl w:val="1"/>
        <w:rPr>
          <w:rFonts w:ascii="仿宋" w:hAnsi="仿宋" w:eastAsia="仿宋"/>
          <w:color w:val="000000"/>
          <w:sz w:val="32"/>
          <w:szCs w:val="32"/>
        </w:rPr>
      </w:pPr>
    </w:p>
    <w:p>
      <w:pPr>
        <w:spacing w:line="600" w:lineRule="exact"/>
        <w:ind w:firstLine="640" w:firstLineChars="200"/>
        <w:outlineLvl w:val="1"/>
        <w:rPr>
          <w:rFonts w:ascii="仿宋" w:hAnsi="仿宋" w:eastAsia="仿宋"/>
          <w:color w:val="000000"/>
          <w:sz w:val="32"/>
          <w:szCs w:val="32"/>
        </w:rPr>
      </w:pPr>
    </w:p>
    <w:p>
      <w:pPr>
        <w:spacing w:line="600" w:lineRule="exact"/>
        <w:ind w:firstLine="640" w:firstLineChars="200"/>
        <w:outlineLvl w:val="1"/>
        <w:rPr>
          <w:rFonts w:ascii="仿宋" w:hAnsi="仿宋" w:eastAsia="仿宋"/>
          <w:color w:val="000000"/>
          <w:sz w:val="32"/>
          <w:szCs w:val="32"/>
        </w:rPr>
      </w:pPr>
    </w:p>
    <w:p>
      <w:pPr>
        <w:spacing w:line="600" w:lineRule="exact"/>
        <w:ind w:firstLine="640" w:firstLineChars="200"/>
        <w:rPr>
          <w:rFonts w:ascii="仿宋_GB2312" w:eastAsia="仿宋_GB2312"/>
          <w:color w:val="FF0000"/>
          <w:sz w:val="32"/>
          <w:szCs w:val="32"/>
        </w:rPr>
      </w:pPr>
    </w:p>
    <w:p>
      <w:pPr>
        <w:spacing w:line="600" w:lineRule="exact"/>
        <w:ind w:firstLine="640" w:firstLineChars="200"/>
        <w:outlineLvl w:val="1"/>
        <w:rPr>
          <w:rFonts w:ascii="黑体" w:hAnsi="黑体" w:eastAsia="黑体"/>
          <w:color w:val="000000"/>
          <w:sz w:val="32"/>
          <w:szCs w:val="32"/>
        </w:rPr>
      </w:pPr>
      <w:bookmarkStart w:id="25" w:name="_Toc15396606"/>
      <w:bookmarkStart w:id="26" w:name="_Toc15377208"/>
    </w:p>
    <w:p>
      <w:pPr>
        <w:spacing w:line="600" w:lineRule="exact"/>
        <w:ind w:firstLine="640" w:firstLineChars="200"/>
        <w:rPr>
          <w:rFonts w:ascii="仿宋" w:hAnsi="仿宋" w:eastAsia="仿宋"/>
          <w:color w:val="000000" w:themeColor="text1"/>
          <w:sz w:val="32"/>
          <w:szCs w:val="32"/>
        </w:rPr>
      </w:pPr>
      <w:r>
        <w:rPr>
          <w:rFonts w:hint="eastAsia" w:ascii="仿宋" w:hAnsi="仿宋" w:eastAsia="仿宋"/>
          <w:color w:val="000000" w:themeColor="text1"/>
          <w:sz w:val="32"/>
          <w:szCs w:val="32"/>
        </w:rPr>
        <w:t>（图3：支出决算结构图）（饼状图）</w:t>
      </w:r>
    </w:p>
    <w:p>
      <w:pPr>
        <w:spacing w:line="600" w:lineRule="exact"/>
        <w:outlineLvl w:val="1"/>
        <w:rPr>
          <w:rFonts w:ascii="黑体" w:hAnsi="黑体" w:eastAsia="黑体"/>
          <w:color w:val="000000"/>
          <w:sz w:val="32"/>
          <w:szCs w:val="32"/>
        </w:rPr>
      </w:pPr>
    </w:p>
    <w:p>
      <w:pPr>
        <w:spacing w:line="600" w:lineRule="exact"/>
        <w:ind w:firstLine="640" w:firstLineChars="200"/>
        <w:outlineLvl w:val="1"/>
        <w:rPr>
          <w:rStyle w:val="28"/>
          <w:rFonts w:ascii="黑体" w:hAnsi="黑体" w:eastAsia="黑体"/>
          <w:b w:val="0"/>
        </w:rPr>
      </w:pPr>
      <w:r>
        <w:rPr>
          <w:rFonts w:hint="eastAsia" w:ascii="黑体" w:hAnsi="黑体" w:eastAsia="黑体"/>
          <w:color w:val="000000"/>
          <w:sz w:val="32"/>
          <w:szCs w:val="32"/>
        </w:rPr>
        <w:t>四、财</w:t>
      </w:r>
      <w:r>
        <w:rPr>
          <w:rStyle w:val="28"/>
          <w:rFonts w:hint="eastAsia" w:ascii="黑体" w:hAnsi="黑体" w:eastAsia="黑体"/>
          <w:b w:val="0"/>
        </w:rPr>
        <w:t>政拨款收入支出决算总体情况说明</w:t>
      </w:r>
      <w:bookmarkEnd w:id="25"/>
      <w:bookmarkEnd w:id="26"/>
    </w:p>
    <w:p>
      <w:pPr>
        <w:pStyle w:val="26"/>
        <w:shd w:val="clear" w:color="000000" w:fill="FFFFFF"/>
        <w:spacing w:line="600" w:lineRule="exact"/>
        <w:ind w:left="1360" w:firstLine="0" w:firstLineChars="0"/>
        <w:rPr>
          <w:rFonts w:ascii="新宋体" w:hAnsi="新宋体" w:eastAsia="新宋体"/>
          <w:sz w:val="28"/>
          <w:szCs w:val="28"/>
        </w:rPr>
      </w:pPr>
      <w:r>
        <w:rPr>
          <w:rFonts w:ascii="仿宋" w:hAnsi="仿宋" w:eastAsia="仿宋"/>
          <w:color w:val="000000"/>
          <w:sz w:val="32"/>
          <w:szCs w:val="32"/>
        </w:rPr>
        <w:t>201</w:t>
      </w:r>
      <w:r>
        <w:rPr>
          <w:rFonts w:hint="eastAsia" w:ascii="仿宋" w:hAnsi="仿宋" w:eastAsia="仿宋"/>
          <w:color w:val="000000"/>
          <w:sz w:val="32"/>
          <w:szCs w:val="32"/>
        </w:rPr>
        <w:t>9年财政拨款收、支总计</w:t>
      </w:r>
      <w:r>
        <w:rPr>
          <w:rFonts w:ascii="仿宋" w:hAnsi="仿宋" w:eastAsia="仿宋"/>
          <w:color w:val="000000"/>
          <w:sz w:val="32"/>
          <w:szCs w:val="32"/>
        </w:rPr>
        <w:t>527.92</w:t>
      </w:r>
      <w:r>
        <w:rPr>
          <w:rFonts w:hint="eastAsia" w:ascii="仿宋" w:hAnsi="仿宋" w:eastAsia="仿宋"/>
          <w:color w:val="000000"/>
          <w:sz w:val="32"/>
          <w:szCs w:val="32"/>
        </w:rPr>
        <w:t>万元。与</w:t>
      </w:r>
      <w:r>
        <w:rPr>
          <w:rFonts w:ascii="仿宋" w:hAnsi="仿宋" w:eastAsia="仿宋"/>
          <w:color w:val="000000"/>
          <w:sz w:val="32"/>
          <w:szCs w:val="32"/>
        </w:rPr>
        <w:t>201</w:t>
      </w:r>
      <w:r>
        <w:rPr>
          <w:rFonts w:hint="eastAsia" w:ascii="仿宋" w:hAnsi="仿宋" w:eastAsia="仿宋"/>
          <w:color w:val="000000"/>
          <w:sz w:val="32"/>
          <w:szCs w:val="32"/>
        </w:rPr>
        <w:t>8年相比，财政拨款收、支总计各增加</w:t>
      </w:r>
      <w:r>
        <w:rPr>
          <w:rFonts w:ascii="仿宋" w:hAnsi="仿宋" w:eastAsia="仿宋"/>
          <w:color w:val="000000"/>
          <w:sz w:val="32"/>
          <w:szCs w:val="32"/>
        </w:rPr>
        <w:t>/</w:t>
      </w:r>
      <w:r>
        <w:rPr>
          <w:rFonts w:hint="eastAsia" w:ascii="仿宋" w:hAnsi="仿宋" w:eastAsia="仿宋"/>
          <w:color w:val="000000"/>
          <w:sz w:val="32"/>
          <w:szCs w:val="32"/>
        </w:rPr>
        <w:t>减少</w:t>
      </w:r>
      <w:r>
        <w:rPr>
          <w:rFonts w:ascii="仿宋" w:hAnsi="仿宋" w:eastAsia="仿宋"/>
          <w:color w:val="000000"/>
          <w:sz w:val="32"/>
          <w:szCs w:val="32"/>
        </w:rPr>
        <w:t>31.98</w:t>
      </w:r>
      <w:r>
        <w:rPr>
          <w:rFonts w:hint="eastAsia" w:ascii="仿宋" w:hAnsi="仿宋" w:eastAsia="仿宋"/>
          <w:color w:val="000000"/>
          <w:sz w:val="32"/>
          <w:szCs w:val="32"/>
        </w:rPr>
        <w:t>万元，增长</w:t>
      </w:r>
      <w:r>
        <w:rPr>
          <w:rFonts w:ascii="仿宋" w:hAnsi="仿宋" w:eastAsia="仿宋"/>
          <w:color w:val="000000"/>
          <w:sz w:val="32"/>
          <w:szCs w:val="32"/>
        </w:rPr>
        <w:t>6.45 %</w:t>
      </w:r>
      <w:r>
        <w:rPr>
          <w:rFonts w:hint="eastAsia" w:ascii="仿宋" w:hAnsi="仿宋" w:eastAsia="仿宋"/>
          <w:color w:val="000000"/>
          <w:sz w:val="32"/>
          <w:szCs w:val="32"/>
        </w:rPr>
        <w:t>。主要变动原因是</w:t>
      </w:r>
      <w:r>
        <w:rPr>
          <w:rFonts w:hint="eastAsia" w:ascii="新宋体" w:hAnsi="新宋体" w:eastAsia="新宋体"/>
          <w:sz w:val="28"/>
          <w:szCs w:val="28"/>
        </w:rPr>
        <w:t>2</w:t>
      </w:r>
      <w:r>
        <w:rPr>
          <w:rFonts w:ascii="新宋体" w:hAnsi="新宋体" w:eastAsia="新宋体"/>
          <w:sz w:val="28"/>
          <w:szCs w:val="28"/>
        </w:rPr>
        <w:t>019年的</w:t>
      </w:r>
      <w:r>
        <w:rPr>
          <w:rFonts w:hint="eastAsia" w:ascii="新宋体" w:hAnsi="新宋体" w:eastAsia="新宋体"/>
          <w:sz w:val="28"/>
          <w:szCs w:val="28"/>
        </w:rPr>
        <w:t>人员经费</w:t>
      </w:r>
      <w:r>
        <w:rPr>
          <w:rFonts w:ascii="新宋体" w:hAnsi="新宋体" w:eastAsia="新宋体"/>
          <w:sz w:val="28"/>
          <w:szCs w:val="28"/>
        </w:rPr>
        <w:t>和日常公用经费</w:t>
      </w:r>
      <w:r>
        <w:rPr>
          <w:rFonts w:hint="eastAsia" w:ascii="新宋体" w:hAnsi="新宋体" w:eastAsia="新宋体"/>
          <w:sz w:val="28"/>
          <w:szCs w:val="28"/>
        </w:rPr>
        <w:t>的增加。</w:t>
      </w:r>
    </w:p>
    <w:p>
      <w:pPr>
        <w:spacing w:line="600" w:lineRule="exact"/>
        <w:ind w:firstLine="640"/>
        <w:rPr>
          <w:rFonts w:ascii="仿宋" w:hAnsi="仿宋" w:eastAsia="仿宋"/>
          <w:color w:val="000000"/>
          <w:sz w:val="32"/>
          <w:szCs w:val="32"/>
        </w:rPr>
      </w:pPr>
    </w:p>
    <w:p>
      <w:pPr>
        <w:spacing w:line="600" w:lineRule="exact"/>
        <w:rPr>
          <w:rFonts w:ascii="仿宋" w:hAnsi="仿宋" w:eastAsia="仿宋"/>
          <w:color w:val="000000"/>
          <w:sz w:val="32"/>
          <w:szCs w:val="32"/>
        </w:rPr>
      </w:pPr>
    </w:p>
    <w:p>
      <w:pPr>
        <w:spacing w:line="600" w:lineRule="exact"/>
        <w:rPr>
          <w:rFonts w:ascii="仿宋" w:hAnsi="仿宋" w:eastAsia="仿宋"/>
          <w:color w:val="000000"/>
          <w:sz w:val="32"/>
          <w:szCs w:val="32"/>
        </w:rPr>
      </w:pPr>
    </w:p>
    <w:p>
      <w:pPr>
        <w:spacing w:line="600" w:lineRule="exact"/>
        <w:rPr>
          <w:rFonts w:ascii="仿宋" w:hAnsi="仿宋" w:eastAsia="仿宋"/>
          <w:color w:val="000000"/>
          <w:sz w:val="32"/>
          <w:szCs w:val="32"/>
        </w:rPr>
      </w:pPr>
    </w:p>
    <w:p>
      <w:pPr>
        <w:spacing w:line="600" w:lineRule="exact"/>
        <w:rPr>
          <w:rFonts w:ascii="仿宋" w:hAnsi="仿宋" w:eastAsia="仿宋"/>
          <w:color w:val="000000"/>
          <w:sz w:val="32"/>
          <w:szCs w:val="32"/>
        </w:rPr>
      </w:pPr>
      <w:r>
        <w:rPr>
          <w:rFonts w:ascii="仿宋" w:hAnsi="仿宋" w:eastAsia="仿宋"/>
          <w:color w:val="000000"/>
          <w:sz w:val="32"/>
          <w:szCs w:val="32"/>
        </w:rPr>
        <w:drawing>
          <wp:anchor distT="0" distB="0" distL="114300" distR="114300" simplePos="0" relativeHeight="251661312" behindDoc="0" locked="0" layoutInCell="1" allowOverlap="1">
            <wp:simplePos x="0" y="0"/>
            <wp:positionH relativeFrom="page">
              <wp:posOffset>1473200</wp:posOffset>
            </wp:positionH>
            <wp:positionV relativeFrom="page">
              <wp:posOffset>1400175</wp:posOffset>
            </wp:positionV>
            <wp:extent cx="4765040" cy="1927225"/>
            <wp:effectExtent l="0" t="0" r="635" b="0"/>
            <wp:wrapTopAndBottom/>
            <wp:docPr id="6" name="图表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p>
    <w:p>
      <w:pPr>
        <w:spacing w:line="600" w:lineRule="exact"/>
        <w:ind w:firstLine="640" w:firstLineChars="200"/>
        <w:rPr>
          <w:rFonts w:ascii="仿宋" w:hAnsi="仿宋" w:eastAsia="仿宋"/>
          <w:color w:val="000000" w:themeColor="text1"/>
          <w:sz w:val="32"/>
          <w:szCs w:val="32"/>
        </w:rPr>
      </w:pPr>
      <w:r>
        <w:rPr>
          <w:rFonts w:hint="eastAsia" w:ascii="仿宋" w:hAnsi="仿宋" w:eastAsia="仿宋"/>
          <w:color w:val="000000" w:themeColor="text1"/>
          <w:sz w:val="32"/>
          <w:szCs w:val="32"/>
        </w:rPr>
        <w:t>（图4：财政拨款收、支决算总计变动情况）（柱状图）</w:t>
      </w:r>
    </w:p>
    <w:p>
      <w:pPr>
        <w:spacing w:line="600" w:lineRule="exact"/>
        <w:ind w:firstLine="640"/>
        <w:rPr>
          <w:rFonts w:ascii="仿宋" w:hAnsi="仿宋" w:eastAsia="仿宋"/>
          <w:b/>
          <w:color w:val="00B050"/>
          <w:sz w:val="32"/>
          <w:szCs w:val="32"/>
        </w:rPr>
      </w:pPr>
    </w:p>
    <w:p>
      <w:pPr>
        <w:spacing w:line="600" w:lineRule="exact"/>
        <w:ind w:firstLine="640" w:firstLineChars="200"/>
        <w:outlineLvl w:val="1"/>
        <w:rPr>
          <w:rStyle w:val="28"/>
          <w:rFonts w:ascii="黑体" w:hAnsi="黑体" w:eastAsia="黑体"/>
          <w:b w:val="0"/>
        </w:rPr>
      </w:pPr>
      <w:bookmarkStart w:id="27" w:name="_Toc15396607"/>
      <w:bookmarkStart w:id="28" w:name="_Toc15377209"/>
      <w:r>
        <w:rPr>
          <w:rFonts w:hint="eastAsia" w:ascii="黑体" w:hAnsi="黑体" w:eastAsia="黑体"/>
          <w:color w:val="000000"/>
          <w:sz w:val="32"/>
          <w:szCs w:val="32"/>
        </w:rPr>
        <w:t>五、</w:t>
      </w:r>
      <w:r>
        <w:rPr>
          <w:rFonts w:hint="eastAsia" w:ascii="黑体" w:hAnsi="黑体" w:eastAsia="黑体"/>
          <w:b/>
          <w:color w:val="000000"/>
          <w:sz w:val="32"/>
          <w:szCs w:val="32"/>
        </w:rPr>
        <w:t>一</w:t>
      </w:r>
      <w:r>
        <w:rPr>
          <w:rStyle w:val="28"/>
          <w:rFonts w:hint="eastAsia" w:ascii="黑体" w:hAnsi="黑体" w:eastAsia="黑体"/>
          <w:b w:val="0"/>
        </w:rPr>
        <w:t>般公共预算财政拨款支出决算情况说明</w:t>
      </w:r>
      <w:bookmarkEnd w:id="27"/>
      <w:bookmarkEnd w:id="28"/>
    </w:p>
    <w:p>
      <w:pPr>
        <w:spacing w:line="600" w:lineRule="exact"/>
        <w:ind w:firstLine="643" w:firstLineChars="200"/>
        <w:outlineLvl w:val="2"/>
        <w:rPr>
          <w:rFonts w:ascii="仿宋" w:hAnsi="仿宋" w:eastAsia="仿宋"/>
          <w:b/>
          <w:color w:val="000000"/>
          <w:sz w:val="32"/>
          <w:szCs w:val="32"/>
        </w:rPr>
      </w:pPr>
      <w:bookmarkStart w:id="29" w:name="_Toc15377210"/>
      <w:r>
        <w:rPr>
          <w:rFonts w:hint="eastAsia" w:ascii="仿宋" w:hAnsi="仿宋" w:eastAsia="仿宋"/>
          <w:b/>
          <w:color w:val="000000"/>
          <w:sz w:val="32"/>
          <w:szCs w:val="32"/>
        </w:rPr>
        <w:t>（一）一般公共预算财政拨款支出决算总体情况</w:t>
      </w:r>
      <w:bookmarkEnd w:id="29"/>
    </w:p>
    <w:p>
      <w:pPr>
        <w:spacing w:line="600" w:lineRule="exact"/>
        <w:ind w:firstLine="640" w:firstLineChars="200"/>
        <w:rPr>
          <w:rFonts w:ascii="仿宋" w:hAnsi="仿宋" w:eastAsia="仿宋"/>
          <w:color w:val="000000"/>
          <w:sz w:val="32"/>
          <w:szCs w:val="32"/>
        </w:rPr>
      </w:pPr>
      <w:r>
        <w:rPr>
          <w:rFonts w:ascii="仿宋" w:hAnsi="仿宋" w:eastAsia="仿宋"/>
          <w:color w:val="000000"/>
          <w:sz w:val="32"/>
          <w:szCs w:val="32"/>
        </w:rPr>
        <w:t>201</w:t>
      </w:r>
      <w:r>
        <w:rPr>
          <w:rFonts w:hint="eastAsia" w:ascii="仿宋" w:hAnsi="仿宋" w:eastAsia="仿宋"/>
          <w:color w:val="000000"/>
          <w:sz w:val="32"/>
          <w:szCs w:val="32"/>
        </w:rPr>
        <w:t>9年一般公共预算财政拨款支出</w:t>
      </w:r>
      <w:r>
        <w:rPr>
          <w:rFonts w:ascii="仿宋" w:hAnsi="仿宋" w:eastAsia="仿宋"/>
          <w:color w:val="000000"/>
          <w:sz w:val="32"/>
          <w:szCs w:val="32"/>
        </w:rPr>
        <w:t>427.56</w:t>
      </w:r>
      <w:r>
        <w:rPr>
          <w:rFonts w:hint="eastAsia" w:ascii="仿宋" w:hAnsi="仿宋" w:eastAsia="仿宋"/>
          <w:color w:val="000000"/>
          <w:sz w:val="32"/>
          <w:szCs w:val="32"/>
        </w:rPr>
        <w:t>万元，占本年支出合计的</w:t>
      </w:r>
      <w:r>
        <w:rPr>
          <w:rFonts w:ascii="仿宋" w:hAnsi="仿宋" w:eastAsia="仿宋"/>
          <w:color w:val="000000"/>
          <w:sz w:val="32"/>
          <w:szCs w:val="32"/>
        </w:rPr>
        <w:t>80.99%</w:t>
      </w:r>
      <w:r>
        <w:rPr>
          <w:rFonts w:hint="eastAsia" w:ascii="仿宋" w:hAnsi="仿宋" w:eastAsia="仿宋"/>
          <w:color w:val="000000"/>
          <w:sz w:val="32"/>
          <w:szCs w:val="32"/>
        </w:rPr>
        <w:t>。与</w:t>
      </w:r>
      <w:r>
        <w:rPr>
          <w:rFonts w:ascii="仿宋" w:hAnsi="仿宋" w:eastAsia="仿宋"/>
          <w:color w:val="000000"/>
          <w:sz w:val="32"/>
          <w:szCs w:val="32"/>
        </w:rPr>
        <w:t>201</w:t>
      </w:r>
      <w:r>
        <w:rPr>
          <w:rFonts w:hint="eastAsia" w:ascii="仿宋" w:hAnsi="仿宋" w:eastAsia="仿宋"/>
          <w:color w:val="000000"/>
          <w:sz w:val="32"/>
          <w:szCs w:val="32"/>
        </w:rPr>
        <w:t>8年相比，一般公共预算财政拨款减少</w:t>
      </w:r>
      <w:r>
        <w:rPr>
          <w:rFonts w:ascii="仿宋" w:hAnsi="仿宋" w:eastAsia="仿宋"/>
          <w:color w:val="000000"/>
          <w:sz w:val="32"/>
          <w:szCs w:val="32"/>
        </w:rPr>
        <w:t>67.37</w:t>
      </w:r>
      <w:r>
        <w:rPr>
          <w:rFonts w:hint="eastAsia" w:ascii="仿宋" w:hAnsi="仿宋" w:eastAsia="仿宋"/>
          <w:color w:val="000000"/>
          <w:sz w:val="32"/>
          <w:szCs w:val="32"/>
        </w:rPr>
        <w:t>万元，下降1</w:t>
      </w:r>
      <w:r>
        <w:rPr>
          <w:rFonts w:ascii="仿宋" w:hAnsi="仿宋" w:eastAsia="仿宋"/>
          <w:color w:val="000000"/>
          <w:sz w:val="32"/>
          <w:szCs w:val="32"/>
        </w:rPr>
        <w:t>3.61%</w:t>
      </w:r>
      <w:r>
        <w:rPr>
          <w:rFonts w:hint="eastAsia" w:ascii="仿宋" w:hAnsi="仿宋" w:eastAsia="仿宋"/>
          <w:color w:val="000000"/>
          <w:sz w:val="32"/>
          <w:szCs w:val="32"/>
        </w:rPr>
        <w:t>。主要变动原因是残疾人康复资金稍减。</w:t>
      </w:r>
    </w:p>
    <w:p>
      <w:pPr>
        <w:spacing w:line="600" w:lineRule="exact"/>
        <w:rPr>
          <w:rFonts w:ascii="仿宋" w:hAnsi="仿宋" w:eastAsia="仿宋"/>
          <w:color w:val="000000"/>
          <w:sz w:val="32"/>
          <w:szCs w:val="32"/>
        </w:rPr>
      </w:pPr>
    </w:p>
    <w:p>
      <w:pPr>
        <w:spacing w:line="600" w:lineRule="exact"/>
        <w:rPr>
          <w:rFonts w:ascii="仿宋" w:hAnsi="仿宋" w:eastAsia="仿宋"/>
          <w:color w:val="000000"/>
          <w:sz w:val="32"/>
          <w:szCs w:val="32"/>
        </w:rPr>
      </w:pPr>
    </w:p>
    <w:p>
      <w:pPr>
        <w:spacing w:line="600" w:lineRule="exact"/>
        <w:rPr>
          <w:rFonts w:ascii="仿宋" w:hAnsi="仿宋" w:eastAsia="仿宋"/>
          <w:color w:val="000000"/>
          <w:sz w:val="32"/>
          <w:szCs w:val="32"/>
        </w:rPr>
      </w:pPr>
    </w:p>
    <w:p>
      <w:pPr>
        <w:spacing w:line="600" w:lineRule="exact"/>
        <w:rPr>
          <w:rFonts w:ascii="仿宋" w:hAnsi="仿宋" w:eastAsia="仿宋"/>
          <w:color w:val="000000"/>
          <w:sz w:val="32"/>
          <w:szCs w:val="32"/>
        </w:rPr>
      </w:pPr>
    </w:p>
    <w:p>
      <w:pPr>
        <w:spacing w:line="600" w:lineRule="exact"/>
        <w:rPr>
          <w:rFonts w:ascii="仿宋" w:hAnsi="仿宋" w:eastAsia="仿宋"/>
          <w:color w:val="000000"/>
          <w:sz w:val="32"/>
          <w:szCs w:val="32"/>
        </w:rPr>
      </w:pPr>
    </w:p>
    <w:p>
      <w:pPr>
        <w:spacing w:line="600" w:lineRule="exact"/>
        <w:ind w:firstLine="640" w:firstLineChars="200"/>
        <w:rPr>
          <w:rFonts w:ascii="仿宋" w:hAnsi="仿宋" w:eastAsia="仿宋"/>
          <w:color w:val="000000"/>
          <w:sz w:val="32"/>
          <w:szCs w:val="32"/>
        </w:rPr>
      </w:pPr>
    </w:p>
    <w:p>
      <w:pPr>
        <w:spacing w:line="600" w:lineRule="exact"/>
        <w:ind w:firstLine="640" w:firstLineChars="200"/>
        <w:rPr>
          <w:rFonts w:ascii="仿宋" w:hAnsi="仿宋" w:eastAsia="仿宋"/>
          <w:color w:val="000000"/>
          <w:sz w:val="32"/>
          <w:szCs w:val="32"/>
        </w:rPr>
      </w:pPr>
    </w:p>
    <w:p>
      <w:pPr>
        <w:spacing w:line="600" w:lineRule="exact"/>
        <w:ind w:firstLine="640" w:firstLineChars="200"/>
        <w:rPr>
          <w:rFonts w:ascii="仿宋" w:hAnsi="仿宋" w:eastAsia="仿宋"/>
          <w:color w:val="000000"/>
          <w:sz w:val="32"/>
          <w:szCs w:val="32"/>
        </w:rPr>
      </w:pPr>
    </w:p>
    <w:p>
      <w:pPr>
        <w:spacing w:line="600" w:lineRule="exact"/>
        <w:ind w:firstLine="640" w:firstLineChars="200"/>
        <w:rPr>
          <w:rFonts w:ascii="仿宋" w:hAnsi="仿宋" w:eastAsia="仿宋"/>
          <w:color w:val="000000"/>
          <w:sz w:val="32"/>
          <w:szCs w:val="32"/>
        </w:rPr>
      </w:pPr>
      <w:r>
        <w:rPr>
          <w:rFonts w:ascii="仿宋" w:hAnsi="仿宋" w:eastAsia="仿宋"/>
          <w:color w:val="000000"/>
          <w:sz w:val="32"/>
          <w:szCs w:val="32"/>
        </w:rPr>
        <w:drawing>
          <wp:anchor distT="0" distB="0" distL="114300" distR="114300" simplePos="0" relativeHeight="251662336" behindDoc="0" locked="0" layoutInCell="1" allowOverlap="1">
            <wp:simplePos x="0" y="0"/>
            <wp:positionH relativeFrom="page">
              <wp:posOffset>1473200</wp:posOffset>
            </wp:positionH>
            <wp:positionV relativeFrom="page">
              <wp:posOffset>1400175</wp:posOffset>
            </wp:positionV>
            <wp:extent cx="4765040" cy="1927225"/>
            <wp:effectExtent l="0" t="0" r="635" b="0"/>
            <wp:wrapTopAndBottom/>
            <wp:docPr id="11" name="图表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p>
    <w:p>
      <w:pPr>
        <w:spacing w:line="600" w:lineRule="exact"/>
        <w:ind w:firstLine="640" w:firstLineChars="200"/>
        <w:rPr>
          <w:rFonts w:ascii="仿宋" w:hAnsi="仿宋" w:eastAsia="仿宋"/>
          <w:color w:val="000000"/>
          <w:sz w:val="32"/>
          <w:szCs w:val="32"/>
        </w:rPr>
      </w:pPr>
    </w:p>
    <w:p>
      <w:pPr>
        <w:spacing w:line="600" w:lineRule="exact"/>
        <w:ind w:firstLine="640" w:firstLineChars="200"/>
        <w:rPr>
          <w:rFonts w:ascii="仿宋" w:hAnsi="仿宋" w:eastAsia="仿宋"/>
          <w:color w:val="000000"/>
          <w:sz w:val="32"/>
          <w:szCs w:val="32"/>
        </w:rPr>
      </w:pPr>
    </w:p>
    <w:p>
      <w:pPr>
        <w:spacing w:line="600" w:lineRule="exact"/>
        <w:ind w:firstLine="640" w:firstLineChars="200"/>
        <w:rPr>
          <w:rFonts w:ascii="仿宋" w:hAnsi="仿宋" w:eastAsia="仿宋"/>
          <w:color w:val="000000"/>
          <w:sz w:val="32"/>
          <w:szCs w:val="32"/>
        </w:rPr>
      </w:pPr>
    </w:p>
    <w:p>
      <w:pPr>
        <w:spacing w:line="600" w:lineRule="exact"/>
        <w:ind w:firstLine="640" w:firstLineChars="200"/>
        <w:rPr>
          <w:rFonts w:ascii="仿宋" w:hAnsi="仿宋" w:eastAsia="仿宋"/>
          <w:color w:val="000000" w:themeColor="text1"/>
          <w:sz w:val="32"/>
          <w:szCs w:val="32"/>
        </w:rPr>
      </w:pPr>
      <w:r>
        <w:rPr>
          <w:rFonts w:hint="eastAsia" w:ascii="仿宋" w:hAnsi="仿宋" w:eastAsia="仿宋"/>
          <w:color w:val="000000" w:themeColor="text1"/>
          <w:sz w:val="32"/>
          <w:szCs w:val="32"/>
        </w:rPr>
        <w:t>（图5：一般公共预算财政拨款支出决算变动情况）（柱状图）</w:t>
      </w:r>
    </w:p>
    <w:p>
      <w:pPr>
        <w:spacing w:line="600" w:lineRule="exact"/>
        <w:ind w:firstLine="640" w:firstLineChars="200"/>
        <w:rPr>
          <w:rFonts w:ascii="仿宋" w:hAnsi="仿宋" w:eastAsia="仿宋"/>
          <w:color w:val="000000" w:themeColor="text1"/>
          <w:sz w:val="32"/>
          <w:szCs w:val="32"/>
        </w:rPr>
      </w:pPr>
    </w:p>
    <w:p>
      <w:pPr>
        <w:spacing w:line="600" w:lineRule="exact"/>
        <w:ind w:firstLine="643" w:firstLineChars="200"/>
        <w:outlineLvl w:val="2"/>
        <w:rPr>
          <w:rFonts w:ascii="仿宋" w:hAnsi="仿宋" w:eastAsia="仿宋"/>
          <w:b/>
          <w:color w:val="000000"/>
          <w:sz w:val="32"/>
          <w:szCs w:val="32"/>
        </w:rPr>
      </w:pPr>
      <w:bookmarkStart w:id="30" w:name="_Toc15377211"/>
      <w:r>
        <w:rPr>
          <w:rFonts w:hint="eastAsia" w:ascii="仿宋" w:hAnsi="仿宋" w:eastAsia="仿宋"/>
          <w:b/>
          <w:color w:val="000000"/>
          <w:sz w:val="32"/>
          <w:szCs w:val="32"/>
        </w:rPr>
        <w:t>（二）一般公共预算财政拨款支出决算结构情况</w:t>
      </w:r>
      <w:bookmarkEnd w:id="30"/>
    </w:p>
    <w:p>
      <w:pPr>
        <w:spacing w:line="600" w:lineRule="exact"/>
        <w:ind w:firstLine="640"/>
        <w:rPr>
          <w:rFonts w:ascii="仿宋" w:hAnsi="仿宋" w:eastAsia="仿宋"/>
          <w:color w:val="000000" w:themeColor="text1"/>
          <w:sz w:val="32"/>
          <w:szCs w:val="32"/>
        </w:rPr>
      </w:pPr>
      <w:r>
        <w:rPr>
          <w:rFonts w:ascii="仿宋" w:hAnsi="仿宋" w:eastAsia="仿宋"/>
          <w:color w:val="000000"/>
          <w:sz w:val="32"/>
          <w:szCs w:val="32"/>
        </w:rPr>
        <w:t>201</w:t>
      </w:r>
      <w:r>
        <w:rPr>
          <w:rFonts w:hint="eastAsia" w:ascii="仿宋" w:hAnsi="仿宋" w:eastAsia="仿宋"/>
          <w:color w:val="000000"/>
          <w:sz w:val="32"/>
          <w:szCs w:val="32"/>
        </w:rPr>
        <w:t>9年一般公共预算财</w:t>
      </w:r>
      <w:r>
        <w:rPr>
          <w:rFonts w:hint="eastAsia" w:ascii="仿宋" w:hAnsi="仿宋" w:eastAsia="仿宋"/>
          <w:color w:val="000000" w:themeColor="text1"/>
          <w:sz w:val="32"/>
          <w:szCs w:val="32"/>
        </w:rPr>
        <w:t>政拨款支出</w:t>
      </w:r>
      <w:r>
        <w:rPr>
          <w:rFonts w:ascii="仿宋" w:hAnsi="仿宋" w:eastAsia="仿宋"/>
          <w:color w:val="000000" w:themeColor="text1"/>
          <w:sz w:val="32"/>
          <w:szCs w:val="32"/>
        </w:rPr>
        <w:t>427.57</w:t>
      </w:r>
      <w:r>
        <w:rPr>
          <w:rFonts w:hint="eastAsia" w:ascii="仿宋" w:hAnsi="仿宋" w:eastAsia="仿宋"/>
          <w:color w:val="000000" w:themeColor="text1"/>
          <w:sz w:val="32"/>
          <w:szCs w:val="32"/>
        </w:rPr>
        <w:t>万元，主要用于以下方面</w:t>
      </w:r>
      <w:r>
        <w:rPr>
          <w:rFonts w:ascii="仿宋" w:hAnsi="仿宋" w:eastAsia="仿宋"/>
          <w:color w:val="000000" w:themeColor="text1"/>
          <w:sz w:val="32"/>
          <w:szCs w:val="32"/>
        </w:rPr>
        <w:t>:</w:t>
      </w:r>
    </w:p>
    <w:p>
      <w:pPr>
        <w:spacing w:line="600" w:lineRule="exact"/>
        <w:ind w:firstLine="643" w:firstLineChars="200"/>
        <w:rPr>
          <w:rStyle w:val="16"/>
          <w:rFonts w:ascii="宋体" w:hAnsi="宋体" w:cs="宋体"/>
          <w:b w:val="0"/>
          <w:color w:val="000000"/>
          <w:sz w:val="28"/>
          <w:szCs w:val="28"/>
        </w:rPr>
      </w:pPr>
      <w:r>
        <w:rPr>
          <w:rFonts w:hint="eastAsia" w:ascii="仿宋" w:hAnsi="仿宋" w:eastAsia="仿宋"/>
          <w:b/>
          <w:color w:val="000000" w:themeColor="text1"/>
          <w:sz w:val="32"/>
          <w:szCs w:val="32"/>
        </w:rPr>
        <w:t>社会保障和就业2</w:t>
      </w:r>
      <w:r>
        <w:rPr>
          <w:rFonts w:ascii="仿宋" w:hAnsi="仿宋" w:eastAsia="仿宋"/>
          <w:b/>
          <w:color w:val="000000" w:themeColor="text1"/>
          <w:sz w:val="32"/>
          <w:szCs w:val="32"/>
        </w:rPr>
        <w:t>08</w:t>
      </w:r>
      <w:r>
        <w:rPr>
          <w:rFonts w:hint="eastAsia" w:ascii="仿宋" w:hAnsi="仿宋" w:eastAsia="仿宋"/>
          <w:b/>
          <w:color w:val="000000" w:themeColor="text1"/>
          <w:sz w:val="32"/>
          <w:szCs w:val="32"/>
        </w:rPr>
        <w:t>（类）0</w:t>
      </w:r>
      <w:r>
        <w:rPr>
          <w:rFonts w:ascii="仿宋" w:hAnsi="仿宋" w:eastAsia="仿宋"/>
          <w:b/>
          <w:color w:val="000000" w:themeColor="text1"/>
          <w:sz w:val="32"/>
          <w:szCs w:val="32"/>
        </w:rPr>
        <w:t>5</w:t>
      </w:r>
      <w:r>
        <w:rPr>
          <w:rFonts w:hint="eastAsia" w:ascii="仿宋" w:hAnsi="仿宋" w:eastAsia="仿宋"/>
          <w:b/>
          <w:color w:val="000000" w:themeColor="text1"/>
          <w:sz w:val="32"/>
          <w:szCs w:val="32"/>
        </w:rPr>
        <w:t>（款）0</w:t>
      </w:r>
      <w:r>
        <w:rPr>
          <w:rFonts w:ascii="仿宋" w:hAnsi="仿宋" w:eastAsia="仿宋"/>
          <w:b/>
          <w:color w:val="000000" w:themeColor="text1"/>
          <w:sz w:val="32"/>
          <w:szCs w:val="32"/>
        </w:rPr>
        <w:t>5</w:t>
      </w:r>
      <w:r>
        <w:rPr>
          <w:rFonts w:hint="eastAsia" w:ascii="仿宋" w:hAnsi="仿宋" w:eastAsia="仿宋"/>
          <w:b/>
          <w:color w:val="000000" w:themeColor="text1"/>
          <w:sz w:val="32"/>
          <w:szCs w:val="32"/>
        </w:rPr>
        <w:t>（项）：</w:t>
      </w:r>
      <w:r>
        <w:rPr>
          <w:rStyle w:val="16"/>
          <w:rFonts w:hint="eastAsia" w:ascii="宋体" w:hAnsi="宋体" w:cs="宋体"/>
          <w:b w:val="0"/>
          <w:color w:val="000000"/>
          <w:sz w:val="28"/>
          <w:szCs w:val="28"/>
        </w:rPr>
        <w:t>机关事业单位养老保险缴费支出决算为</w:t>
      </w:r>
      <w:r>
        <w:rPr>
          <w:rStyle w:val="16"/>
          <w:rFonts w:ascii="宋体" w:hAnsi="宋体" w:cs="宋体"/>
          <w:b w:val="0"/>
          <w:color w:val="000000"/>
          <w:sz w:val="28"/>
          <w:szCs w:val="28"/>
        </w:rPr>
        <w:t>10.89</w:t>
      </w:r>
      <w:r>
        <w:rPr>
          <w:rStyle w:val="16"/>
          <w:rFonts w:hint="eastAsia" w:ascii="宋体" w:hAnsi="宋体" w:cs="宋体"/>
          <w:b w:val="0"/>
          <w:color w:val="000000"/>
          <w:sz w:val="28"/>
          <w:szCs w:val="28"/>
        </w:rPr>
        <w:t>万元，占支出</w:t>
      </w:r>
      <w:r>
        <w:rPr>
          <w:rStyle w:val="16"/>
          <w:rFonts w:ascii="宋体" w:hAnsi="宋体" w:cs="宋体"/>
          <w:b w:val="0"/>
          <w:color w:val="000000"/>
          <w:sz w:val="28"/>
          <w:szCs w:val="28"/>
        </w:rPr>
        <w:t>2.06</w:t>
      </w:r>
      <w:r>
        <w:rPr>
          <w:rStyle w:val="16"/>
          <w:rFonts w:hint="eastAsia" w:ascii="宋体" w:hAnsi="宋体" w:cs="宋体"/>
          <w:b w:val="0"/>
          <w:color w:val="000000"/>
          <w:sz w:val="28"/>
          <w:szCs w:val="28"/>
        </w:rPr>
        <w:t>%。</w:t>
      </w:r>
    </w:p>
    <w:p>
      <w:pPr>
        <w:spacing w:line="600" w:lineRule="exact"/>
        <w:ind w:firstLine="640"/>
        <w:rPr>
          <w:rFonts w:ascii="新宋体" w:hAnsi="新宋体" w:eastAsia="新宋体" w:cs="新宋体"/>
          <w:bCs/>
          <w:color w:val="000000"/>
          <w:sz w:val="28"/>
          <w:szCs w:val="28"/>
        </w:rPr>
      </w:pPr>
      <w:r>
        <w:rPr>
          <w:rFonts w:hint="eastAsia" w:ascii="新宋体" w:hAnsi="新宋体" w:eastAsia="新宋体" w:cs="新宋体"/>
          <w:b/>
          <w:color w:val="000000"/>
          <w:sz w:val="28"/>
          <w:szCs w:val="28"/>
        </w:rPr>
        <w:t>社会保障和就业</w:t>
      </w:r>
      <w:r>
        <w:rPr>
          <w:rFonts w:ascii="新宋体" w:hAnsi="新宋体" w:eastAsia="新宋体"/>
          <w:b/>
          <w:color w:val="000000"/>
          <w:sz w:val="28"/>
          <w:szCs w:val="28"/>
        </w:rPr>
        <w:t>208（类）11（款）0</w:t>
      </w:r>
      <w:r>
        <w:rPr>
          <w:rFonts w:hint="eastAsia" w:ascii="新宋体" w:hAnsi="新宋体" w:eastAsia="新宋体"/>
          <w:b/>
          <w:color w:val="000000"/>
          <w:sz w:val="28"/>
          <w:szCs w:val="28"/>
        </w:rPr>
        <w:t>1</w:t>
      </w:r>
      <w:r>
        <w:rPr>
          <w:rFonts w:ascii="新宋体" w:hAnsi="新宋体" w:eastAsia="新宋体"/>
          <w:b/>
          <w:color w:val="000000"/>
          <w:sz w:val="28"/>
          <w:szCs w:val="28"/>
        </w:rPr>
        <w:t>（项）</w:t>
      </w:r>
      <w:r>
        <w:rPr>
          <w:rFonts w:hint="eastAsia" w:ascii="新宋体" w:hAnsi="新宋体" w:eastAsia="新宋体"/>
          <w:b/>
          <w:color w:val="000000"/>
          <w:sz w:val="28"/>
          <w:szCs w:val="28"/>
        </w:rPr>
        <w:t>:</w:t>
      </w:r>
      <w:r>
        <w:rPr>
          <w:rFonts w:hint="eastAsia" w:ascii="新宋体" w:hAnsi="新宋体" w:eastAsia="新宋体"/>
          <w:bCs/>
          <w:color w:val="000000"/>
          <w:sz w:val="28"/>
          <w:szCs w:val="28"/>
        </w:rPr>
        <w:t>行政运行</w:t>
      </w:r>
      <w:r>
        <w:rPr>
          <w:rFonts w:hint="eastAsia" w:ascii="新宋体" w:hAnsi="新宋体" w:eastAsia="新宋体" w:cs="新宋体"/>
          <w:bCs/>
          <w:color w:val="000000"/>
          <w:sz w:val="28"/>
          <w:szCs w:val="28"/>
        </w:rPr>
        <w:t>支出</w:t>
      </w:r>
      <w:r>
        <w:rPr>
          <w:rFonts w:ascii="新宋体" w:hAnsi="新宋体" w:eastAsia="新宋体" w:cs="新宋体"/>
          <w:bCs/>
          <w:color w:val="000000"/>
          <w:sz w:val="28"/>
          <w:szCs w:val="28"/>
        </w:rPr>
        <w:t>172.74</w:t>
      </w:r>
      <w:r>
        <w:rPr>
          <w:rFonts w:hint="eastAsia" w:ascii="新宋体" w:hAnsi="新宋体" w:eastAsia="新宋体" w:cs="新宋体"/>
          <w:bCs/>
          <w:color w:val="000000"/>
          <w:sz w:val="28"/>
          <w:szCs w:val="28"/>
        </w:rPr>
        <w:t>万元，占</w:t>
      </w:r>
      <w:r>
        <w:rPr>
          <w:rFonts w:ascii="新宋体" w:hAnsi="新宋体" w:eastAsia="新宋体" w:cs="新宋体"/>
          <w:bCs/>
          <w:color w:val="000000"/>
          <w:sz w:val="28"/>
          <w:szCs w:val="28"/>
        </w:rPr>
        <w:t>32.72</w:t>
      </w:r>
      <w:r>
        <w:rPr>
          <w:rFonts w:hint="eastAsia" w:ascii="新宋体" w:hAnsi="新宋体" w:eastAsia="新宋体" w:cs="新宋体"/>
          <w:bCs/>
          <w:color w:val="000000"/>
          <w:sz w:val="28"/>
          <w:szCs w:val="28"/>
        </w:rPr>
        <w:t>%；</w:t>
      </w:r>
    </w:p>
    <w:p>
      <w:pPr>
        <w:wordWrap w:val="0"/>
        <w:spacing w:line="600" w:lineRule="exact"/>
        <w:ind w:firstLine="602"/>
        <w:rPr>
          <w:rFonts w:ascii="新宋体" w:hAnsi="新宋体" w:eastAsia="新宋体"/>
          <w:color w:val="000000"/>
          <w:sz w:val="28"/>
          <w:szCs w:val="28"/>
        </w:rPr>
      </w:pPr>
      <w:r>
        <w:rPr>
          <w:rFonts w:hint="eastAsia" w:ascii="新宋体" w:hAnsi="新宋体" w:eastAsia="新宋体"/>
          <w:b/>
          <w:color w:val="000000"/>
          <w:sz w:val="28"/>
          <w:szCs w:val="28"/>
        </w:rPr>
        <w:t>社会保障和就业</w:t>
      </w:r>
      <w:r>
        <w:rPr>
          <w:rFonts w:ascii="新宋体" w:hAnsi="新宋体" w:eastAsia="新宋体"/>
          <w:b/>
          <w:color w:val="000000"/>
          <w:sz w:val="28"/>
          <w:szCs w:val="28"/>
        </w:rPr>
        <w:t>208（类）11（款）04（项）:</w:t>
      </w:r>
      <w:r>
        <w:rPr>
          <w:rFonts w:ascii="新宋体" w:hAnsi="新宋体" w:eastAsia="新宋体"/>
          <w:color w:val="000000"/>
          <w:sz w:val="28"/>
          <w:szCs w:val="28"/>
        </w:rPr>
        <w:t>残疾人康复专项12.62万元，</w:t>
      </w:r>
      <w:r>
        <w:rPr>
          <w:rFonts w:hint="eastAsia" w:ascii="新宋体" w:hAnsi="新宋体" w:eastAsia="新宋体"/>
          <w:color w:val="000000"/>
          <w:sz w:val="28"/>
          <w:szCs w:val="28"/>
        </w:rPr>
        <w:t>占</w:t>
      </w:r>
      <w:r>
        <w:rPr>
          <w:rFonts w:ascii="新宋体" w:hAnsi="新宋体" w:eastAsia="新宋体"/>
          <w:color w:val="000000"/>
          <w:sz w:val="28"/>
          <w:szCs w:val="28"/>
        </w:rPr>
        <w:t>2.39</w:t>
      </w:r>
      <w:r>
        <w:rPr>
          <w:rFonts w:hint="eastAsia" w:ascii="新宋体" w:hAnsi="新宋体" w:eastAsia="新宋体"/>
          <w:color w:val="000000"/>
          <w:sz w:val="28"/>
          <w:szCs w:val="28"/>
        </w:rPr>
        <w:t>%。</w:t>
      </w:r>
    </w:p>
    <w:p>
      <w:pPr>
        <w:wordWrap w:val="0"/>
        <w:spacing w:line="600" w:lineRule="exact"/>
        <w:ind w:firstLine="602"/>
        <w:rPr>
          <w:rFonts w:ascii="新宋体" w:hAnsi="新宋体" w:eastAsia="新宋体"/>
          <w:color w:val="000000"/>
          <w:sz w:val="28"/>
          <w:szCs w:val="28"/>
        </w:rPr>
      </w:pPr>
      <w:r>
        <w:rPr>
          <w:rFonts w:hint="eastAsia" w:ascii="新宋体" w:hAnsi="新宋体" w:eastAsia="新宋体"/>
          <w:b/>
          <w:color w:val="000000"/>
          <w:sz w:val="28"/>
          <w:szCs w:val="28"/>
        </w:rPr>
        <w:t>社会保障和就业</w:t>
      </w:r>
      <w:r>
        <w:rPr>
          <w:rFonts w:ascii="新宋体" w:hAnsi="新宋体" w:eastAsia="新宋体"/>
          <w:b/>
          <w:color w:val="000000"/>
          <w:sz w:val="28"/>
          <w:szCs w:val="28"/>
        </w:rPr>
        <w:t>208（类）11（款）99（项）：</w:t>
      </w:r>
      <w:r>
        <w:rPr>
          <w:rFonts w:ascii="新宋体" w:hAnsi="新宋体" w:eastAsia="新宋体"/>
          <w:color w:val="000000"/>
          <w:sz w:val="28"/>
          <w:szCs w:val="28"/>
        </w:rPr>
        <w:t>其他残疾人事业支出213.81万元，</w:t>
      </w:r>
      <w:r>
        <w:rPr>
          <w:rFonts w:hint="eastAsia" w:ascii="新宋体" w:hAnsi="新宋体" w:eastAsia="新宋体"/>
          <w:color w:val="000000"/>
          <w:sz w:val="28"/>
          <w:szCs w:val="28"/>
        </w:rPr>
        <w:t>占</w:t>
      </w:r>
      <w:r>
        <w:rPr>
          <w:rFonts w:ascii="新宋体" w:hAnsi="新宋体" w:eastAsia="新宋体"/>
          <w:color w:val="000000"/>
          <w:sz w:val="28"/>
          <w:szCs w:val="28"/>
        </w:rPr>
        <w:t>40.50</w:t>
      </w:r>
      <w:r>
        <w:rPr>
          <w:rFonts w:hint="eastAsia" w:ascii="新宋体" w:hAnsi="新宋体" w:eastAsia="新宋体"/>
          <w:color w:val="000000"/>
          <w:sz w:val="28"/>
          <w:szCs w:val="28"/>
        </w:rPr>
        <w:t>%。</w:t>
      </w:r>
    </w:p>
    <w:p>
      <w:pPr>
        <w:spacing w:line="600" w:lineRule="exact"/>
        <w:ind w:firstLine="640"/>
        <w:rPr>
          <w:rStyle w:val="16"/>
          <w:rFonts w:ascii="宋体" w:hAnsi="宋体" w:cs="宋体"/>
          <w:b w:val="0"/>
          <w:color w:val="000000"/>
          <w:sz w:val="28"/>
          <w:szCs w:val="28"/>
        </w:rPr>
      </w:pPr>
      <w:r>
        <w:rPr>
          <w:rStyle w:val="16"/>
          <w:rFonts w:hint="eastAsia" w:ascii="宋体" w:hAnsi="宋体" w:cs="宋体"/>
          <w:color w:val="000000"/>
          <w:sz w:val="28"/>
          <w:szCs w:val="28"/>
        </w:rPr>
        <w:t>卫生健康支出210（类）1</w:t>
      </w:r>
      <w:r>
        <w:rPr>
          <w:rStyle w:val="16"/>
          <w:rFonts w:ascii="宋体" w:hAnsi="宋体" w:cs="宋体"/>
          <w:color w:val="000000"/>
          <w:sz w:val="28"/>
          <w:szCs w:val="28"/>
        </w:rPr>
        <w:t>1</w:t>
      </w:r>
      <w:r>
        <w:rPr>
          <w:rStyle w:val="16"/>
          <w:rFonts w:hint="eastAsia" w:ascii="宋体" w:hAnsi="宋体" w:cs="宋体"/>
          <w:color w:val="000000"/>
          <w:sz w:val="28"/>
          <w:szCs w:val="28"/>
        </w:rPr>
        <w:t>（款）01（项）:</w:t>
      </w:r>
      <w:r>
        <w:rPr>
          <w:rStyle w:val="16"/>
          <w:rFonts w:hint="eastAsia" w:ascii="宋体" w:hAnsi="宋体" w:cs="宋体"/>
          <w:b w:val="0"/>
          <w:bCs/>
          <w:color w:val="000000"/>
          <w:sz w:val="28"/>
          <w:szCs w:val="28"/>
        </w:rPr>
        <w:t>行政单位医疗支</w:t>
      </w:r>
      <w:r>
        <w:rPr>
          <w:rStyle w:val="16"/>
          <w:rFonts w:hint="eastAsia" w:ascii="宋体" w:hAnsi="宋体" w:cs="宋体"/>
          <w:b w:val="0"/>
          <w:color w:val="000000"/>
          <w:sz w:val="28"/>
          <w:szCs w:val="28"/>
        </w:rPr>
        <w:t>出决算为</w:t>
      </w:r>
      <w:r>
        <w:rPr>
          <w:rStyle w:val="16"/>
          <w:rFonts w:ascii="宋体" w:hAnsi="宋体" w:cs="宋体"/>
          <w:b w:val="0"/>
          <w:color w:val="000000"/>
          <w:sz w:val="28"/>
          <w:szCs w:val="28"/>
        </w:rPr>
        <w:t>3.43</w:t>
      </w:r>
      <w:r>
        <w:rPr>
          <w:rStyle w:val="16"/>
          <w:rFonts w:hint="eastAsia" w:ascii="宋体" w:hAnsi="宋体" w:cs="宋体"/>
          <w:b w:val="0"/>
          <w:color w:val="000000"/>
          <w:sz w:val="28"/>
          <w:szCs w:val="28"/>
        </w:rPr>
        <w:t>万元，占支出</w:t>
      </w:r>
      <w:r>
        <w:rPr>
          <w:rStyle w:val="16"/>
          <w:rFonts w:ascii="宋体" w:hAnsi="宋体" w:cs="宋体"/>
          <w:b w:val="0"/>
          <w:color w:val="000000"/>
          <w:sz w:val="28"/>
          <w:szCs w:val="28"/>
        </w:rPr>
        <w:t>0.65</w:t>
      </w:r>
      <w:r>
        <w:rPr>
          <w:rStyle w:val="16"/>
          <w:rFonts w:hint="eastAsia" w:ascii="宋体" w:hAnsi="宋体" w:cs="宋体"/>
          <w:b w:val="0"/>
          <w:color w:val="000000"/>
          <w:sz w:val="28"/>
          <w:szCs w:val="28"/>
        </w:rPr>
        <w:t>%。</w:t>
      </w:r>
    </w:p>
    <w:p>
      <w:pPr>
        <w:spacing w:line="600" w:lineRule="exact"/>
        <w:ind w:firstLine="640"/>
        <w:rPr>
          <w:rStyle w:val="16"/>
          <w:rFonts w:ascii="宋体" w:hAnsi="宋体" w:cs="宋体"/>
          <w:b w:val="0"/>
          <w:color w:val="000000"/>
          <w:sz w:val="28"/>
          <w:szCs w:val="28"/>
        </w:rPr>
      </w:pPr>
      <w:r>
        <w:rPr>
          <w:rStyle w:val="16"/>
          <w:rFonts w:hint="eastAsia" w:ascii="宋体" w:hAnsi="宋体" w:cs="宋体"/>
          <w:color w:val="000000"/>
          <w:sz w:val="28"/>
          <w:szCs w:val="28"/>
        </w:rPr>
        <w:t>卫生健康支出210（类）1</w:t>
      </w:r>
      <w:r>
        <w:rPr>
          <w:rStyle w:val="16"/>
          <w:rFonts w:ascii="宋体" w:hAnsi="宋体" w:cs="宋体"/>
          <w:color w:val="000000"/>
          <w:sz w:val="28"/>
          <w:szCs w:val="28"/>
        </w:rPr>
        <w:t>1</w:t>
      </w:r>
      <w:r>
        <w:rPr>
          <w:rStyle w:val="16"/>
          <w:rFonts w:hint="eastAsia" w:ascii="宋体" w:hAnsi="宋体" w:cs="宋体"/>
          <w:color w:val="000000"/>
          <w:sz w:val="28"/>
          <w:szCs w:val="28"/>
        </w:rPr>
        <w:t>（款）02（项）:</w:t>
      </w:r>
      <w:r>
        <w:rPr>
          <w:rStyle w:val="16"/>
          <w:rFonts w:hint="eastAsia" w:ascii="宋体" w:hAnsi="宋体" w:cs="宋体"/>
          <w:b w:val="0"/>
          <w:bCs/>
          <w:color w:val="000000"/>
          <w:sz w:val="28"/>
          <w:szCs w:val="28"/>
        </w:rPr>
        <w:t>事业单位医疗</w:t>
      </w:r>
      <w:r>
        <w:rPr>
          <w:rStyle w:val="16"/>
          <w:rFonts w:hint="eastAsia" w:ascii="宋体" w:hAnsi="宋体" w:cs="宋体"/>
          <w:b w:val="0"/>
          <w:color w:val="000000"/>
          <w:sz w:val="28"/>
          <w:szCs w:val="28"/>
        </w:rPr>
        <w:t>支出决算为</w:t>
      </w:r>
      <w:r>
        <w:rPr>
          <w:rStyle w:val="16"/>
          <w:rFonts w:ascii="宋体" w:hAnsi="宋体" w:cs="宋体"/>
          <w:b w:val="0"/>
          <w:color w:val="000000"/>
          <w:sz w:val="28"/>
          <w:szCs w:val="28"/>
        </w:rPr>
        <w:t>1.51</w:t>
      </w:r>
      <w:r>
        <w:rPr>
          <w:rStyle w:val="16"/>
          <w:rFonts w:hint="eastAsia" w:ascii="宋体" w:hAnsi="宋体" w:cs="宋体"/>
          <w:b w:val="0"/>
          <w:color w:val="000000"/>
          <w:sz w:val="28"/>
          <w:szCs w:val="28"/>
        </w:rPr>
        <w:t>万元，占支出0.2</w:t>
      </w:r>
      <w:r>
        <w:rPr>
          <w:rStyle w:val="16"/>
          <w:rFonts w:ascii="宋体" w:hAnsi="宋体" w:cs="宋体"/>
          <w:b w:val="0"/>
          <w:color w:val="000000"/>
          <w:sz w:val="28"/>
          <w:szCs w:val="28"/>
        </w:rPr>
        <w:t>9</w:t>
      </w:r>
      <w:r>
        <w:rPr>
          <w:rStyle w:val="16"/>
          <w:rFonts w:hint="eastAsia" w:ascii="宋体" w:hAnsi="宋体" w:cs="宋体"/>
          <w:b w:val="0"/>
          <w:color w:val="000000"/>
          <w:sz w:val="28"/>
          <w:szCs w:val="28"/>
        </w:rPr>
        <w:t>%。</w:t>
      </w:r>
    </w:p>
    <w:p>
      <w:pPr>
        <w:spacing w:line="600" w:lineRule="exact"/>
        <w:ind w:firstLine="640"/>
        <w:rPr>
          <w:rFonts w:ascii="新宋体" w:hAnsi="新宋体" w:eastAsia="新宋体" w:cs="新宋体"/>
          <w:color w:val="000000"/>
          <w:sz w:val="28"/>
          <w:szCs w:val="28"/>
        </w:rPr>
      </w:pPr>
      <w:r>
        <w:rPr>
          <w:rStyle w:val="16"/>
          <w:rFonts w:hint="eastAsia" w:ascii="宋体" w:hAnsi="宋体" w:cs="宋体"/>
          <w:color w:val="000000"/>
          <w:sz w:val="28"/>
          <w:szCs w:val="28"/>
        </w:rPr>
        <w:t>卫生健康支出210（类）1</w:t>
      </w:r>
      <w:r>
        <w:rPr>
          <w:rStyle w:val="16"/>
          <w:rFonts w:ascii="宋体" w:hAnsi="宋体" w:cs="宋体"/>
          <w:color w:val="000000"/>
          <w:sz w:val="28"/>
          <w:szCs w:val="28"/>
        </w:rPr>
        <w:t>1</w:t>
      </w:r>
      <w:r>
        <w:rPr>
          <w:rStyle w:val="16"/>
          <w:rFonts w:hint="eastAsia" w:ascii="宋体" w:hAnsi="宋体" w:cs="宋体"/>
          <w:color w:val="000000"/>
          <w:sz w:val="28"/>
          <w:szCs w:val="28"/>
        </w:rPr>
        <w:t>（款）03（项）:</w:t>
      </w:r>
      <w:r>
        <w:rPr>
          <w:rStyle w:val="16"/>
          <w:rFonts w:hint="eastAsia" w:ascii="宋体" w:hAnsi="宋体" w:cs="宋体"/>
          <w:b w:val="0"/>
          <w:bCs/>
          <w:color w:val="000000"/>
          <w:sz w:val="28"/>
          <w:szCs w:val="28"/>
        </w:rPr>
        <w:t>公务员医疗补助支</w:t>
      </w:r>
      <w:r>
        <w:rPr>
          <w:rStyle w:val="16"/>
          <w:rFonts w:hint="eastAsia" w:ascii="宋体" w:hAnsi="宋体" w:cs="宋体"/>
          <w:b w:val="0"/>
          <w:color w:val="000000"/>
          <w:sz w:val="28"/>
          <w:szCs w:val="28"/>
        </w:rPr>
        <w:t>出决算为</w:t>
      </w:r>
      <w:r>
        <w:rPr>
          <w:rStyle w:val="16"/>
          <w:rFonts w:ascii="宋体" w:hAnsi="宋体" w:cs="宋体"/>
          <w:b w:val="0"/>
          <w:color w:val="000000"/>
          <w:sz w:val="28"/>
          <w:szCs w:val="28"/>
        </w:rPr>
        <w:t>0.43</w:t>
      </w:r>
      <w:r>
        <w:rPr>
          <w:rStyle w:val="16"/>
          <w:rFonts w:hint="eastAsia" w:ascii="宋体" w:hAnsi="宋体" w:cs="宋体"/>
          <w:b w:val="0"/>
          <w:color w:val="000000"/>
          <w:sz w:val="28"/>
          <w:szCs w:val="28"/>
        </w:rPr>
        <w:t>万元，占支出0.0</w:t>
      </w:r>
      <w:r>
        <w:rPr>
          <w:rStyle w:val="16"/>
          <w:rFonts w:ascii="宋体" w:hAnsi="宋体" w:cs="宋体"/>
          <w:b w:val="0"/>
          <w:color w:val="000000"/>
          <w:sz w:val="28"/>
          <w:szCs w:val="28"/>
        </w:rPr>
        <w:t>8</w:t>
      </w:r>
      <w:r>
        <w:rPr>
          <w:rStyle w:val="16"/>
          <w:rFonts w:hint="eastAsia" w:ascii="宋体" w:hAnsi="宋体" w:cs="宋体"/>
          <w:b w:val="0"/>
          <w:color w:val="000000"/>
          <w:sz w:val="28"/>
          <w:szCs w:val="28"/>
        </w:rPr>
        <w:t>%。</w:t>
      </w:r>
    </w:p>
    <w:p>
      <w:pPr>
        <w:wordWrap w:val="0"/>
        <w:spacing w:line="600" w:lineRule="exact"/>
        <w:rPr>
          <w:rStyle w:val="16"/>
          <w:rFonts w:hint="eastAsia" w:ascii="新宋体" w:hAnsi="新宋体" w:eastAsia="新宋体"/>
          <w:b w:val="0"/>
          <w:color w:val="000000"/>
          <w:sz w:val="28"/>
          <w:szCs w:val="28"/>
        </w:rPr>
      </w:pPr>
      <w:r>
        <w:rPr>
          <w:rStyle w:val="16"/>
          <w:rFonts w:hint="eastAsia" w:ascii="新宋体" w:hAnsi="新宋体" w:eastAsia="新宋体"/>
          <w:b w:val="0"/>
          <w:color w:val="000000"/>
          <w:sz w:val="28"/>
          <w:szCs w:val="28"/>
        </w:rPr>
        <w:t xml:space="preserve"> </w:t>
      </w:r>
      <w:r>
        <w:rPr>
          <w:rStyle w:val="16"/>
          <w:rFonts w:ascii="新宋体" w:hAnsi="新宋体" w:eastAsia="新宋体"/>
          <w:b w:val="0"/>
          <w:color w:val="000000"/>
          <w:sz w:val="28"/>
          <w:szCs w:val="28"/>
        </w:rPr>
        <w:t xml:space="preserve">    住房保障支出</w:t>
      </w:r>
      <w:r>
        <w:rPr>
          <w:rStyle w:val="16"/>
          <w:rFonts w:hint="eastAsia" w:ascii="新宋体" w:hAnsi="新宋体" w:eastAsia="新宋体"/>
          <w:b w:val="0"/>
          <w:color w:val="000000"/>
          <w:sz w:val="28"/>
          <w:szCs w:val="28"/>
        </w:rPr>
        <w:t>2</w:t>
      </w:r>
      <w:r>
        <w:rPr>
          <w:rStyle w:val="16"/>
          <w:rFonts w:ascii="新宋体" w:hAnsi="新宋体" w:eastAsia="新宋体"/>
          <w:b w:val="0"/>
          <w:color w:val="000000"/>
          <w:sz w:val="28"/>
          <w:szCs w:val="28"/>
        </w:rPr>
        <w:t>21</w:t>
      </w:r>
      <w:r>
        <w:rPr>
          <w:rStyle w:val="16"/>
          <w:rFonts w:hint="eastAsia" w:ascii="新宋体" w:hAnsi="新宋体" w:eastAsia="新宋体"/>
          <w:b w:val="0"/>
          <w:color w:val="000000"/>
          <w:sz w:val="28"/>
          <w:szCs w:val="28"/>
        </w:rPr>
        <w:t>（类）0</w:t>
      </w:r>
      <w:r>
        <w:rPr>
          <w:rStyle w:val="16"/>
          <w:rFonts w:ascii="新宋体" w:hAnsi="新宋体" w:eastAsia="新宋体"/>
          <w:b w:val="0"/>
          <w:color w:val="000000"/>
          <w:sz w:val="28"/>
          <w:szCs w:val="28"/>
        </w:rPr>
        <w:t>2</w:t>
      </w:r>
      <w:r>
        <w:rPr>
          <w:rStyle w:val="16"/>
          <w:rFonts w:hint="eastAsia" w:ascii="新宋体" w:hAnsi="新宋体" w:eastAsia="新宋体"/>
          <w:b w:val="0"/>
          <w:color w:val="000000"/>
          <w:sz w:val="28"/>
          <w:szCs w:val="28"/>
        </w:rPr>
        <w:t>（款）0</w:t>
      </w:r>
      <w:r>
        <w:rPr>
          <w:rStyle w:val="16"/>
          <w:rFonts w:ascii="新宋体" w:hAnsi="新宋体" w:eastAsia="新宋体"/>
          <w:b w:val="0"/>
          <w:color w:val="000000"/>
          <w:sz w:val="28"/>
          <w:szCs w:val="28"/>
        </w:rPr>
        <w:t>1</w:t>
      </w:r>
      <w:r>
        <w:rPr>
          <w:rStyle w:val="16"/>
          <w:rFonts w:hint="eastAsia" w:ascii="新宋体" w:hAnsi="新宋体" w:eastAsia="新宋体"/>
          <w:b w:val="0"/>
          <w:color w:val="000000"/>
          <w:sz w:val="28"/>
          <w:szCs w:val="28"/>
        </w:rPr>
        <w:t>（项）：住房公积金支出决算为1</w:t>
      </w:r>
      <w:r>
        <w:rPr>
          <w:rStyle w:val="16"/>
          <w:rFonts w:ascii="新宋体" w:hAnsi="新宋体" w:eastAsia="新宋体"/>
          <w:b w:val="0"/>
          <w:color w:val="000000"/>
          <w:sz w:val="28"/>
          <w:szCs w:val="28"/>
        </w:rPr>
        <w:t>2.13万元</w:t>
      </w:r>
      <w:r>
        <w:rPr>
          <w:rStyle w:val="16"/>
          <w:rFonts w:hint="eastAsia" w:ascii="新宋体" w:hAnsi="新宋体" w:eastAsia="新宋体"/>
          <w:b w:val="0"/>
          <w:color w:val="000000"/>
          <w:sz w:val="28"/>
          <w:szCs w:val="28"/>
        </w:rPr>
        <w:t>，</w:t>
      </w:r>
      <w:r>
        <w:rPr>
          <w:rStyle w:val="16"/>
          <w:rFonts w:ascii="新宋体" w:hAnsi="新宋体" w:eastAsia="新宋体"/>
          <w:b w:val="0"/>
          <w:color w:val="000000"/>
          <w:sz w:val="28"/>
          <w:szCs w:val="28"/>
        </w:rPr>
        <w:t>占支出</w:t>
      </w:r>
      <w:r>
        <w:rPr>
          <w:rStyle w:val="16"/>
          <w:rFonts w:hint="eastAsia" w:ascii="新宋体" w:hAnsi="新宋体" w:eastAsia="新宋体"/>
          <w:b w:val="0"/>
          <w:color w:val="000000"/>
          <w:sz w:val="28"/>
          <w:szCs w:val="28"/>
        </w:rPr>
        <w:t>2</w:t>
      </w:r>
      <w:r>
        <w:rPr>
          <w:rStyle w:val="16"/>
          <w:rFonts w:ascii="新宋体" w:hAnsi="新宋体" w:eastAsia="新宋体"/>
          <w:b w:val="0"/>
          <w:color w:val="000000"/>
          <w:sz w:val="28"/>
          <w:szCs w:val="28"/>
        </w:rPr>
        <w:t>.30</w:t>
      </w:r>
      <w:r>
        <w:rPr>
          <w:rStyle w:val="16"/>
          <w:rFonts w:hint="eastAsia" w:ascii="新宋体" w:hAnsi="新宋体" w:eastAsia="新宋体"/>
          <w:b w:val="0"/>
          <w:color w:val="000000"/>
          <w:sz w:val="28"/>
          <w:szCs w:val="28"/>
        </w:rPr>
        <w:t>%。</w:t>
      </w:r>
    </w:p>
    <w:p>
      <w:pPr>
        <w:spacing w:line="600" w:lineRule="exact"/>
        <w:ind w:firstLine="640"/>
        <w:rPr>
          <w:rFonts w:ascii="仿宋" w:hAnsi="仿宋" w:eastAsia="仿宋"/>
          <w:color w:val="000000" w:themeColor="text1"/>
          <w:sz w:val="32"/>
          <w:szCs w:val="32"/>
        </w:rPr>
      </w:pPr>
      <w:r>
        <w:rPr>
          <w:rFonts w:ascii="仿宋" w:hAnsi="仿宋" w:eastAsia="仿宋"/>
          <w:color w:val="000000" w:themeColor="text1"/>
          <w:sz w:val="32"/>
          <w:szCs w:val="32"/>
        </w:rPr>
        <w:drawing>
          <wp:anchor distT="0" distB="0" distL="114300" distR="114300" simplePos="0" relativeHeight="251663360" behindDoc="0" locked="0" layoutInCell="1" allowOverlap="1">
            <wp:simplePos x="0" y="0"/>
            <wp:positionH relativeFrom="column">
              <wp:posOffset>-742950</wp:posOffset>
            </wp:positionH>
            <wp:positionV relativeFrom="paragraph">
              <wp:posOffset>676275</wp:posOffset>
            </wp:positionV>
            <wp:extent cx="7162165" cy="2990850"/>
            <wp:effectExtent l="0" t="0" r="0" b="0"/>
            <wp:wrapTopAndBottom/>
            <wp:docPr id="1" name="图表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r>
        <w:rPr>
          <w:rFonts w:hint="eastAsia" w:ascii="仿宋" w:hAnsi="仿宋" w:eastAsia="仿宋"/>
          <w:b/>
          <w:color w:val="000000" w:themeColor="text1"/>
          <w:sz w:val="32"/>
          <w:szCs w:val="32"/>
        </w:rPr>
        <w:t>（罗列全部功能分类科目，至类级。）</w:t>
      </w:r>
    </w:p>
    <w:p>
      <w:pPr>
        <w:spacing w:line="600" w:lineRule="exact"/>
        <w:rPr>
          <w:rFonts w:hint="eastAsia" w:ascii="仿宋" w:hAnsi="仿宋" w:eastAsia="仿宋"/>
          <w:color w:val="000000" w:themeColor="text1"/>
          <w:sz w:val="32"/>
          <w:szCs w:val="32"/>
        </w:rPr>
      </w:pPr>
    </w:p>
    <w:p>
      <w:pPr>
        <w:spacing w:line="600" w:lineRule="exact"/>
        <w:rPr>
          <w:rFonts w:hint="eastAsia" w:ascii="仿宋" w:hAnsi="仿宋" w:eastAsia="仿宋"/>
          <w:color w:val="000000" w:themeColor="text1"/>
          <w:sz w:val="32"/>
          <w:szCs w:val="32"/>
        </w:rPr>
      </w:pPr>
    </w:p>
    <w:p>
      <w:pPr>
        <w:spacing w:line="600" w:lineRule="exact"/>
        <w:ind w:firstLine="640" w:firstLineChars="200"/>
        <w:rPr>
          <w:rFonts w:ascii="仿宋" w:hAnsi="仿宋" w:eastAsia="仿宋"/>
          <w:color w:val="000000"/>
          <w:sz w:val="32"/>
          <w:szCs w:val="32"/>
        </w:rPr>
      </w:pPr>
      <w:r>
        <w:rPr>
          <w:rFonts w:hint="eastAsia" w:ascii="仿宋" w:hAnsi="仿宋" w:eastAsia="仿宋"/>
          <w:color w:val="000000"/>
          <w:sz w:val="32"/>
          <w:szCs w:val="32"/>
        </w:rPr>
        <w:t>（图6：一般公共预算财政拨款支出决算结构）（饼状图）</w:t>
      </w:r>
    </w:p>
    <w:p>
      <w:pPr>
        <w:spacing w:line="600" w:lineRule="exact"/>
        <w:ind w:firstLine="640" w:firstLineChars="200"/>
        <w:rPr>
          <w:rFonts w:ascii="仿宋" w:hAnsi="仿宋" w:eastAsia="仿宋"/>
          <w:color w:val="000000"/>
          <w:sz w:val="32"/>
          <w:szCs w:val="32"/>
        </w:rPr>
      </w:pPr>
    </w:p>
    <w:p>
      <w:pPr>
        <w:spacing w:line="600" w:lineRule="exact"/>
        <w:ind w:firstLine="643" w:firstLineChars="200"/>
        <w:outlineLvl w:val="2"/>
        <w:rPr>
          <w:rFonts w:ascii="仿宋" w:hAnsi="仿宋" w:eastAsia="仿宋"/>
          <w:b/>
          <w:color w:val="000000"/>
          <w:sz w:val="32"/>
          <w:szCs w:val="32"/>
        </w:rPr>
      </w:pPr>
      <w:bookmarkStart w:id="31" w:name="_Toc15377212"/>
      <w:r>
        <w:rPr>
          <w:rFonts w:hint="eastAsia" w:ascii="仿宋" w:hAnsi="仿宋" w:eastAsia="仿宋"/>
          <w:b/>
          <w:color w:val="000000"/>
          <w:sz w:val="32"/>
          <w:szCs w:val="32"/>
        </w:rPr>
        <w:t>（三）一般公共预算财政拨款支出决算具体情况</w:t>
      </w:r>
      <w:bookmarkEnd w:id="31"/>
    </w:p>
    <w:p>
      <w:pPr>
        <w:spacing w:line="600" w:lineRule="exact"/>
        <w:ind w:firstLine="640"/>
        <w:rPr>
          <w:rFonts w:ascii="仿宋" w:hAnsi="仿宋" w:eastAsia="仿宋"/>
          <w:color w:val="000000" w:themeColor="text1"/>
          <w:sz w:val="32"/>
          <w:szCs w:val="32"/>
        </w:rPr>
      </w:pPr>
      <w:r>
        <w:rPr>
          <w:rFonts w:ascii="仿宋" w:hAnsi="仿宋" w:eastAsia="仿宋"/>
          <w:color w:val="000000"/>
          <w:sz w:val="32"/>
          <w:szCs w:val="32"/>
        </w:rPr>
        <w:t>201</w:t>
      </w:r>
      <w:r>
        <w:rPr>
          <w:rFonts w:hint="eastAsia" w:ascii="仿宋" w:hAnsi="仿宋" w:eastAsia="仿宋"/>
          <w:color w:val="000000"/>
          <w:sz w:val="32"/>
          <w:szCs w:val="32"/>
        </w:rPr>
        <w:t>9年一般公共预算财</w:t>
      </w:r>
      <w:r>
        <w:rPr>
          <w:rFonts w:hint="eastAsia" w:ascii="仿宋" w:hAnsi="仿宋" w:eastAsia="仿宋"/>
          <w:color w:val="000000" w:themeColor="text1"/>
          <w:sz w:val="32"/>
          <w:szCs w:val="32"/>
        </w:rPr>
        <w:t>政拨款支出</w:t>
      </w:r>
      <w:r>
        <w:rPr>
          <w:rFonts w:ascii="仿宋" w:hAnsi="仿宋" w:eastAsia="仿宋"/>
          <w:color w:val="000000" w:themeColor="text1"/>
          <w:sz w:val="32"/>
          <w:szCs w:val="32"/>
        </w:rPr>
        <w:t>427.57</w:t>
      </w:r>
      <w:r>
        <w:rPr>
          <w:rFonts w:hint="eastAsia" w:ascii="仿宋" w:hAnsi="仿宋" w:eastAsia="仿宋"/>
          <w:color w:val="000000" w:themeColor="text1"/>
          <w:sz w:val="32"/>
          <w:szCs w:val="32"/>
        </w:rPr>
        <w:t>万元，主要用于以下方面</w:t>
      </w:r>
      <w:r>
        <w:rPr>
          <w:rFonts w:ascii="仿宋" w:hAnsi="仿宋" w:eastAsia="仿宋"/>
          <w:color w:val="000000" w:themeColor="text1"/>
          <w:sz w:val="32"/>
          <w:szCs w:val="32"/>
        </w:rPr>
        <w:t>:</w:t>
      </w:r>
    </w:p>
    <w:p>
      <w:pPr>
        <w:spacing w:line="600" w:lineRule="exact"/>
        <w:ind w:firstLine="643" w:firstLineChars="200"/>
        <w:rPr>
          <w:rStyle w:val="16"/>
          <w:rFonts w:ascii="宋体" w:hAnsi="宋体" w:cs="宋体"/>
          <w:b w:val="0"/>
          <w:color w:val="000000"/>
          <w:sz w:val="28"/>
          <w:szCs w:val="28"/>
        </w:rPr>
      </w:pPr>
      <w:r>
        <w:rPr>
          <w:rFonts w:hint="eastAsia" w:ascii="仿宋" w:hAnsi="仿宋" w:eastAsia="仿宋"/>
          <w:b/>
          <w:color w:val="000000" w:themeColor="text1"/>
          <w:sz w:val="32"/>
          <w:szCs w:val="32"/>
        </w:rPr>
        <w:t>社会保障和就业2</w:t>
      </w:r>
      <w:r>
        <w:rPr>
          <w:rFonts w:ascii="仿宋" w:hAnsi="仿宋" w:eastAsia="仿宋"/>
          <w:b/>
          <w:color w:val="000000" w:themeColor="text1"/>
          <w:sz w:val="32"/>
          <w:szCs w:val="32"/>
        </w:rPr>
        <w:t>08</w:t>
      </w:r>
      <w:r>
        <w:rPr>
          <w:rFonts w:hint="eastAsia" w:ascii="仿宋" w:hAnsi="仿宋" w:eastAsia="仿宋"/>
          <w:b/>
          <w:color w:val="000000" w:themeColor="text1"/>
          <w:sz w:val="32"/>
          <w:szCs w:val="32"/>
        </w:rPr>
        <w:t>（类）0</w:t>
      </w:r>
      <w:r>
        <w:rPr>
          <w:rFonts w:ascii="仿宋" w:hAnsi="仿宋" w:eastAsia="仿宋"/>
          <w:b/>
          <w:color w:val="000000" w:themeColor="text1"/>
          <w:sz w:val="32"/>
          <w:szCs w:val="32"/>
        </w:rPr>
        <w:t>5</w:t>
      </w:r>
      <w:r>
        <w:rPr>
          <w:rFonts w:hint="eastAsia" w:ascii="仿宋" w:hAnsi="仿宋" w:eastAsia="仿宋"/>
          <w:b/>
          <w:color w:val="000000" w:themeColor="text1"/>
          <w:sz w:val="32"/>
          <w:szCs w:val="32"/>
        </w:rPr>
        <w:t>（款）0</w:t>
      </w:r>
      <w:r>
        <w:rPr>
          <w:rFonts w:ascii="仿宋" w:hAnsi="仿宋" w:eastAsia="仿宋"/>
          <w:b/>
          <w:color w:val="000000" w:themeColor="text1"/>
          <w:sz w:val="32"/>
          <w:szCs w:val="32"/>
        </w:rPr>
        <w:t>5</w:t>
      </w:r>
      <w:r>
        <w:rPr>
          <w:rFonts w:hint="eastAsia" w:ascii="仿宋" w:hAnsi="仿宋" w:eastAsia="仿宋"/>
          <w:b/>
          <w:color w:val="000000" w:themeColor="text1"/>
          <w:sz w:val="32"/>
          <w:szCs w:val="32"/>
        </w:rPr>
        <w:t>（项）：</w:t>
      </w:r>
      <w:r>
        <w:rPr>
          <w:rStyle w:val="16"/>
          <w:rFonts w:hint="eastAsia" w:ascii="宋体" w:hAnsi="宋体" w:cs="宋体"/>
          <w:b w:val="0"/>
          <w:color w:val="000000"/>
          <w:sz w:val="28"/>
          <w:szCs w:val="28"/>
        </w:rPr>
        <w:t>机关事业单位养老保险缴费支出决算为</w:t>
      </w:r>
      <w:r>
        <w:rPr>
          <w:rStyle w:val="16"/>
          <w:rFonts w:ascii="宋体" w:hAnsi="宋体" w:cs="宋体"/>
          <w:b w:val="0"/>
          <w:color w:val="000000"/>
          <w:sz w:val="28"/>
          <w:szCs w:val="28"/>
        </w:rPr>
        <w:t>10.89</w:t>
      </w:r>
      <w:r>
        <w:rPr>
          <w:rStyle w:val="16"/>
          <w:rFonts w:hint="eastAsia" w:ascii="宋体" w:hAnsi="宋体" w:cs="宋体"/>
          <w:b w:val="0"/>
          <w:color w:val="000000"/>
          <w:sz w:val="28"/>
          <w:szCs w:val="28"/>
        </w:rPr>
        <w:t>万元，完成预算1</w:t>
      </w:r>
      <w:r>
        <w:rPr>
          <w:rStyle w:val="16"/>
          <w:rFonts w:ascii="宋体" w:hAnsi="宋体" w:cs="宋体"/>
          <w:b w:val="0"/>
          <w:color w:val="000000"/>
          <w:sz w:val="28"/>
          <w:szCs w:val="28"/>
        </w:rPr>
        <w:t>00</w:t>
      </w:r>
      <w:r>
        <w:rPr>
          <w:rStyle w:val="16"/>
          <w:rFonts w:hint="eastAsia" w:ascii="宋体" w:hAnsi="宋体" w:cs="宋体"/>
          <w:b w:val="0"/>
          <w:color w:val="000000"/>
          <w:sz w:val="28"/>
          <w:szCs w:val="28"/>
        </w:rPr>
        <w:t>%，</w:t>
      </w:r>
      <w:r>
        <w:rPr>
          <w:rStyle w:val="16"/>
          <w:rFonts w:ascii="宋体" w:hAnsi="宋体" w:cs="宋体"/>
          <w:b w:val="0"/>
          <w:color w:val="000000"/>
          <w:sz w:val="28"/>
          <w:szCs w:val="28"/>
        </w:rPr>
        <w:t>决算数等于预算数</w:t>
      </w:r>
      <w:r>
        <w:rPr>
          <w:rStyle w:val="16"/>
          <w:rFonts w:hint="eastAsia" w:ascii="宋体" w:hAnsi="宋体" w:cs="宋体"/>
          <w:b w:val="0"/>
          <w:color w:val="000000"/>
          <w:sz w:val="28"/>
          <w:szCs w:val="28"/>
        </w:rPr>
        <w:t>。</w:t>
      </w:r>
    </w:p>
    <w:p>
      <w:pPr>
        <w:spacing w:line="600" w:lineRule="exact"/>
        <w:ind w:firstLine="562" w:firstLineChars="200"/>
        <w:rPr>
          <w:rFonts w:hint="eastAsia" w:ascii="宋体" w:hAnsi="宋体" w:cs="宋体"/>
          <w:color w:val="000000"/>
          <w:sz w:val="28"/>
          <w:szCs w:val="28"/>
        </w:rPr>
      </w:pPr>
      <w:r>
        <w:rPr>
          <w:rFonts w:hint="eastAsia" w:ascii="新宋体" w:hAnsi="新宋体" w:eastAsia="新宋体" w:cs="新宋体"/>
          <w:b/>
          <w:color w:val="000000"/>
          <w:sz w:val="28"/>
          <w:szCs w:val="28"/>
        </w:rPr>
        <w:t>社会保障和就业</w:t>
      </w:r>
      <w:r>
        <w:rPr>
          <w:rFonts w:ascii="新宋体" w:hAnsi="新宋体" w:eastAsia="新宋体"/>
          <w:b/>
          <w:color w:val="000000"/>
          <w:sz w:val="28"/>
          <w:szCs w:val="28"/>
        </w:rPr>
        <w:t>208（类）11（款）0</w:t>
      </w:r>
      <w:r>
        <w:rPr>
          <w:rFonts w:hint="eastAsia" w:ascii="新宋体" w:hAnsi="新宋体" w:eastAsia="新宋体"/>
          <w:b/>
          <w:color w:val="000000"/>
          <w:sz w:val="28"/>
          <w:szCs w:val="28"/>
        </w:rPr>
        <w:t>1</w:t>
      </w:r>
      <w:r>
        <w:rPr>
          <w:rFonts w:ascii="新宋体" w:hAnsi="新宋体" w:eastAsia="新宋体"/>
          <w:b/>
          <w:color w:val="000000"/>
          <w:sz w:val="28"/>
          <w:szCs w:val="28"/>
        </w:rPr>
        <w:t>（项）</w:t>
      </w:r>
      <w:r>
        <w:rPr>
          <w:rFonts w:hint="eastAsia" w:ascii="新宋体" w:hAnsi="新宋体" w:eastAsia="新宋体"/>
          <w:b/>
          <w:color w:val="000000"/>
          <w:sz w:val="28"/>
          <w:szCs w:val="28"/>
        </w:rPr>
        <w:t>:</w:t>
      </w:r>
      <w:r>
        <w:rPr>
          <w:rFonts w:hint="eastAsia" w:ascii="新宋体" w:hAnsi="新宋体" w:eastAsia="新宋体"/>
          <w:bCs/>
          <w:color w:val="000000"/>
          <w:sz w:val="28"/>
          <w:szCs w:val="28"/>
        </w:rPr>
        <w:t>行政运行</w:t>
      </w:r>
      <w:r>
        <w:rPr>
          <w:rFonts w:hint="eastAsia" w:ascii="新宋体" w:hAnsi="新宋体" w:eastAsia="新宋体" w:cs="新宋体"/>
          <w:bCs/>
          <w:color w:val="000000"/>
          <w:sz w:val="28"/>
          <w:szCs w:val="28"/>
        </w:rPr>
        <w:t>支出</w:t>
      </w:r>
      <w:r>
        <w:rPr>
          <w:rFonts w:ascii="新宋体" w:hAnsi="新宋体" w:eastAsia="新宋体" w:cs="新宋体"/>
          <w:bCs/>
          <w:color w:val="000000"/>
          <w:sz w:val="28"/>
          <w:szCs w:val="28"/>
        </w:rPr>
        <w:t>172.74</w:t>
      </w:r>
      <w:r>
        <w:rPr>
          <w:rFonts w:hint="eastAsia" w:ascii="新宋体" w:hAnsi="新宋体" w:eastAsia="新宋体" w:cs="新宋体"/>
          <w:bCs/>
          <w:color w:val="000000"/>
          <w:sz w:val="28"/>
          <w:szCs w:val="28"/>
        </w:rPr>
        <w:t>万元，</w:t>
      </w:r>
      <w:r>
        <w:rPr>
          <w:rStyle w:val="16"/>
          <w:rFonts w:hint="eastAsia" w:ascii="宋体" w:hAnsi="宋体" w:cs="宋体"/>
          <w:b w:val="0"/>
          <w:color w:val="000000"/>
          <w:sz w:val="28"/>
          <w:szCs w:val="28"/>
        </w:rPr>
        <w:t>完成预算1</w:t>
      </w:r>
      <w:r>
        <w:rPr>
          <w:rStyle w:val="16"/>
          <w:rFonts w:ascii="宋体" w:hAnsi="宋体" w:cs="宋体"/>
          <w:b w:val="0"/>
          <w:color w:val="000000"/>
          <w:sz w:val="28"/>
          <w:szCs w:val="28"/>
        </w:rPr>
        <w:t>00</w:t>
      </w:r>
      <w:r>
        <w:rPr>
          <w:rStyle w:val="16"/>
          <w:rFonts w:hint="eastAsia" w:ascii="宋体" w:hAnsi="宋体" w:cs="宋体"/>
          <w:b w:val="0"/>
          <w:color w:val="000000"/>
          <w:sz w:val="28"/>
          <w:szCs w:val="28"/>
        </w:rPr>
        <w:t>%，</w:t>
      </w:r>
      <w:r>
        <w:rPr>
          <w:rStyle w:val="16"/>
          <w:rFonts w:ascii="宋体" w:hAnsi="宋体" w:cs="宋体"/>
          <w:b w:val="0"/>
          <w:color w:val="000000"/>
          <w:sz w:val="28"/>
          <w:szCs w:val="28"/>
        </w:rPr>
        <w:t>决算数等于预算数</w:t>
      </w:r>
      <w:r>
        <w:rPr>
          <w:rStyle w:val="16"/>
          <w:rFonts w:hint="eastAsia" w:ascii="宋体" w:hAnsi="宋体" w:cs="宋体"/>
          <w:b w:val="0"/>
          <w:color w:val="000000"/>
          <w:sz w:val="28"/>
          <w:szCs w:val="28"/>
        </w:rPr>
        <w:t>。</w:t>
      </w:r>
    </w:p>
    <w:p>
      <w:pPr>
        <w:spacing w:line="600" w:lineRule="exact"/>
        <w:ind w:firstLine="562" w:firstLineChars="200"/>
        <w:rPr>
          <w:rFonts w:hint="eastAsia" w:ascii="宋体" w:hAnsi="宋体" w:cs="宋体"/>
          <w:color w:val="000000"/>
          <w:sz w:val="28"/>
          <w:szCs w:val="28"/>
        </w:rPr>
      </w:pPr>
      <w:r>
        <w:rPr>
          <w:rFonts w:hint="eastAsia" w:ascii="新宋体" w:hAnsi="新宋体" w:eastAsia="新宋体"/>
          <w:b/>
          <w:color w:val="000000"/>
          <w:sz w:val="28"/>
          <w:szCs w:val="28"/>
        </w:rPr>
        <w:t>社会保障和就业</w:t>
      </w:r>
      <w:r>
        <w:rPr>
          <w:rFonts w:ascii="新宋体" w:hAnsi="新宋体" w:eastAsia="新宋体"/>
          <w:b/>
          <w:color w:val="000000"/>
          <w:sz w:val="28"/>
          <w:szCs w:val="28"/>
        </w:rPr>
        <w:t>208（类）11（款）04（项）:</w:t>
      </w:r>
      <w:r>
        <w:rPr>
          <w:rFonts w:ascii="新宋体" w:hAnsi="新宋体" w:eastAsia="新宋体"/>
          <w:color w:val="000000"/>
          <w:sz w:val="28"/>
          <w:szCs w:val="28"/>
        </w:rPr>
        <w:t>残疾人康复专项12.62万元，</w:t>
      </w:r>
      <w:r>
        <w:rPr>
          <w:rStyle w:val="16"/>
          <w:rFonts w:hint="eastAsia" w:ascii="宋体" w:hAnsi="宋体" w:cs="宋体"/>
          <w:b w:val="0"/>
          <w:color w:val="000000"/>
          <w:sz w:val="28"/>
          <w:szCs w:val="28"/>
        </w:rPr>
        <w:t>完成预算1</w:t>
      </w:r>
      <w:r>
        <w:rPr>
          <w:rStyle w:val="16"/>
          <w:rFonts w:ascii="宋体" w:hAnsi="宋体" w:cs="宋体"/>
          <w:b w:val="0"/>
          <w:color w:val="000000"/>
          <w:sz w:val="28"/>
          <w:szCs w:val="28"/>
        </w:rPr>
        <w:t>00</w:t>
      </w:r>
      <w:r>
        <w:rPr>
          <w:rStyle w:val="16"/>
          <w:rFonts w:hint="eastAsia" w:ascii="宋体" w:hAnsi="宋体" w:cs="宋体"/>
          <w:b w:val="0"/>
          <w:color w:val="000000"/>
          <w:sz w:val="28"/>
          <w:szCs w:val="28"/>
        </w:rPr>
        <w:t>%，</w:t>
      </w:r>
      <w:r>
        <w:rPr>
          <w:rStyle w:val="16"/>
          <w:rFonts w:ascii="宋体" w:hAnsi="宋体" w:cs="宋体"/>
          <w:b w:val="0"/>
          <w:color w:val="000000"/>
          <w:sz w:val="28"/>
          <w:szCs w:val="28"/>
        </w:rPr>
        <w:t>决算数等于预算数</w:t>
      </w:r>
      <w:r>
        <w:rPr>
          <w:rStyle w:val="16"/>
          <w:rFonts w:hint="eastAsia" w:ascii="宋体" w:hAnsi="宋体" w:cs="宋体"/>
          <w:b w:val="0"/>
          <w:color w:val="000000"/>
          <w:sz w:val="28"/>
          <w:szCs w:val="28"/>
        </w:rPr>
        <w:t>。</w:t>
      </w:r>
    </w:p>
    <w:p>
      <w:pPr>
        <w:spacing w:line="600" w:lineRule="exact"/>
        <w:ind w:firstLine="562" w:firstLineChars="200"/>
        <w:rPr>
          <w:rStyle w:val="16"/>
          <w:rFonts w:ascii="宋体" w:hAnsi="宋体" w:cs="宋体"/>
          <w:b w:val="0"/>
          <w:color w:val="000000"/>
          <w:sz w:val="28"/>
          <w:szCs w:val="28"/>
        </w:rPr>
      </w:pPr>
      <w:r>
        <w:rPr>
          <w:rFonts w:hint="eastAsia" w:ascii="新宋体" w:hAnsi="新宋体" w:eastAsia="新宋体"/>
          <w:b/>
          <w:color w:val="000000"/>
          <w:sz w:val="28"/>
          <w:szCs w:val="28"/>
        </w:rPr>
        <w:t>社会保障和就业</w:t>
      </w:r>
      <w:r>
        <w:rPr>
          <w:rFonts w:ascii="新宋体" w:hAnsi="新宋体" w:eastAsia="新宋体"/>
          <w:b/>
          <w:color w:val="000000"/>
          <w:sz w:val="28"/>
          <w:szCs w:val="28"/>
        </w:rPr>
        <w:t>208（类）11（款）99（项）：</w:t>
      </w:r>
      <w:r>
        <w:rPr>
          <w:rFonts w:ascii="新宋体" w:hAnsi="新宋体" w:eastAsia="新宋体"/>
          <w:color w:val="000000"/>
          <w:sz w:val="28"/>
          <w:szCs w:val="28"/>
        </w:rPr>
        <w:t>其他残疾人事业支出213.81万元，</w:t>
      </w:r>
      <w:r>
        <w:rPr>
          <w:rStyle w:val="16"/>
          <w:rFonts w:hint="eastAsia" w:ascii="宋体" w:hAnsi="宋体" w:cs="宋体"/>
          <w:b w:val="0"/>
          <w:color w:val="000000"/>
          <w:sz w:val="28"/>
          <w:szCs w:val="28"/>
        </w:rPr>
        <w:t>完成预算1</w:t>
      </w:r>
      <w:r>
        <w:rPr>
          <w:rStyle w:val="16"/>
          <w:rFonts w:ascii="宋体" w:hAnsi="宋体" w:cs="宋体"/>
          <w:b w:val="0"/>
          <w:color w:val="000000"/>
          <w:sz w:val="28"/>
          <w:szCs w:val="28"/>
        </w:rPr>
        <w:t>00</w:t>
      </w:r>
      <w:r>
        <w:rPr>
          <w:rStyle w:val="16"/>
          <w:rFonts w:hint="eastAsia" w:ascii="宋体" w:hAnsi="宋体" w:cs="宋体"/>
          <w:b w:val="0"/>
          <w:color w:val="000000"/>
          <w:sz w:val="28"/>
          <w:szCs w:val="28"/>
        </w:rPr>
        <w:t>%，</w:t>
      </w:r>
      <w:r>
        <w:rPr>
          <w:rStyle w:val="16"/>
          <w:rFonts w:ascii="宋体" w:hAnsi="宋体" w:cs="宋体"/>
          <w:b w:val="0"/>
          <w:color w:val="000000"/>
          <w:sz w:val="28"/>
          <w:szCs w:val="28"/>
        </w:rPr>
        <w:t>决算数等于预算数</w:t>
      </w:r>
      <w:r>
        <w:rPr>
          <w:rStyle w:val="16"/>
          <w:rFonts w:hint="eastAsia" w:ascii="宋体" w:hAnsi="宋体" w:cs="宋体"/>
          <w:b w:val="0"/>
          <w:color w:val="000000"/>
          <w:sz w:val="28"/>
          <w:szCs w:val="28"/>
        </w:rPr>
        <w:t>。</w:t>
      </w:r>
    </w:p>
    <w:p>
      <w:pPr>
        <w:spacing w:line="600" w:lineRule="exact"/>
        <w:ind w:firstLine="562" w:firstLineChars="200"/>
        <w:rPr>
          <w:rStyle w:val="16"/>
          <w:rFonts w:hint="eastAsia" w:ascii="宋体" w:hAnsi="宋体" w:cs="宋体"/>
          <w:b w:val="0"/>
          <w:color w:val="000000"/>
          <w:sz w:val="28"/>
          <w:szCs w:val="28"/>
        </w:rPr>
      </w:pPr>
      <w:r>
        <w:rPr>
          <w:rStyle w:val="16"/>
          <w:rFonts w:hint="eastAsia" w:ascii="宋体" w:hAnsi="宋体" w:cs="宋体"/>
          <w:color w:val="000000"/>
          <w:sz w:val="28"/>
          <w:szCs w:val="28"/>
        </w:rPr>
        <w:t>卫生健康支出210（类）1</w:t>
      </w:r>
      <w:r>
        <w:rPr>
          <w:rStyle w:val="16"/>
          <w:rFonts w:ascii="宋体" w:hAnsi="宋体" w:cs="宋体"/>
          <w:color w:val="000000"/>
          <w:sz w:val="28"/>
          <w:szCs w:val="28"/>
        </w:rPr>
        <w:t>1</w:t>
      </w:r>
      <w:r>
        <w:rPr>
          <w:rStyle w:val="16"/>
          <w:rFonts w:hint="eastAsia" w:ascii="宋体" w:hAnsi="宋体" w:cs="宋体"/>
          <w:color w:val="000000"/>
          <w:sz w:val="28"/>
          <w:szCs w:val="28"/>
        </w:rPr>
        <w:t>（款）01（项）:</w:t>
      </w:r>
      <w:r>
        <w:rPr>
          <w:rStyle w:val="16"/>
          <w:rFonts w:hint="eastAsia" w:ascii="宋体" w:hAnsi="宋体" w:cs="宋体"/>
          <w:b w:val="0"/>
          <w:bCs/>
          <w:color w:val="000000"/>
          <w:sz w:val="28"/>
          <w:szCs w:val="28"/>
        </w:rPr>
        <w:t>行政单位医疗支</w:t>
      </w:r>
      <w:r>
        <w:rPr>
          <w:rStyle w:val="16"/>
          <w:rFonts w:hint="eastAsia" w:ascii="宋体" w:hAnsi="宋体" w:cs="宋体"/>
          <w:b w:val="0"/>
          <w:color w:val="000000"/>
          <w:sz w:val="28"/>
          <w:szCs w:val="28"/>
        </w:rPr>
        <w:t>出决算为</w:t>
      </w:r>
      <w:r>
        <w:rPr>
          <w:rStyle w:val="16"/>
          <w:rFonts w:ascii="宋体" w:hAnsi="宋体" w:cs="宋体"/>
          <w:b w:val="0"/>
          <w:color w:val="000000"/>
          <w:sz w:val="28"/>
          <w:szCs w:val="28"/>
        </w:rPr>
        <w:t>3.43</w:t>
      </w:r>
      <w:r>
        <w:rPr>
          <w:rStyle w:val="16"/>
          <w:rFonts w:hint="eastAsia" w:ascii="宋体" w:hAnsi="宋体" w:cs="宋体"/>
          <w:b w:val="0"/>
          <w:color w:val="000000"/>
          <w:sz w:val="28"/>
          <w:szCs w:val="28"/>
        </w:rPr>
        <w:t>万元，完成预算1</w:t>
      </w:r>
      <w:r>
        <w:rPr>
          <w:rStyle w:val="16"/>
          <w:rFonts w:ascii="宋体" w:hAnsi="宋体" w:cs="宋体"/>
          <w:b w:val="0"/>
          <w:color w:val="000000"/>
          <w:sz w:val="28"/>
          <w:szCs w:val="28"/>
        </w:rPr>
        <w:t>00</w:t>
      </w:r>
      <w:r>
        <w:rPr>
          <w:rStyle w:val="16"/>
          <w:rFonts w:hint="eastAsia" w:ascii="宋体" w:hAnsi="宋体" w:cs="宋体"/>
          <w:b w:val="0"/>
          <w:color w:val="000000"/>
          <w:sz w:val="28"/>
          <w:szCs w:val="28"/>
        </w:rPr>
        <w:t>%，</w:t>
      </w:r>
      <w:r>
        <w:rPr>
          <w:rStyle w:val="16"/>
          <w:rFonts w:ascii="宋体" w:hAnsi="宋体" w:cs="宋体"/>
          <w:b w:val="0"/>
          <w:color w:val="000000"/>
          <w:sz w:val="28"/>
          <w:szCs w:val="28"/>
        </w:rPr>
        <w:t>决算数等于预算数</w:t>
      </w:r>
      <w:r>
        <w:rPr>
          <w:rStyle w:val="16"/>
          <w:rFonts w:hint="eastAsia" w:ascii="宋体" w:hAnsi="宋体" w:cs="宋体"/>
          <w:b w:val="0"/>
          <w:color w:val="000000"/>
          <w:sz w:val="28"/>
          <w:szCs w:val="28"/>
        </w:rPr>
        <w:t>。</w:t>
      </w:r>
    </w:p>
    <w:p>
      <w:pPr>
        <w:spacing w:line="600" w:lineRule="exact"/>
        <w:ind w:firstLine="562" w:firstLineChars="200"/>
        <w:rPr>
          <w:rStyle w:val="16"/>
          <w:rFonts w:ascii="宋体" w:hAnsi="宋体" w:cs="宋体"/>
          <w:b w:val="0"/>
          <w:color w:val="000000"/>
          <w:sz w:val="28"/>
          <w:szCs w:val="28"/>
        </w:rPr>
      </w:pPr>
      <w:r>
        <w:rPr>
          <w:rStyle w:val="16"/>
          <w:rFonts w:hint="eastAsia" w:ascii="宋体" w:hAnsi="宋体" w:cs="宋体"/>
          <w:color w:val="000000"/>
          <w:sz w:val="28"/>
          <w:szCs w:val="28"/>
        </w:rPr>
        <w:t>卫生健康支出210（类）1</w:t>
      </w:r>
      <w:r>
        <w:rPr>
          <w:rStyle w:val="16"/>
          <w:rFonts w:ascii="宋体" w:hAnsi="宋体" w:cs="宋体"/>
          <w:color w:val="000000"/>
          <w:sz w:val="28"/>
          <w:szCs w:val="28"/>
        </w:rPr>
        <w:t>1</w:t>
      </w:r>
      <w:r>
        <w:rPr>
          <w:rStyle w:val="16"/>
          <w:rFonts w:hint="eastAsia" w:ascii="宋体" w:hAnsi="宋体" w:cs="宋体"/>
          <w:color w:val="000000"/>
          <w:sz w:val="28"/>
          <w:szCs w:val="28"/>
        </w:rPr>
        <w:t>（款）02（项）:</w:t>
      </w:r>
      <w:r>
        <w:rPr>
          <w:rStyle w:val="16"/>
          <w:rFonts w:hint="eastAsia" w:ascii="宋体" w:hAnsi="宋体" w:cs="宋体"/>
          <w:b w:val="0"/>
          <w:bCs/>
          <w:color w:val="000000"/>
          <w:sz w:val="28"/>
          <w:szCs w:val="28"/>
        </w:rPr>
        <w:t>事业单位医疗</w:t>
      </w:r>
      <w:r>
        <w:rPr>
          <w:rStyle w:val="16"/>
          <w:rFonts w:hint="eastAsia" w:ascii="宋体" w:hAnsi="宋体" w:cs="宋体"/>
          <w:b w:val="0"/>
          <w:color w:val="000000"/>
          <w:sz w:val="28"/>
          <w:szCs w:val="28"/>
        </w:rPr>
        <w:t>支出决算为</w:t>
      </w:r>
      <w:r>
        <w:rPr>
          <w:rStyle w:val="16"/>
          <w:rFonts w:ascii="宋体" w:hAnsi="宋体" w:cs="宋体"/>
          <w:b w:val="0"/>
          <w:color w:val="000000"/>
          <w:sz w:val="28"/>
          <w:szCs w:val="28"/>
        </w:rPr>
        <w:t>1.51</w:t>
      </w:r>
      <w:r>
        <w:rPr>
          <w:rStyle w:val="16"/>
          <w:rFonts w:hint="eastAsia" w:ascii="宋体" w:hAnsi="宋体" w:cs="宋体"/>
          <w:b w:val="0"/>
          <w:color w:val="000000"/>
          <w:sz w:val="28"/>
          <w:szCs w:val="28"/>
        </w:rPr>
        <w:t>万元，完成预算1</w:t>
      </w:r>
      <w:r>
        <w:rPr>
          <w:rStyle w:val="16"/>
          <w:rFonts w:ascii="宋体" w:hAnsi="宋体" w:cs="宋体"/>
          <w:b w:val="0"/>
          <w:color w:val="000000"/>
          <w:sz w:val="28"/>
          <w:szCs w:val="28"/>
        </w:rPr>
        <w:t>00</w:t>
      </w:r>
      <w:r>
        <w:rPr>
          <w:rStyle w:val="16"/>
          <w:rFonts w:hint="eastAsia" w:ascii="宋体" w:hAnsi="宋体" w:cs="宋体"/>
          <w:b w:val="0"/>
          <w:color w:val="000000"/>
          <w:sz w:val="28"/>
          <w:szCs w:val="28"/>
        </w:rPr>
        <w:t>%，</w:t>
      </w:r>
      <w:r>
        <w:rPr>
          <w:rStyle w:val="16"/>
          <w:rFonts w:ascii="宋体" w:hAnsi="宋体" w:cs="宋体"/>
          <w:b w:val="0"/>
          <w:color w:val="000000"/>
          <w:sz w:val="28"/>
          <w:szCs w:val="28"/>
        </w:rPr>
        <w:t>决算数等于预算数</w:t>
      </w:r>
      <w:r>
        <w:rPr>
          <w:rStyle w:val="16"/>
          <w:rFonts w:hint="eastAsia" w:ascii="宋体" w:hAnsi="宋体" w:cs="宋体"/>
          <w:b w:val="0"/>
          <w:color w:val="000000"/>
          <w:sz w:val="28"/>
          <w:szCs w:val="28"/>
        </w:rPr>
        <w:t>。</w:t>
      </w:r>
    </w:p>
    <w:p>
      <w:pPr>
        <w:spacing w:line="600" w:lineRule="exact"/>
        <w:ind w:firstLine="562" w:firstLineChars="200"/>
        <w:rPr>
          <w:rFonts w:hint="eastAsia" w:ascii="宋体" w:hAnsi="宋体" w:cs="宋体"/>
          <w:color w:val="000000"/>
          <w:sz w:val="28"/>
          <w:szCs w:val="28"/>
        </w:rPr>
      </w:pPr>
      <w:r>
        <w:rPr>
          <w:rStyle w:val="16"/>
          <w:rFonts w:hint="eastAsia" w:ascii="宋体" w:hAnsi="宋体" w:cs="宋体"/>
          <w:color w:val="000000"/>
          <w:sz w:val="28"/>
          <w:szCs w:val="28"/>
        </w:rPr>
        <w:t>卫生健康支出210（类）1</w:t>
      </w:r>
      <w:r>
        <w:rPr>
          <w:rStyle w:val="16"/>
          <w:rFonts w:ascii="宋体" w:hAnsi="宋体" w:cs="宋体"/>
          <w:color w:val="000000"/>
          <w:sz w:val="28"/>
          <w:szCs w:val="28"/>
        </w:rPr>
        <w:t>1</w:t>
      </w:r>
      <w:r>
        <w:rPr>
          <w:rStyle w:val="16"/>
          <w:rFonts w:hint="eastAsia" w:ascii="宋体" w:hAnsi="宋体" w:cs="宋体"/>
          <w:color w:val="000000"/>
          <w:sz w:val="28"/>
          <w:szCs w:val="28"/>
        </w:rPr>
        <w:t>（款）03（项）:</w:t>
      </w:r>
      <w:r>
        <w:rPr>
          <w:rStyle w:val="16"/>
          <w:rFonts w:hint="eastAsia" w:ascii="宋体" w:hAnsi="宋体" w:cs="宋体"/>
          <w:b w:val="0"/>
          <w:bCs/>
          <w:color w:val="000000"/>
          <w:sz w:val="28"/>
          <w:szCs w:val="28"/>
        </w:rPr>
        <w:t>公务员医疗补助支</w:t>
      </w:r>
      <w:r>
        <w:rPr>
          <w:rStyle w:val="16"/>
          <w:rFonts w:hint="eastAsia" w:ascii="宋体" w:hAnsi="宋体" w:cs="宋体"/>
          <w:b w:val="0"/>
          <w:color w:val="000000"/>
          <w:sz w:val="28"/>
          <w:szCs w:val="28"/>
        </w:rPr>
        <w:t>出决算为</w:t>
      </w:r>
      <w:r>
        <w:rPr>
          <w:rStyle w:val="16"/>
          <w:rFonts w:ascii="宋体" w:hAnsi="宋体" w:cs="宋体"/>
          <w:b w:val="0"/>
          <w:color w:val="000000"/>
          <w:sz w:val="28"/>
          <w:szCs w:val="28"/>
        </w:rPr>
        <w:t>0.43</w:t>
      </w:r>
      <w:r>
        <w:rPr>
          <w:rStyle w:val="16"/>
          <w:rFonts w:hint="eastAsia" w:ascii="宋体" w:hAnsi="宋体" w:cs="宋体"/>
          <w:b w:val="0"/>
          <w:color w:val="000000"/>
          <w:sz w:val="28"/>
          <w:szCs w:val="28"/>
        </w:rPr>
        <w:t>万元，完成预算1</w:t>
      </w:r>
      <w:r>
        <w:rPr>
          <w:rStyle w:val="16"/>
          <w:rFonts w:ascii="宋体" w:hAnsi="宋体" w:cs="宋体"/>
          <w:b w:val="0"/>
          <w:color w:val="000000"/>
          <w:sz w:val="28"/>
          <w:szCs w:val="28"/>
        </w:rPr>
        <w:t>00</w:t>
      </w:r>
      <w:r>
        <w:rPr>
          <w:rStyle w:val="16"/>
          <w:rFonts w:hint="eastAsia" w:ascii="宋体" w:hAnsi="宋体" w:cs="宋体"/>
          <w:b w:val="0"/>
          <w:color w:val="000000"/>
          <w:sz w:val="28"/>
          <w:szCs w:val="28"/>
        </w:rPr>
        <w:t>%，</w:t>
      </w:r>
      <w:r>
        <w:rPr>
          <w:rStyle w:val="16"/>
          <w:rFonts w:ascii="宋体" w:hAnsi="宋体" w:cs="宋体"/>
          <w:b w:val="0"/>
          <w:color w:val="000000"/>
          <w:sz w:val="28"/>
          <w:szCs w:val="28"/>
        </w:rPr>
        <w:t>决算数等于预算数</w:t>
      </w:r>
      <w:r>
        <w:rPr>
          <w:rStyle w:val="16"/>
          <w:rFonts w:hint="eastAsia" w:ascii="宋体" w:hAnsi="宋体" w:cs="宋体"/>
          <w:b w:val="0"/>
          <w:color w:val="000000"/>
          <w:sz w:val="28"/>
          <w:szCs w:val="28"/>
        </w:rPr>
        <w:t>。</w:t>
      </w:r>
    </w:p>
    <w:p>
      <w:pPr>
        <w:spacing w:line="600" w:lineRule="exact"/>
        <w:ind w:firstLine="560" w:firstLineChars="200"/>
        <w:rPr>
          <w:rStyle w:val="16"/>
          <w:rFonts w:ascii="宋体" w:hAnsi="宋体" w:cs="宋体"/>
          <w:b w:val="0"/>
          <w:color w:val="000000"/>
          <w:sz w:val="28"/>
          <w:szCs w:val="28"/>
        </w:rPr>
      </w:pPr>
      <w:r>
        <w:rPr>
          <w:rStyle w:val="16"/>
          <w:rFonts w:hint="eastAsia" w:ascii="新宋体" w:hAnsi="新宋体" w:eastAsia="新宋体"/>
          <w:b w:val="0"/>
          <w:color w:val="000000"/>
          <w:sz w:val="28"/>
          <w:szCs w:val="28"/>
        </w:rPr>
        <w:t xml:space="preserve"> </w:t>
      </w:r>
      <w:r>
        <w:rPr>
          <w:rStyle w:val="16"/>
          <w:rFonts w:ascii="新宋体" w:hAnsi="新宋体" w:eastAsia="新宋体"/>
          <w:b w:val="0"/>
          <w:color w:val="000000"/>
          <w:sz w:val="28"/>
          <w:szCs w:val="28"/>
        </w:rPr>
        <w:t xml:space="preserve">    住房保障支出</w:t>
      </w:r>
      <w:r>
        <w:rPr>
          <w:rStyle w:val="16"/>
          <w:rFonts w:hint="eastAsia" w:ascii="新宋体" w:hAnsi="新宋体" w:eastAsia="新宋体"/>
          <w:b w:val="0"/>
          <w:color w:val="000000"/>
          <w:sz w:val="28"/>
          <w:szCs w:val="28"/>
        </w:rPr>
        <w:t>2</w:t>
      </w:r>
      <w:r>
        <w:rPr>
          <w:rStyle w:val="16"/>
          <w:rFonts w:ascii="新宋体" w:hAnsi="新宋体" w:eastAsia="新宋体"/>
          <w:b w:val="0"/>
          <w:color w:val="000000"/>
          <w:sz w:val="28"/>
          <w:szCs w:val="28"/>
        </w:rPr>
        <w:t>21</w:t>
      </w:r>
      <w:r>
        <w:rPr>
          <w:rStyle w:val="16"/>
          <w:rFonts w:hint="eastAsia" w:ascii="新宋体" w:hAnsi="新宋体" w:eastAsia="新宋体"/>
          <w:b w:val="0"/>
          <w:color w:val="000000"/>
          <w:sz w:val="28"/>
          <w:szCs w:val="28"/>
        </w:rPr>
        <w:t>（类）0</w:t>
      </w:r>
      <w:r>
        <w:rPr>
          <w:rStyle w:val="16"/>
          <w:rFonts w:ascii="新宋体" w:hAnsi="新宋体" w:eastAsia="新宋体"/>
          <w:b w:val="0"/>
          <w:color w:val="000000"/>
          <w:sz w:val="28"/>
          <w:szCs w:val="28"/>
        </w:rPr>
        <w:t>2</w:t>
      </w:r>
      <w:r>
        <w:rPr>
          <w:rStyle w:val="16"/>
          <w:rFonts w:hint="eastAsia" w:ascii="新宋体" w:hAnsi="新宋体" w:eastAsia="新宋体"/>
          <w:b w:val="0"/>
          <w:color w:val="000000"/>
          <w:sz w:val="28"/>
          <w:szCs w:val="28"/>
        </w:rPr>
        <w:t>（款）0</w:t>
      </w:r>
      <w:r>
        <w:rPr>
          <w:rStyle w:val="16"/>
          <w:rFonts w:ascii="新宋体" w:hAnsi="新宋体" w:eastAsia="新宋体"/>
          <w:b w:val="0"/>
          <w:color w:val="000000"/>
          <w:sz w:val="28"/>
          <w:szCs w:val="28"/>
        </w:rPr>
        <w:t>1</w:t>
      </w:r>
      <w:r>
        <w:rPr>
          <w:rStyle w:val="16"/>
          <w:rFonts w:hint="eastAsia" w:ascii="新宋体" w:hAnsi="新宋体" w:eastAsia="新宋体"/>
          <w:b w:val="0"/>
          <w:color w:val="000000"/>
          <w:sz w:val="28"/>
          <w:szCs w:val="28"/>
        </w:rPr>
        <w:t>（项）：住房公积金支出决算为1</w:t>
      </w:r>
      <w:r>
        <w:rPr>
          <w:rStyle w:val="16"/>
          <w:rFonts w:ascii="新宋体" w:hAnsi="新宋体" w:eastAsia="新宋体"/>
          <w:b w:val="0"/>
          <w:color w:val="000000"/>
          <w:sz w:val="28"/>
          <w:szCs w:val="28"/>
        </w:rPr>
        <w:t>2.13万元</w:t>
      </w:r>
      <w:r>
        <w:rPr>
          <w:rStyle w:val="16"/>
          <w:rFonts w:hint="eastAsia" w:ascii="新宋体" w:hAnsi="新宋体" w:eastAsia="新宋体"/>
          <w:b w:val="0"/>
          <w:color w:val="000000"/>
          <w:sz w:val="28"/>
          <w:szCs w:val="28"/>
        </w:rPr>
        <w:t>，</w:t>
      </w:r>
      <w:r>
        <w:rPr>
          <w:rStyle w:val="16"/>
          <w:rFonts w:hint="eastAsia" w:ascii="宋体" w:hAnsi="宋体" w:cs="宋体"/>
          <w:b w:val="0"/>
          <w:color w:val="000000"/>
          <w:sz w:val="28"/>
          <w:szCs w:val="28"/>
        </w:rPr>
        <w:t>完成预算1</w:t>
      </w:r>
      <w:r>
        <w:rPr>
          <w:rStyle w:val="16"/>
          <w:rFonts w:ascii="宋体" w:hAnsi="宋体" w:cs="宋体"/>
          <w:b w:val="0"/>
          <w:color w:val="000000"/>
          <w:sz w:val="28"/>
          <w:szCs w:val="28"/>
        </w:rPr>
        <w:t>00</w:t>
      </w:r>
      <w:r>
        <w:rPr>
          <w:rStyle w:val="16"/>
          <w:rFonts w:hint="eastAsia" w:ascii="宋体" w:hAnsi="宋体" w:cs="宋体"/>
          <w:b w:val="0"/>
          <w:color w:val="000000"/>
          <w:sz w:val="28"/>
          <w:szCs w:val="28"/>
        </w:rPr>
        <w:t>%，</w:t>
      </w:r>
      <w:r>
        <w:rPr>
          <w:rStyle w:val="16"/>
          <w:rFonts w:ascii="宋体" w:hAnsi="宋体" w:cs="宋体"/>
          <w:b w:val="0"/>
          <w:color w:val="000000"/>
          <w:sz w:val="28"/>
          <w:szCs w:val="28"/>
        </w:rPr>
        <w:t>决算数等于预算数</w:t>
      </w:r>
      <w:r>
        <w:rPr>
          <w:rStyle w:val="16"/>
          <w:rFonts w:hint="eastAsia" w:ascii="宋体" w:hAnsi="宋体" w:cs="宋体"/>
          <w:b w:val="0"/>
          <w:color w:val="000000"/>
          <w:sz w:val="28"/>
          <w:szCs w:val="28"/>
        </w:rPr>
        <w:t>。</w:t>
      </w:r>
    </w:p>
    <w:p>
      <w:pPr>
        <w:wordWrap w:val="0"/>
        <w:spacing w:line="600" w:lineRule="exact"/>
        <w:rPr>
          <w:rFonts w:hint="eastAsia" w:ascii="新宋体" w:hAnsi="新宋体" w:eastAsia="新宋体"/>
          <w:color w:val="000000"/>
          <w:sz w:val="28"/>
          <w:szCs w:val="28"/>
        </w:rPr>
      </w:pPr>
      <w:r>
        <w:rPr>
          <w:rStyle w:val="16"/>
          <w:rFonts w:hint="eastAsia" w:ascii="新宋体" w:hAnsi="新宋体" w:eastAsia="新宋体"/>
          <w:b w:val="0"/>
          <w:color w:val="000000"/>
          <w:sz w:val="28"/>
          <w:szCs w:val="28"/>
        </w:rPr>
        <w:t>。</w:t>
      </w:r>
    </w:p>
    <w:p>
      <w:pPr>
        <w:spacing w:line="600" w:lineRule="exact"/>
        <w:ind w:firstLine="643" w:firstLineChars="200"/>
        <w:rPr>
          <w:rFonts w:ascii="仿宋" w:hAnsi="仿宋" w:eastAsia="仿宋"/>
          <w:b/>
          <w:sz w:val="32"/>
          <w:szCs w:val="32"/>
        </w:rPr>
      </w:pPr>
      <w:r>
        <w:rPr>
          <w:rFonts w:hint="eastAsia" w:ascii="仿宋" w:hAnsi="仿宋" w:eastAsia="仿宋"/>
          <w:b/>
          <w:sz w:val="32"/>
          <w:szCs w:val="32"/>
        </w:rPr>
        <w:t>（注：数据来源于财决</w:t>
      </w:r>
      <w:r>
        <w:rPr>
          <w:rFonts w:ascii="仿宋" w:hAnsi="仿宋" w:eastAsia="仿宋"/>
          <w:b/>
          <w:sz w:val="32"/>
          <w:szCs w:val="32"/>
        </w:rPr>
        <w:t>Z01-1</w:t>
      </w:r>
      <w:r>
        <w:rPr>
          <w:rFonts w:hint="eastAsia" w:ascii="仿宋" w:hAnsi="仿宋" w:eastAsia="仿宋"/>
          <w:b/>
          <w:sz w:val="32"/>
          <w:szCs w:val="32"/>
        </w:rPr>
        <w:t>表，罗列全部功能分类科目至项级。上述“预算”口径为调整预算数。增减变动原因为决算数</w:t>
      </w:r>
      <w:r>
        <w:rPr>
          <w:rFonts w:ascii="仿宋" w:hAnsi="仿宋" w:eastAsia="仿宋"/>
          <w:b/>
          <w:sz w:val="32"/>
          <w:szCs w:val="32"/>
        </w:rPr>
        <w:t>&lt;</w:t>
      </w:r>
      <w:r>
        <w:rPr>
          <w:rFonts w:hint="eastAsia" w:ascii="仿宋" w:hAnsi="仿宋" w:eastAsia="仿宋"/>
          <w:b/>
          <w:sz w:val="32"/>
          <w:szCs w:val="32"/>
        </w:rPr>
        <w:t>项级</w:t>
      </w:r>
      <w:r>
        <w:rPr>
          <w:rFonts w:ascii="仿宋" w:hAnsi="仿宋" w:eastAsia="仿宋"/>
          <w:b/>
          <w:sz w:val="32"/>
          <w:szCs w:val="32"/>
        </w:rPr>
        <w:t>&gt;</w:t>
      </w:r>
      <w:r>
        <w:rPr>
          <w:rFonts w:hint="eastAsia" w:ascii="仿宋" w:hAnsi="仿宋" w:eastAsia="仿宋"/>
          <w:b/>
          <w:sz w:val="32"/>
          <w:szCs w:val="32"/>
        </w:rPr>
        <w:t>和调整预算数</w:t>
      </w:r>
      <w:r>
        <w:rPr>
          <w:rFonts w:ascii="仿宋" w:hAnsi="仿宋" w:eastAsia="仿宋"/>
          <w:b/>
          <w:sz w:val="32"/>
          <w:szCs w:val="32"/>
        </w:rPr>
        <w:t>&lt;</w:t>
      </w:r>
      <w:r>
        <w:rPr>
          <w:rFonts w:hint="eastAsia" w:ascii="仿宋" w:hAnsi="仿宋" w:eastAsia="仿宋"/>
          <w:b/>
          <w:sz w:val="32"/>
          <w:szCs w:val="32"/>
        </w:rPr>
        <w:t>项级</w:t>
      </w:r>
      <w:r>
        <w:rPr>
          <w:rFonts w:ascii="仿宋" w:hAnsi="仿宋" w:eastAsia="仿宋"/>
          <w:b/>
          <w:sz w:val="32"/>
          <w:szCs w:val="32"/>
        </w:rPr>
        <w:t>&gt;</w:t>
      </w:r>
      <w:r>
        <w:rPr>
          <w:rFonts w:hint="eastAsia" w:ascii="仿宋" w:hAnsi="仿宋" w:eastAsia="仿宋"/>
          <w:b/>
          <w:sz w:val="32"/>
          <w:szCs w:val="32"/>
        </w:rPr>
        <w:t>比较，与预算数持平可以不写原因。）</w:t>
      </w:r>
    </w:p>
    <w:p>
      <w:pPr>
        <w:spacing w:line="600" w:lineRule="exact"/>
        <w:ind w:firstLine="640"/>
        <w:rPr>
          <w:rFonts w:ascii="仿宋" w:hAnsi="仿宋" w:eastAsia="仿宋"/>
          <w:b/>
          <w:color w:val="000000"/>
          <w:sz w:val="32"/>
          <w:szCs w:val="32"/>
        </w:rPr>
      </w:pPr>
    </w:p>
    <w:p>
      <w:pPr>
        <w:tabs>
          <w:tab w:val="right" w:pos="8306"/>
        </w:tabs>
        <w:spacing w:line="600" w:lineRule="exact"/>
        <w:ind w:firstLine="640"/>
        <w:outlineLvl w:val="1"/>
        <w:rPr>
          <w:rStyle w:val="28"/>
        </w:rPr>
      </w:pPr>
      <w:bookmarkStart w:id="32" w:name="_Toc15396608"/>
      <w:bookmarkStart w:id="33" w:name="_Toc15377214"/>
      <w:r>
        <w:rPr>
          <w:rFonts w:hint="eastAsia" w:ascii="黑体" w:eastAsia="黑体"/>
          <w:color w:val="000000"/>
          <w:sz w:val="32"/>
          <w:szCs w:val="32"/>
        </w:rPr>
        <w:t>六</w:t>
      </w:r>
      <w:r>
        <w:rPr>
          <w:rFonts w:hint="eastAsia" w:ascii="黑体" w:eastAsia="黑体"/>
          <w:b/>
          <w:color w:val="000000"/>
          <w:sz w:val="32"/>
          <w:szCs w:val="32"/>
        </w:rPr>
        <w:t>、</w:t>
      </w:r>
      <w:r>
        <w:rPr>
          <w:rFonts w:hint="eastAsia" w:ascii="黑体" w:hAnsi="黑体" w:eastAsia="黑体"/>
          <w:b/>
          <w:color w:val="000000"/>
          <w:sz w:val="32"/>
          <w:szCs w:val="32"/>
        </w:rPr>
        <w:t>一</w:t>
      </w:r>
      <w:r>
        <w:rPr>
          <w:rStyle w:val="28"/>
          <w:rFonts w:hint="eastAsia" w:ascii="黑体" w:hAnsi="黑体" w:eastAsia="黑体"/>
          <w:b w:val="0"/>
        </w:rPr>
        <w:t>般公共预算财政拨款基本支出决算情况说明</w:t>
      </w:r>
      <w:bookmarkEnd w:id="32"/>
      <w:bookmarkEnd w:id="33"/>
      <w:r>
        <w:rPr>
          <w:rStyle w:val="28"/>
          <w:rFonts w:ascii="黑体" w:hAnsi="黑体" w:eastAsia="黑体"/>
          <w:b w:val="0"/>
        </w:rPr>
        <w:tab/>
      </w:r>
    </w:p>
    <w:p>
      <w:pPr>
        <w:spacing w:line="600" w:lineRule="exact"/>
        <w:ind w:firstLine="645"/>
        <w:rPr>
          <w:rFonts w:ascii="仿宋" w:hAnsi="仿宋" w:eastAsia="仿宋"/>
          <w:color w:val="000000"/>
          <w:sz w:val="32"/>
          <w:szCs w:val="32"/>
        </w:rPr>
      </w:pPr>
      <w:r>
        <w:rPr>
          <w:rFonts w:ascii="仿宋" w:hAnsi="仿宋" w:eastAsia="仿宋"/>
          <w:color w:val="000000"/>
          <w:sz w:val="32"/>
          <w:szCs w:val="32"/>
        </w:rPr>
        <w:t>201</w:t>
      </w:r>
      <w:r>
        <w:rPr>
          <w:rFonts w:hint="eastAsia" w:ascii="仿宋" w:hAnsi="仿宋" w:eastAsia="仿宋"/>
          <w:color w:val="000000"/>
          <w:sz w:val="32"/>
          <w:szCs w:val="32"/>
        </w:rPr>
        <w:t>9年一般公共预算财政拨款基本支出</w:t>
      </w:r>
      <w:r>
        <w:rPr>
          <w:rFonts w:ascii="仿宋" w:hAnsi="仿宋" w:eastAsia="仿宋"/>
          <w:color w:val="000000"/>
          <w:sz w:val="32"/>
          <w:szCs w:val="32"/>
        </w:rPr>
        <w:t>269.62</w:t>
      </w:r>
      <w:r>
        <w:rPr>
          <w:rFonts w:hint="eastAsia" w:ascii="仿宋" w:hAnsi="仿宋" w:eastAsia="仿宋"/>
          <w:color w:val="000000"/>
          <w:sz w:val="32"/>
          <w:szCs w:val="32"/>
        </w:rPr>
        <w:t>万元，其中：</w:t>
      </w:r>
    </w:p>
    <w:p>
      <w:pPr>
        <w:spacing w:line="600" w:lineRule="exact"/>
        <w:ind w:firstLine="645"/>
        <w:rPr>
          <w:rFonts w:ascii="仿宋" w:hAnsi="仿宋" w:eastAsia="仿宋"/>
          <w:color w:val="000000"/>
          <w:sz w:val="32"/>
          <w:szCs w:val="32"/>
        </w:rPr>
      </w:pPr>
      <w:r>
        <w:rPr>
          <w:rFonts w:hint="eastAsia" w:ascii="仿宋" w:hAnsi="仿宋" w:eastAsia="仿宋"/>
          <w:color w:val="000000"/>
          <w:sz w:val="32"/>
          <w:szCs w:val="32"/>
        </w:rPr>
        <w:t>人员经费2</w:t>
      </w:r>
      <w:r>
        <w:rPr>
          <w:rFonts w:ascii="仿宋" w:hAnsi="仿宋" w:eastAsia="仿宋"/>
          <w:color w:val="000000"/>
          <w:sz w:val="32"/>
          <w:szCs w:val="32"/>
        </w:rPr>
        <w:t>48.36</w:t>
      </w:r>
      <w:r>
        <w:rPr>
          <w:rFonts w:hint="eastAsia" w:ascii="仿宋" w:hAnsi="仿宋" w:eastAsia="仿宋"/>
          <w:color w:val="000000"/>
          <w:sz w:val="32"/>
          <w:szCs w:val="32"/>
        </w:rPr>
        <w:t>万元，主要包括：基本工资、津贴补贴、奖金、伙食补助费、绩效工资、机关事业单位基本养老保险缴费、职业年金缴费、其他社会保障缴费、其他工资福利支出、离休费、退休费、抚恤金、生活补助、医疗费补助、奖励金、住房公积金、其他对个人和家庭的补助支出等。</w:t>
      </w:r>
      <w:r>
        <w:rPr>
          <w:rFonts w:ascii="仿宋" w:hAnsi="仿宋" w:eastAsia="仿宋"/>
          <w:color w:val="000000"/>
          <w:sz w:val="32"/>
          <w:szCs w:val="32"/>
        </w:rPr>
        <w:br w:type="textWrapping"/>
      </w:r>
      <w:r>
        <w:rPr>
          <w:rFonts w:hint="eastAsia" w:ascii="仿宋" w:hAnsi="仿宋" w:eastAsia="仿宋"/>
          <w:color w:val="000000"/>
          <w:sz w:val="32"/>
          <w:szCs w:val="32"/>
        </w:rPr>
        <w:t>　　日常公用经费</w:t>
      </w:r>
      <w:r>
        <w:rPr>
          <w:rFonts w:ascii="仿宋" w:hAnsi="仿宋" w:eastAsia="仿宋"/>
          <w:color w:val="000000"/>
          <w:sz w:val="32"/>
          <w:szCs w:val="32"/>
        </w:rPr>
        <w:t>21.26</w:t>
      </w:r>
      <w:r>
        <w:rPr>
          <w:rFonts w:hint="eastAsia" w:ascii="仿宋" w:hAnsi="仿宋" w:eastAsia="仿宋"/>
          <w:color w:val="000000"/>
          <w:sz w:val="32"/>
          <w:szCs w:val="32"/>
        </w:rPr>
        <w:t>万元，主要包括：办公费、印刷费、咨询费、手续费、水费、电费、邮电费、取暖费、物业管理费、差旅费、因公出国（境）费用、维修（护）费、租赁费、会议费、培训费、公务接待费、劳务费、委托业务费、工会经费、福利费、公务用车运行维护费、其他交通费、税金及附加费用、其他商品和服务支出、办公设备购置、专用设备购置、信息网络及软件购置更新、其他资本性支出等。</w:t>
      </w:r>
    </w:p>
    <w:p>
      <w:pPr>
        <w:spacing w:line="600" w:lineRule="exact"/>
        <w:ind w:firstLine="640"/>
        <w:outlineLvl w:val="1"/>
        <w:rPr>
          <w:rStyle w:val="28"/>
          <w:rFonts w:ascii="黑体" w:hAnsi="黑体" w:eastAsia="黑体"/>
          <w:b w:val="0"/>
        </w:rPr>
      </w:pPr>
      <w:bookmarkStart w:id="34" w:name="_Toc15396609"/>
      <w:bookmarkStart w:id="35" w:name="_Toc15377215"/>
      <w:r>
        <w:rPr>
          <w:rFonts w:hint="eastAsia" w:ascii="黑体" w:eastAsia="黑体"/>
          <w:color w:val="000000"/>
          <w:sz w:val="32"/>
          <w:szCs w:val="32"/>
        </w:rPr>
        <w:t>七、</w:t>
      </w:r>
      <w:r>
        <w:rPr>
          <w:rStyle w:val="28"/>
          <w:rFonts w:hint="eastAsia" w:ascii="黑体" w:hAnsi="黑体" w:eastAsia="黑体"/>
        </w:rPr>
        <w:t>“</w:t>
      </w:r>
      <w:r>
        <w:rPr>
          <w:rStyle w:val="28"/>
          <w:rFonts w:hint="eastAsia" w:ascii="黑体" w:hAnsi="黑体" w:eastAsia="黑体"/>
          <w:b w:val="0"/>
        </w:rPr>
        <w:t>三公”经费财政拨款支出决算情况说明</w:t>
      </w:r>
      <w:bookmarkEnd w:id="34"/>
      <w:bookmarkEnd w:id="35"/>
    </w:p>
    <w:p>
      <w:pPr>
        <w:spacing w:line="600" w:lineRule="exact"/>
        <w:ind w:firstLine="640"/>
        <w:outlineLvl w:val="2"/>
        <w:rPr>
          <w:rFonts w:ascii="仿宋" w:hAnsi="仿宋" w:eastAsia="仿宋"/>
          <w:b/>
          <w:color w:val="000000"/>
          <w:sz w:val="32"/>
          <w:szCs w:val="32"/>
        </w:rPr>
      </w:pPr>
      <w:bookmarkStart w:id="36" w:name="_Toc15377216"/>
      <w:r>
        <w:rPr>
          <w:rFonts w:hint="eastAsia" w:ascii="仿宋" w:hAnsi="仿宋" w:eastAsia="仿宋"/>
          <w:b/>
          <w:color w:val="000000"/>
          <w:sz w:val="32"/>
          <w:szCs w:val="32"/>
        </w:rPr>
        <w:t>（一）“三公”经费财政拨款支出决算总体情况说明</w:t>
      </w:r>
      <w:bookmarkEnd w:id="36"/>
    </w:p>
    <w:p>
      <w:pPr>
        <w:spacing w:line="600" w:lineRule="exact"/>
        <w:ind w:firstLine="640"/>
        <w:rPr>
          <w:rFonts w:ascii="仿宋" w:hAnsi="仿宋" w:eastAsia="仿宋"/>
          <w:color w:val="000000"/>
          <w:sz w:val="32"/>
          <w:szCs w:val="32"/>
        </w:rPr>
      </w:pPr>
      <w:r>
        <w:rPr>
          <w:rFonts w:ascii="仿宋" w:hAnsi="仿宋" w:eastAsia="仿宋"/>
          <w:color w:val="000000"/>
          <w:sz w:val="32"/>
          <w:szCs w:val="32"/>
        </w:rPr>
        <w:t>201</w:t>
      </w:r>
      <w:r>
        <w:rPr>
          <w:rFonts w:hint="eastAsia" w:ascii="仿宋" w:hAnsi="仿宋" w:eastAsia="仿宋"/>
          <w:color w:val="000000"/>
          <w:sz w:val="32"/>
          <w:szCs w:val="32"/>
        </w:rPr>
        <w:t>9年“三公”经费财政拨款支出决算为</w:t>
      </w:r>
      <w:r>
        <w:rPr>
          <w:rFonts w:ascii="仿宋" w:hAnsi="仿宋" w:eastAsia="仿宋"/>
          <w:color w:val="000000"/>
          <w:sz w:val="32"/>
          <w:szCs w:val="32"/>
        </w:rPr>
        <w:t>2.69</w:t>
      </w:r>
      <w:r>
        <w:rPr>
          <w:rFonts w:hint="eastAsia" w:ascii="仿宋" w:hAnsi="仿宋" w:eastAsia="仿宋"/>
          <w:color w:val="000000"/>
          <w:sz w:val="32"/>
          <w:szCs w:val="32"/>
        </w:rPr>
        <w:t>万元，完成预算</w:t>
      </w:r>
      <w:r>
        <w:rPr>
          <w:rFonts w:ascii="仿宋" w:hAnsi="仿宋" w:eastAsia="仿宋"/>
          <w:color w:val="000000"/>
          <w:sz w:val="32"/>
          <w:szCs w:val="32"/>
        </w:rPr>
        <w:t>100%</w:t>
      </w:r>
      <w:r>
        <w:rPr>
          <w:rFonts w:hint="eastAsia" w:ascii="仿宋" w:hAnsi="仿宋" w:eastAsia="仿宋"/>
          <w:color w:val="000000"/>
          <w:sz w:val="32"/>
          <w:szCs w:val="32"/>
        </w:rPr>
        <w:t>，决算数与预算数持平。</w:t>
      </w:r>
    </w:p>
    <w:p>
      <w:pPr>
        <w:spacing w:line="600" w:lineRule="exact"/>
        <w:ind w:firstLine="640"/>
        <w:rPr>
          <w:rFonts w:ascii="仿宋" w:hAnsi="仿宋" w:eastAsia="仿宋"/>
          <w:b/>
          <w:color w:val="FF0000"/>
          <w:sz w:val="32"/>
          <w:szCs w:val="32"/>
        </w:rPr>
      </w:pPr>
      <w:r>
        <w:rPr>
          <w:rFonts w:hint="eastAsia" w:ascii="仿宋" w:hAnsi="仿宋" w:eastAsia="仿宋"/>
          <w:b/>
          <w:color w:val="FF0000"/>
          <w:sz w:val="32"/>
          <w:szCs w:val="32"/>
        </w:rPr>
        <w:t>（注：上述“预算”口径为调整预算数，包括政府性基金支出决算情况。）</w:t>
      </w:r>
    </w:p>
    <w:p>
      <w:pPr>
        <w:spacing w:line="600" w:lineRule="exact"/>
        <w:ind w:firstLine="640"/>
        <w:outlineLvl w:val="2"/>
        <w:rPr>
          <w:rFonts w:ascii="仿宋" w:hAnsi="仿宋" w:eastAsia="仿宋"/>
          <w:b/>
          <w:color w:val="000000"/>
          <w:sz w:val="32"/>
          <w:szCs w:val="32"/>
        </w:rPr>
      </w:pPr>
      <w:bookmarkStart w:id="37" w:name="_Toc15377217"/>
      <w:r>
        <w:rPr>
          <w:rFonts w:hint="eastAsia" w:ascii="仿宋" w:hAnsi="仿宋" w:eastAsia="仿宋"/>
          <w:b/>
          <w:color w:val="000000"/>
          <w:sz w:val="32"/>
          <w:szCs w:val="32"/>
        </w:rPr>
        <w:t>（二）“三公”经费财政拨款支出决算具体情况说明</w:t>
      </w:r>
      <w:bookmarkEnd w:id="37"/>
    </w:p>
    <w:p>
      <w:pPr>
        <w:spacing w:line="600" w:lineRule="exact"/>
        <w:ind w:firstLine="640"/>
        <w:rPr>
          <w:rFonts w:ascii="仿宋" w:hAnsi="仿宋" w:eastAsia="仿宋"/>
          <w:color w:val="000000"/>
          <w:sz w:val="32"/>
          <w:szCs w:val="32"/>
        </w:rPr>
      </w:pPr>
      <w:r>
        <w:rPr>
          <w:rFonts w:hint="eastAsia" w:ascii="仿宋" w:hAnsi="仿宋" w:eastAsia="仿宋"/>
          <w:color w:val="000000"/>
          <w:sz w:val="32"/>
          <w:szCs w:val="32"/>
        </w:rPr>
        <w:pict>
          <v:shape id="_x0000_s1034" o:spid="_x0000_s1034" o:spt="75" type="#_x0000_t75" style="position:absolute;left:0pt;margin-left:35.35pt;margin-top:146.5pt;height:191.3pt;width:304.8pt;mso-wrap-distance-bottom:0pt;mso-wrap-distance-top:0pt;z-index:251664384;mso-width-relative:page;mso-height-relative:page;" o:ole="t" filled="f" o:preferrelative="t" stroked="f" coordsize="21600,21600">
            <v:path/>
            <v:fill on="f" focussize="0,0"/>
            <v:stroke on="f" joinstyle="miter"/>
            <v:imagedata r:id="rId14" o:title=""/>
            <o:lock v:ext="edit" aspectratio="t"/>
            <w10:wrap type="topAndBottom"/>
          </v:shape>
          <o:OLEObject Type="Embed" ProgID="Excel.Chart.8" ShapeID="_x0000_s1034" DrawAspect="Content" ObjectID="_1468075726" r:id="rId13">
            <o:LockedField>false</o:LockedField>
          </o:OLEObject>
        </w:pict>
      </w:r>
      <w:r>
        <w:rPr>
          <w:rFonts w:ascii="仿宋" w:hAnsi="仿宋" w:eastAsia="仿宋"/>
          <w:color w:val="000000"/>
          <w:sz w:val="32"/>
          <w:szCs w:val="32"/>
        </w:rPr>
        <w:t>201</w:t>
      </w:r>
      <w:r>
        <w:rPr>
          <w:rFonts w:hint="eastAsia" w:ascii="仿宋" w:hAnsi="仿宋" w:eastAsia="仿宋"/>
          <w:color w:val="000000"/>
          <w:sz w:val="32"/>
          <w:szCs w:val="32"/>
        </w:rPr>
        <w:t>9年“三公”经费财政拨款支出决算中，因公出国（境）费支出决算</w:t>
      </w:r>
      <w:r>
        <w:rPr>
          <w:rFonts w:ascii="仿宋" w:hAnsi="仿宋" w:eastAsia="仿宋"/>
          <w:color w:val="000000"/>
          <w:sz w:val="32"/>
          <w:szCs w:val="32"/>
        </w:rPr>
        <w:t>0</w:t>
      </w:r>
      <w:r>
        <w:rPr>
          <w:rFonts w:hint="eastAsia" w:ascii="仿宋" w:hAnsi="仿宋" w:eastAsia="仿宋"/>
          <w:color w:val="000000"/>
          <w:sz w:val="32"/>
          <w:szCs w:val="32"/>
        </w:rPr>
        <w:t>万元，占</w:t>
      </w:r>
      <w:r>
        <w:rPr>
          <w:rFonts w:ascii="仿宋" w:hAnsi="仿宋" w:eastAsia="仿宋"/>
          <w:color w:val="000000"/>
          <w:sz w:val="32"/>
          <w:szCs w:val="32"/>
        </w:rPr>
        <w:t>0%</w:t>
      </w:r>
      <w:r>
        <w:rPr>
          <w:rFonts w:hint="eastAsia" w:ascii="仿宋" w:hAnsi="仿宋" w:eastAsia="仿宋"/>
          <w:color w:val="000000"/>
          <w:sz w:val="32"/>
          <w:szCs w:val="32"/>
        </w:rPr>
        <w:t>；公务用车购置及运行维护费支出决算</w:t>
      </w:r>
      <w:r>
        <w:rPr>
          <w:rFonts w:ascii="仿宋" w:hAnsi="仿宋" w:eastAsia="仿宋"/>
          <w:color w:val="000000"/>
          <w:sz w:val="32"/>
          <w:szCs w:val="32"/>
        </w:rPr>
        <w:t>2.50</w:t>
      </w:r>
      <w:r>
        <w:rPr>
          <w:rFonts w:hint="eastAsia" w:ascii="仿宋" w:hAnsi="仿宋" w:eastAsia="仿宋"/>
          <w:color w:val="000000"/>
          <w:sz w:val="32"/>
          <w:szCs w:val="32"/>
        </w:rPr>
        <w:t>万元，占</w:t>
      </w:r>
      <w:r>
        <w:rPr>
          <w:rFonts w:ascii="仿宋" w:hAnsi="仿宋" w:eastAsia="仿宋"/>
          <w:color w:val="000000"/>
          <w:sz w:val="32"/>
          <w:szCs w:val="32"/>
        </w:rPr>
        <w:t>92.94%</w:t>
      </w:r>
      <w:r>
        <w:rPr>
          <w:rFonts w:hint="eastAsia" w:ascii="仿宋" w:hAnsi="仿宋" w:eastAsia="仿宋"/>
          <w:color w:val="000000"/>
          <w:sz w:val="32"/>
          <w:szCs w:val="32"/>
        </w:rPr>
        <w:t>；公务接待费支出决算</w:t>
      </w:r>
      <w:r>
        <w:rPr>
          <w:rFonts w:ascii="仿宋" w:hAnsi="仿宋" w:eastAsia="仿宋"/>
          <w:color w:val="000000"/>
          <w:sz w:val="32"/>
          <w:szCs w:val="32"/>
        </w:rPr>
        <w:t>0.19</w:t>
      </w:r>
      <w:r>
        <w:rPr>
          <w:rFonts w:hint="eastAsia" w:ascii="仿宋" w:hAnsi="仿宋" w:eastAsia="仿宋"/>
          <w:color w:val="000000"/>
          <w:sz w:val="32"/>
          <w:szCs w:val="32"/>
        </w:rPr>
        <w:t>万元，占</w:t>
      </w:r>
      <w:r>
        <w:rPr>
          <w:rFonts w:ascii="仿宋" w:hAnsi="仿宋" w:eastAsia="仿宋"/>
          <w:color w:val="000000"/>
          <w:sz w:val="32"/>
          <w:szCs w:val="32"/>
        </w:rPr>
        <w:t>7.06%</w:t>
      </w:r>
      <w:r>
        <w:rPr>
          <w:rFonts w:hint="eastAsia" w:ascii="仿宋" w:hAnsi="仿宋" w:eastAsia="仿宋"/>
          <w:color w:val="000000"/>
          <w:sz w:val="32"/>
          <w:szCs w:val="32"/>
        </w:rPr>
        <w:t>。具体情况如下：</w:t>
      </w:r>
    </w:p>
    <w:p>
      <w:pPr>
        <w:spacing w:line="600" w:lineRule="exact"/>
        <w:ind w:firstLine="640"/>
        <w:rPr>
          <w:rFonts w:ascii="仿宋" w:hAnsi="仿宋" w:eastAsia="仿宋"/>
          <w:color w:val="000000"/>
          <w:sz w:val="32"/>
          <w:szCs w:val="32"/>
        </w:rPr>
      </w:pPr>
    </w:p>
    <w:p>
      <w:pPr>
        <w:tabs>
          <w:tab w:val="left" w:pos="4645"/>
        </w:tabs>
        <w:spacing w:line="600" w:lineRule="exact"/>
        <w:rPr>
          <w:rFonts w:hint="eastAsia" w:ascii="仿宋" w:hAnsi="仿宋" w:eastAsia="仿宋"/>
          <w:color w:val="000000"/>
          <w:sz w:val="32"/>
          <w:szCs w:val="32"/>
        </w:rPr>
      </w:pPr>
    </w:p>
    <w:p>
      <w:pPr>
        <w:spacing w:line="600" w:lineRule="exact"/>
        <w:ind w:firstLine="640"/>
        <w:rPr>
          <w:rFonts w:ascii="仿宋" w:hAnsi="仿宋" w:eastAsia="仿宋"/>
          <w:color w:val="000000"/>
          <w:sz w:val="32"/>
          <w:szCs w:val="32"/>
        </w:rPr>
      </w:pPr>
      <w:r>
        <w:rPr>
          <w:rFonts w:hint="eastAsia" w:ascii="仿宋" w:hAnsi="仿宋" w:eastAsia="仿宋"/>
          <w:color w:val="000000"/>
          <w:sz w:val="32"/>
          <w:szCs w:val="32"/>
        </w:rPr>
        <w:t>（图7：“三公”经费财政拨款支出结构）（饼状图）</w:t>
      </w:r>
    </w:p>
    <w:p>
      <w:pPr>
        <w:spacing w:line="600" w:lineRule="exact"/>
        <w:ind w:firstLine="640"/>
        <w:rPr>
          <w:rFonts w:hint="default" w:ascii="仿宋_GB2312" w:eastAsia="仿宋"/>
          <w:b/>
          <w:color w:val="000000"/>
          <w:sz w:val="32"/>
          <w:szCs w:val="32"/>
          <w:lang w:val="en-US" w:eastAsia="zh-CN"/>
        </w:rPr>
      </w:pPr>
      <w:r>
        <w:rPr>
          <w:rFonts w:ascii="仿宋_GB2312" w:eastAsia="仿宋_GB2312"/>
          <w:b/>
          <w:color w:val="000000"/>
          <w:sz w:val="32"/>
          <w:szCs w:val="32"/>
        </w:rPr>
        <w:t>1.</w:t>
      </w:r>
      <w:r>
        <w:rPr>
          <w:rFonts w:hint="eastAsia" w:ascii="仿宋" w:hAnsi="仿宋" w:eastAsia="仿宋"/>
          <w:color w:val="000000"/>
          <w:sz w:val="32"/>
          <w:szCs w:val="32"/>
        </w:rPr>
        <w:t>因公出国（境）费支出决算</w:t>
      </w:r>
      <w:r>
        <w:rPr>
          <w:rFonts w:ascii="仿宋" w:hAnsi="仿宋" w:eastAsia="仿宋"/>
          <w:color w:val="000000"/>
          <w:sz w:val="32"/>
          <w:szCs w:val="32"/>
        </w:rPr>
        <w:t>0</w:t>
      </w:r>
      <w:r>
        <w:rPr>
          <w:rFonts w:hint="eastAsia" w:ascii="仿宋" w:hAnsi="仿宋" w:eastAsia="仿宋"/>
          <w:color w:val="000000"/>
          <w:sz w:val="32"/>
          <w:szCs w:val="32"/>
        </w:rPr>
        <w:t>万元</w:t>
      </w:r>
      <w:r>
        <w:rPr>
          <w:rFonts w:hint="eastAsia" w:ascii="仿宋" w:hAnsi="仿宋" w:eastAsia="仿宋"/>
          <w:color w:val="000000"/>
          <w:sz w:val="32"/>
          <w:szCs w:val="32"/>
          <w:lang w:val="en-US" w:eastAsia="zh-CN"/>
        </w:rPr>
        <w:t>。因公出国（境）团组数及人数为0。</w:t>
      </w:r>
    </w:p>
    <w:p>
      <w:pPr>
        <w:spacing w:line="600" w:lineRule="exact"/>
        <w:ind w:firstLine="640"/>
        <w:rPr>
          <w:rFonts w:ascii="仿宋_GB2312" w:eastAsia="仿宋_GB2312"/>
          <w:b/>
          <w:color w:val="000000"/>
          <w:sz w:val="32"/>
          <w:szCs w:val="32"/>
        </w:rPr>
      </w:pPr>
      <w:r>
        <w:rPr>
          <w:rFonts w:ascii="仿宋_GB2312" w:eastAsia="仿宋_GB2312"/>
          <w:b/>
          <w:color w:val="000000"/>
          <w:sz w:val="32"/>
          <w:szCs w:val="32"/>
        </w:rPr>
        <w:t>1.</w:t>
      </w:r>
      <w:r>
        <w:rPr>
          <w:rFonts w:hint="eastAsia" w:ascii="仿宋_GB2312" w:eastAsia="仿宋_GB2312"/>
          <w:b/>
          <w:color w:val="000000"/>
          <w:sz w:val="32"/>
          <w:szCs w:val="32"/>
        </w:rPr>
        <w:t>公务用车运行维护费支出</w:t>
      </w:r>
      <w:r>
        <w:rPr>
          <w:rFonts w:ascii="仿宋_GB2312" w:eastAsia="仿宋_GB2312"/>
          <w:color w:val="000000"/>
          <w:sz w:val="32"/>
          <w:szCs w:val="32"/>
        </w:rPr>
        <w:t>2.50</w:t>
      </w:r>
      <w:r>
        <w:rPr>
          <w:rFonts w:hint="eastAsia" w:ascii="仿宋_GB2312" w:eastAsia="仿宋_GB2312"/>
          <w:color w:val="000000"/>
          <w:sz w:val="32"/>
          <w:szCs w:val="32"/>
        </w:rPr>
        <w:t>万元。主要用于日常</w:t>
      </w:r>
      <w:r>
        <w:rPr>
          <w:rFonts w:ascii="仿宋_GB2312" w:eastAsia="仿宋_GB2312"/>
          <w:color w:val="000000"/>
          <w:sz w:val="32"/>
          <w:szCs w:val="32"/>
        </w:rPr>
        <w:t>办理公务</w:t>
      </w:r>
      <w:r>
        <w:rPr>
          <w:rFonts w:hint="eastAsia" w:ascii="仿宋_GB2312" w:eastAsia="仿宋_GB2312"/>
          <w:color w:val="000000"/>
          <w:sz w:val="32"/>
          <w:szCs w:val="32"/>
        </w:rPr>
        <w:t>等所需的公务用车燃料费、维修费、过路过桥费、保险费等支出。</w:t>
      </w:r>
    </w:p>
    <w:p>
      <w:pPr>
        <w:spacing w:line="600" w:lineRule="exact"/>
        <w:ind w:firstLine="640"/>
        <w:rPr>
          <w:rFonts w:ascii="新宋体" w:hAnsi="新宋体" w:eastAsia="新宋体"/>
          <w:color w:val="000000"/>
          <w:sz w:val="28"/>
          <w:szCs w:val="28"/>
        </w:rPr>
      </w:pPr>
      <w:r>
        <w:rPr>
          <w:rFonts w:ascii="仿宋_GB2312" w:eastAsia="仿宋_GB2312"/>
          <w:b/>
          <w:color w:val="000000"/>
          <w:sz w:val="32"/>
          <w:szCs w:val="32"/>
        </w:rPr>
        <w:t>2.</w:t>
      </w:r>
      <w:r>
        <w:rPr>
          <w:rFonts w:hint="eastAsia" w:ascii="仿宋_GB2312" w:eastAsia="仿宋_GB2312"/>
          <w:b/>
          <w:color w:val="000000"/>
          <w:sz w:val="32"/>
          <w:szCs w:val="32"/>
        </w:rPr>
        <w:t>公务接待费支出</w:t>
      </w:r>
      <w:r>
        <w:rPr>
          <w:rFonts w:ascii="仿宋_GB2312" w:eastAsia="仿宋_GB2312"/>
          <w:color w:val="000000"/>
          <w:sz w:val="32"/>
          <w:szCs w:val="32"/>
        </w:rPr>
        <w:t>0.19</w:t>
      </w:r>
      <w:r>
        <w:rPr>
          <w:rFonts w:hint="eastAsia" w:ascii="仿宋_GB2312" w:eastAsia="仿宋_GB2312"/>
          <w:color w:val="000000"/>
          <w:sz w:val="32"/>
          <w:szCs w:val="32"/>
        </w:rPr>
        <w:t>万元，</w:t>
      </w:r>
      <w:r>
        <w:rPr>
          <w:rStyle w:val="16"/>
          <w:rFonts w:hint="eastAsia" w:ascii="仿宋" w:hAnsi="仿宋" w:eastAsia="仿宋"/>
          <w:b w:val="0"/>
          <w:bCs/>
          <w:color w:val="000000"/>
          <w:sz w:val="32"/>
          <w:szCs w:val="32"/>
        </w:rPr>
        <w:t>完成预算</w:t>
      </w:r>
      <w:r>
        <w:rPr>
          <w:rStyle w:val="16"/>
          <w:rFonts w:ascii="仿宋" w:hAnsi="仿宋" w:eastAsia="仿宋"/>
          <w:b w:val="0"/>
          <w:bCs/>
          <w:color w:val="000000"/>
          <w:sz w:val="32"/>
          <w:szCs w:val="32"/>
        </w:rPr>
        <w:t>100%</w:t>
      </w:r>
      <w:r>
        <w:rPr>
          <w:rStyle w:val="16"/>
          <w:rFonts w:hint="eastAsia" w:ascii="仿宋" w:hAnsi="仿宋" w:eastAsia="仿宋"/>
          <w:b w:val="0"/>
          <w:bCs/>
          <w:color w:val="000000"/>
          <w:sz w:val="32"/>
          <w:szCs w:val="32"/>
        </w:rPr>
        <w:t>。</w:t>
      </w:r>
      <w:r>
        <w:rPr>
          <w:rStyle w:val="16"/>
          <w:rFonts w:hint="eastAsia" w:ascii="仿宋" w:hAnsi="仿宋" w:eastAsia="仿宋"/>
          <w:b w:val="0"/>
          <w:bCs/>
          <w:color w:val="000000"/>
          <w:sz w:val="32"/>
          <w:szCs w:val="32"/>
          <w:lang w:val="en-US" w:eastAsia="zh-CN"/>
        </w:rPr>
        <w:t>国内公务接待批次为4次，接待人数共计32人。</w:t>
      </w:r>
      <w:bookmarkStart w:id="66" w:name="_GoBack"/>
      <w:bookmarkEnd w:id="66"/>
      <w:r>
        <w:rPr>
          <w:rFonts w:hint="eastAsia" w:ascii="仿宋_GB2312" w:eastAsia="仿宋_GB2312"/>
          <w:color w:val="000000"/>
          <w:sz w:val="32"/>
          <w:szCs w:val="32"/>
        </w:rPr>
        <w:t>公务接待费支出决算比</w:t>
      </w:r>
      <w:r>
        <w:rPr>
          <w:rFonts w:ascii="仿宋_GB2312" w:eastAsia="仿宋_GB2312"/>
          <w:color w:val="000000"/>
          <w:sz w:val="32"/>
          <w:szCs w:val="32"/>
        </w:rPr>
        <w:t>201</w:t>
      </w:r>
      <w:r>
        <w:rPr>
          <w:rFonts w:hint="eastAsia" w:ascii="仿宋_GB2312" w:eastAsia="仿宋_GB2312"/>
          <w:color w:val="000000"/>
          <w:sz w:val="32"/>
          <w:szCs w:val="32"/>
        </w:rPr>
        <w:t>8年减少</w:t>
      </w:r>
      <w:r>
        <w:rPr>
          <w:rFonts w:ascii="仿宋_GB2312" w:eastAsia="仿宋_GB2312"/>
          <w:color w:val="000000"/>
          <w:sz w:val="32"/>
          <w:szCs w:val="32"/>
        </w:rPr>
        <w:t>0.27</w:t>
      </w:r>
      <w:r>
        <w:rPr>
          <w:rFonts w:hint="eastAsia" w:ascii="仿宋_GB2312" w:eastAsia="仿宋_GB2312"/>
          <w:color w:val="000000"/>
          <w:sz w:val="32"/>
          <w:szCs w:val="32"/>
        </w:rPr>
        <w:t>万元，</w:t>
      </w:r>
      <w:bookmarkStart w:id="38" w:name="_Toc15396610"/>
      <w:bookmarkStart w:id="39" w:name="_Toc15377218"/>
      <w:r>
        <w:rPr>
          <w:rFonts w:hint="eastAsia" w:ascii="新宋体" w:hAnsi="新宋体" w:eastAsia="新宋体" w:cs="新宋体"/>
          <w:sz w:val="28"/>
          <w:szCs w:val="28"/>
        </w:rPr>
        <w:t>主要原因</w:t>
      </w:r>
      <w:r>
        <w:rPr>
          <w:rFonts w:hint="eastAsia" w:ascii="新宋体" w:hAnsi="新宋体" w:eastAsia="新宋体" w:cs="新宋体"/>
          <w:color w:val="000000"/>
          <w:sz w:val="28"/>
          <w:szCs w:val="28"/>
        </w:rPr>
        <w:t>是</w:t>
      </w:r>
      <w:r>
        <w:rPr>
          <w:rFonts w:ascii="新宋体" w:hAnsi="新宋体" w:eastAsia="新宋体"/>
          <w:color w:val="000000"/>
          <w:sz w:val="28"/>
          <w:szCs w:val="28"/>
        </w:rPr>
        <w:t>厉行节约，节省开支</w:t>
      </w:r>
      <w:r>
        <w:rPr>
          <w:rFonts w:hint="eastAsia" w:ascii="新宋体" w:hAnsi="新宋体" w:eastAsia="新宋体"/>
          <w:color w:val="000000"/>
          <w:sz w:val="28"/>
          <w:szCs w:val="28"/>
        </w:rPr>
        <w:t>。</w:t>
      </w:r>
    </w:p>
    <w:p>
      <w:pPr>
        <w:spacing w:line="600" w:lineRule="exact"/>
        <w:ind w:firstLine="640"/>
        <w:rPr>
          <w:rFonts w:hint="eastAsia" w:ascii="仿宋_GB2312" w:eastAsia="仿宋_GB2312"/>
          <w:color w:val="000000"/>
          <w:sz w:val="32"/>
          <w:szCs w:val="32"/>
        </w:rPr>
      </w:pPr>
    </w:p>
    <w:p>
      <w:pPr>
        <w:spacing w:line="600" w:lineRule="exact"/>
        <w:ind w:firstLine="640"/>
        <w:outlineLvl w:val="1"/>
        <w:rPr>
          <w:rStyle w:val="28"/>
          <w:rFonts w:ascii="黑体" w:hAnsi="黑体" w:eastAsia="黑体"/>
        </w:rPr>
      </w:pPr>
      <w:r>
        <w:rPr>
          <w:rFonts w:hint="eastAsia" w:ascii="黑体" w:eastAsia="黑体"/>
          <w:color w:val="000000"/>
          <w:sz w:val="32"/>
          <w:szCs w:val="32"/>
        </w:rPr>
        <w:t>八、</w:t>
      </w:r>
      <w:r>
        <w:rPr>
          <w:rStyle w:val="28"/>
          <w:rFonts w:hint="eastAsia" w:ascii="黑体" w:hAnsi="黑体" w:eastAsia="黑体"/>
          <w:b w:val="0"/>
        </w:rPr>
        <w:t>政府性基金预算支出决算情况说明</w:t>
      </w:r>
      <w:bookmarkEnd w:id="38"/>
      <w:bookmarkEnd w:id="39"/>
    </w:p>
    <w:p>
      <w:pPr>
        <w:spacing w:line="600" w:lineRule="exact"/>
        <w:ind w:firstLine="640" w:firstLineChars="200"/>
        <w:rPr>
          <w:rFonts w:hint="eastAsia" w:ascii="新宋体" w:hAnsi="新宋体" w:eastAsia="新宋体"/>
          <w:sz w:val="28"/>
          <w:szCs w:val="28"/>
        </w:rPr>
      </w:pPr>
      <w:r>
        <w:rPr>
          <w:rFonts w:ascii="仿宋_GB2312" w:eastAsia="仿宋_GB2312"/>
          <w:color w:val="000000"/>
          <w:sz w:val="32"/>
          <w:szCs w:val="32"/>
        </w:rPr>
        <w:t>201</w:t>
      </w:r>
      <w:r>
        <w:rPr>
          <w:rFonts w:hint="eastAsia" w:ascii="仿宋_GB2312" w:eastAsia="仿宋_GB2312"/>
          <w:color w:val="000000"/>
          <w:sz w:val="32"/>
          <w:szCs w:val="32"/>
        </w:rPr>
        <w:t>9年政府性基金预算拨款支出</w:t>
      </w:r>
      <w:r>
        <w:rPr>
          <w:rFonts w:ascii="仿宋_GB2312" w:eastAsia="仿宋_GB2312"/>
          <w:color w:val="000000"/>
          <w:sz w:val="32"/>
          <w:szCs w:val="32"/>
        </w:rPr>
        <w:t>100.36</w:t>
      </w:r>
      <w:r>
        <w:rPr>
          <w:rFonts w:hint="eastAsia" w:ascii="仿宋_GB2312" w:eastAsia="仿宋_GB2312"/>
          <w:color w:val="000000"/>
          <w:sz w:val="32"/>
          <w:szCs w:val="32"/>
        </w:rPr>
        <w:t>万元。</w:t>
      </w:r>
      <w:r>
        <w:rPr>
          <w:rFonts w:hint="eastAsia" w:ascii="新宋体" w:hAnsi="新宋体" w:eastAsia="新宋体" w:cs="新宋体"/>
          <w:sz w:val="28"/>
          <w:szCs w:val="28"/>
        </w:rPr>
        <w:t>占全年支出</w:t>
      </w:r>
      <w:r>
        <w:rPr>
          <w:rFonts w:ascii="新宋体" w:hAnsi="新宋体" w:eastAsia="新宋体" w:cs="新宋体"/>
          <w:sz w:val="28"/>
          <w:szCs w:val="28"/>
        </w:rPr>
        <w:t>19.01</w:t>
      </w:r>
      <w:r>
        <w:rPr>
          <w:rFonts w:hint="eastAsia" w:ascii="新宋体" w:hAnsi="新宋体" w:eastAsia="新宋体" w:cs="新宋体"/>
          <w:sz w:val="28"/>
          <w:szCs w:val="28"/>
        </w:rPr>
        <w:t>%，与201</w:t>
      </w:r>
      <w:r>
        <w:rPr>
          <w:rFonts w:ascii="新宋体" w:hAnsi="新宋体" w:eastAsia="新宋体" w:cs="新宋体"/>
          <w:sz w:val="28"/>
          <w:szCs w:val="28"/>
        </w:rPr>
        <w:t>8</w:t>
      </w:r>
      <w:r>
        <w:rPr>
          <w:rFonts w:hint="eastAsia" w:ascii="新宋体" w:hAnsi="新宋体" w:eastAsia="新宋体" w:cs="新宋体"/>
          <w:sz w:val="28"/>
          <w:szCs w:val="28"/>
        </w:rPr>
        <w:t>年相比，政府性基金预算拨款增加</w:t>
      </w:r>
      <w:r>
        <w:rPr>
          <w:rFonts w:ascii="新宋体" w:hAnsi="新宋体" w:eastAsia="新宋体" w:cs="新宋体"/>
          <w:sz w:val="28"/>
          <w:szCs w:val="28"/>
        </w:rPr>
        <w:t>99.36</w:t>
      </w:r>
      <w:r>
        <w:rPr>
          <w:rFonts w:hint="eastAsia" w:ascii="新宋体" w:hAnsi="新宋体" w:eastAsia="新宋体" w:cs="新宋体"/>
          <w:sz w:val="28"/>
          <w:szCs w:val="28"/>
        </w:rPr>
        <w:t>万元，增加</w:t>
      </w:r>
      <w:r>
        <w:rPr>
          <w:rFonts w:ascii="新宋体" w:hAnsi="新宋体" w:eastAsia="新宋体" w:cs="新宋体"/>
          <w:sz w:val="28"/>
          <w:szCs w:val="28"/>
        </w:rPr>
        <w:t>99.36</w:t>
      </w:r>
      <w:r>
        <w:rPr>
          <w:rFonts w:hint="eastAsia" w:ascii="新宋体" w:hAnsi="新宋体" w:eastAsia="新宋体" w:cs="新宋体"/>
          <w:sz w:val="28"/>
          <w:szCs w:val="28"/>
        </w:rPr>
        <w:t>%。主要变动原因是</w:t>
      </w:r>
      <w:r>
        <w:rPr>
          <w:rFonts w:hint="eastAsia" w:ascii="新宋体" w:hAnsi="新宋体" w:eastAsia="新宋体"/>
          <w:sz w:val="28"/>
          <w:szCs w:val="28"/>
        </w:rPr>
        <w:t>彩票公益金专项支出</w:t>
      </w:r>
      <w:r>
        <w:rPr>
          <w:rFonts w:ascii="新宋体" w:hAnsi="新宋体" w:eastAsia="新宋体"/>
          <w:sz w:val="28"/>
          <w:szCs w:val="28"/>
        </w:rPr>
        <w:t>的</w:t>
      </w:r>
      <w:r>
        <w:rPr>
          <w:rFonts w:hint="eastAsia" w:ascii="新宋体" w:hAnsi="新宋体" w:eastAsia="新宋体"/>
          <w:sz w:val="28"/>
          <w:szCs w:val="28"/>
        </w:rPr>
        <w:t>增加。</w:t>
      </w:r>
    </w:p>
    <w:p>
      <w:pPr>
        <w:numPr>
          <w:ilvl w:val="0"/>
          <w:numId w:val="2"/>
        </w:numPr>
        <w:spacing w:line="600" w:lineRule="exact"/>
        <w:ind w:firstLine="640"/>
        <w:outlineLvl w:val="1"/>
        <w:rPr>
          <w:rStyle w:val="28"/>
          <w:rFonts w:ascii="黑体" w:hAnsi="黑体" w:eastAsia="黑体"/>
          <w:b w:val="0"/>
        </w:rPr>
      </w:pPr>
      <w:bookmarkStart w:id="40" w:name="_Toc15377219"/>
      <w:bookmarkStart w:id="41" w:name="_Toc15396611"/>
      <w:r>
        <w:rPr>
          <w:rStyle w:val="28"/>
          <w:rFonts w:hint="eastAsia" w:ascii="黑体" w:hAnsi="黑体" w:eastAsia="黑体"/>
          <w:b w:val="0"/>
        </w:rPr>
        <w:t>国有资本经营预算支出决算情况说明</w:t>
      </w:r>
      <w:bookmarkEnd w:id="40"/>
      <w:bookmarkEnd w:id="41"/>
    </w:p>
    <w:p>
      <w:pPr>
        <w:spacing w:line="600" w:lineRule="exact"/>
        <w:ind w:firstLine="640"/>
        <w:rPr>
          <w:rFonts w:ascii="仿宋_GB2312" w:eastAsia="仿宋_GB2312"/>
          <w:color w:val="000000"/>
          <w:sz w:val="32"/>
          <w:szCs w:val="32"/>
        </w:rPr>
      </w:pPr>
      <w:r>
        <w:rPr>
          <w:rFonts w:ascii="仿宋_GB2312" w:eastAsia="仿宋_GB2312"/>
          <w:color w:val="000000"/>
          <w:sz w:val="32"/>
          <w:szCs w:val="32"/>
        </w:rPr>
        <w:t>201</w:t>
      </w:r>
      <w:r>
        <w:rPr>
          <w:rFonts w:hint="eastAsia" w:ascii="仿宋_GB2312" w:eastAsia="仿宋_GB2312"/>
          <w:color w:val="000000"/>
          <w:sz w:val="32"/>
          <w:szCs w:val="32"/>
        </w:rPr>
        <w:t>9年国有资本经营预算拨款支出</w:t>
      </w:r>
      <w:r>
        <w:rPr>
          <w:rFonts w:ascii="仿宋_GB2312" w:eastAsia="仿宋_GB2312"/>
          <w:color w:val="000000"/>
          <w:sz w:val="32"/>
          <w:szCs w:val="32"/>
        </w:rPr>
        <w:t>0</w:t>
      </w:r>
      <w:r>
        <w:rPr>
          <w:rFonts w:hint="eastAsia" w:ascii="仿宋_GB2312" w:eastAsia="仿宋_GB2312"/>
          <w:color w:val="000000"/>
          <w:sz w:val="32"/>
          <w:szCs w:val="32"/>
        </w:rPr>
        <w:t>万元。</w:t>
      </w:r>
    </w:p>
    <w:p>
      <w:pPr>
        <w:spacing w:line="580" w:lineRule="exact"/>
        <w:jc w:val="center"/>
        <w:rPr>
          <w:rFonts w:ascii="方正小标宋简体" w:hAnsi="方正小标宋简体" w:eastAsia="方正小标宋简体" w:cs="方正小标宋简体"/>
          <w:sz w:val="44"/>
          <w:szCs w:val="44"/>
        </w:rPr>
      </w:pPr>
    </w:p>
    <w:p>
      <w:pPr>
        <w:spacing w:line="600" w:lineRule="exact"/>
        <w:ind w:firstLine="800" w:firstLineChars="250"/>
        <w:outlineLvl w:val="1"/>
        <w:rPr>
          <w:rStyle w:val="28"/>
          <w:rFonts w:ascii="黑体" w:hAnsi="黑体" w:eastAsia="黑体"/>
        </w:rPr>
      </w:pPr>
      <w:bookmarkStart w:id="42" w:name="_Toc15396612"/>
      <w:bookmarkStart w:id="43" w:name="_Toc15377221"/>
      <w:r>
        <w:rPr>
          <w:rFonts w:hint="eastAsia" w:ascii="黑体" w:hAnsi="黑体" w:eastAsia="黑体"/>
          <w:color w:val="000000"/>
          <w:sz w:val="32"/>
          <w:szCs w:val="32"/>
        </w:rPr>
        <w:t>十</w:t>
      </w:r>
      <w:r>
        <w:rPr>
          <w:rStyle w:val="28"/>
          <w:rFonts w:hint="eastAsia" w:ascii="黑体" w:hAnsi="黑体" w:eastAsia="黑体"/>
        </w:rPr>
        <w:t>、</w:t>
      </w:r>
      <w:r>
        <w:rPr>
          <w:rStyle w:val="28"/>
          <w:rFonts w:hint="eastAsia" w:ascii="黑体" w:hAnsi="黑体" w:eastAsia="黑体"/>
          <w:b w:val="0"/>
        </w:rPr>
        <w:t>其他重要事项的情况说明</w:t>
      </w:r>
      <w:bookmarkEnd w:id="42"/>
      <w:bookmarkEnd w:id="43"/>
    </w:p>
    <w:p>
      <w:pPr>
        <w:spacing w:line="600" w:lineRule="exact"/>
        <w:ind w:firstLine="643" w:firstLineChars="200"/>
        <w:outlineLvl w:val="2"/>
        <w:rPr>
          <w:rFonts w:ascii="仿宋" w:hAnsi="仿宋" w:eastAsia="仿宋"/>
          <w:color w:val="000000"/>
          <w:sz w:val="32"/>
          <w:szCs w:val="32"/>
        </w:rPr>
      </w:pPr>
      <w:bookmarkStart w:id="44" w:name="_Toc15377222"/>
      <w:r>
        <w:rPr>
          <w:rFonts w:hint="eastAsia" w:ascii="仿宋" w:hAnsi="仿宋" w:eastAsia="仿宋"/>
          <w:b/>
          <w:color w:val="000000"/>
          <w:sz w:val="32"/>
          <w:szCs w:val="32"/>
        </w:rPr>
        <w:t>（一）机关运行经费支出情况</w:t>
      </w:r>
      <w:bookmarkEnd w:id="44"/>
    </w:p>
    <w:p>
      <w:pPr>
        <w:spacing w:line="600" w:lineRule="exact"/>
        <w:ind w:firstLine="640" w:firstLineChars="200"/>
        <w:rPr>
          <w:rFonts w:ascii="仿宋_GB2312" w:eastAsia="仿宋_GB2312"/>
          <w:color w:val="000000" w:themeColor="text1"/>
          <w:sz w:val="32"/>
          <w:szCs w:val="32"/>
        </w:rPr>
      </w:pPr>
      <w:r>
        <w:rPr>
          <w:rFonts w:ascii="仿宋_GB2312" w:eastAsia="仿宋_GB2312"/>
          <w:color w:val="000000"/>
          <w:sz w:val="32"/>
          <w:szCs w:val="32"/>
        </w:rPr>
        <w:t>201</w:t>
      </w:r>
      <w:r>
        <w:rPr>
          <w:rFonts w:hint="eastAsia" w:ascii="仿宋_GB2312" w:eastAsia="仿宋_GB2312"/>
          <w:color w:val="000000"/>
          <w:sz w:val="32"/>
          <w:szCs w:val="32"/>
        </w:rPr>
        <w:t>9年，</w:t>
      </w:r>
      <w:r>
        <w:rPr>
          <w:rFonts w:hint="eastAsia" w:ascii="新宋体" w:hAnsi="新宋体" w:eastAsia="新宋体" w:cs="新宋体"/>
          <w:color w:val="000000"/>
          <w:sz w:val="28"/>
          <w:szCs w:val="28"/>
        </w:rPr>
        <w:t>乐至县残疾人联合会机关</w:t>
      </w:r>
      <w:r>
        <w:rPr>
          <w:rFonts w:hint="eastAsia" w:ascii="仿宋_GB2312" w:eastAsia="仿宋_GB2312"/>
          <w:color w:val="000000"/>
          <w:sz w:val="32"/>
          <w:szCs w:val="32"/>
        </w:rPr>
        <w:t>运行经费支出</w:t>
      </w:r>
      <w:r>
        <w:rPr>
          <w:rFonts w:ascii="仿宋_GB2312" w:eastAsia="仿宋_GB2312"/>
          <w:color w:val="000000"/>
          <w:sz w:val="32"/>
          <w:szCs w:val="32"/>
        </w:rPr>
        <w:t>21.62</w:t>
      </w:r>
      <w:r>
        <w:rPr>
          <w:rFonts w:hint="eastAsia" w:ascii="仿宋_GB2312" w:eastAsia="仿宋_GB2312"/>
          <w:color w:val="000000"/>
          <w:sz w:val="32"/>
          <w:szCs w:val="32"/>
        </w:rPr>
        <w:t>万元，比</w:t>
      </w:r>
      <w:r>
        <w:rPr>
          <w:rFonts w:ascii="仿宋_GB2312" w:eastAsia="仿宋_GB2312"/>
          <w:color w:val="000000"/>
          <w:sz w:val="32"/>
          <w:szCs w:val="32"/>
        </w:rPr>
        <w:t>201</w:t>
      </w:r>
      <w:r>
        <w:rPr>
          <w:rFonts w:hint="eastAsia" w:ascii="仿宋_GB2312" w:eastAsia="仿宋_GB2312"/>
          <w:color w:val="000000"/>
          <w:sz w:val="32"/>
          <w:szCs w:val="32"/>
        </w:rPr>
        <w:t>8年减少</w:t>
      </w:r>
      <w:r>
        <w:rPr>
          <w:rFonts w:ascii="仿宋_GB2312" w:eastAsia="仿宋_GB2312"/>
          <w:color w:val="000000"/>
          <w:sz w:val="32"/>
          <w:szCs w:val="32"/>
        </w:rPr>
        <w:t>6.5</w:t>
      </w:r>
      <w:r>
        <w:rPr>
          <w:rFonts w:hint="eastAsia" w:ascii="仿宋_GB2312" w:eastAsia="仿宋_GB2312"/>
          <w:color w:val="000000"/>
          <w:sz w:val="32"/>
          <w:szCs w:val="32"/>
        </w:rPr>
        <w:t>万元，下降</w:t>
      </w:r>
      <w:r>
        <w:rPr>
          <w:rFonts w:ascii="仿宋_GB2312" w:eastAsia="仿宋_GB2312"/>
          <w:color w:val="000000"/>
          <w:sz w:val="32"/>
          <w:szCs w:val="32"/>
        </w:rPr>
        <w:t>30.06%</w:t>
      </w:r>
      <w:r>
        <w:rPr>
          <w:rFonts w:hint="eastAsia" w:ascii="仿宋_GB2312" w:eastAsia="仿宋_GB2312"/>
          <w:color w:val="000000"/>
          <w:sz w:val="32"/>
          <w:szCs w:val="32"/>
        </w:rPr>
        <w:t>。</w:t>
      </w:r>
      <w:r>
        <w:rPr>
          <w:rFonts w:hint="eastAsia" w:ascii="仿宋_GB2312" w:eastAsia="仿宋_GB2312"/>
          <w:color w:val="000000" w:themeColor="text1"/>
          <w:sz w:val="32"/>
          <w:szCs w:val="32"/>
        </w:rPr>
        <w:t>主要原因是公用经费的减少。</w:t>
      </w:r>
    </w:p>
    <w:p>
      <w:pPr>
        <w:spacing w:line="600" w:lineRule="exact"/>
        <w:ind w:firstLine="643" w:firstLineChars="200"/>
        <w:rPr>
          <w:rFonts w:ascii="仿宋" w:hAnsi="仿宋" w:eastAsia="仿宋"/>
          <w:b/>
          <w:color w:val="FF0000"/>
          <w:sz w:val="32"/>
          <w:szCs w:val="32"/>
        </w:rPr>
      </w:pPr>
      <w:r>
        <w:rPr>
          <w:rFonts w:hint="eastAsia" w:ascii="仿宋" w:hAnsi="仿宋" w:eastAsia="仿宋"/>
          <w:b/>
          <w:color w:val="FF0000"/>
          <w:sz w:val="32"/>
          <w:szCs w:val="32"/>
        </w:rPr>
        <w:t>（注：数据来源于财决附</w:t>
      </w:r>
      <w:r>
        <w:rPr>
          <w:rFonts w:ascii="仿宋" w:hAnsi="仿宋" w:eastAsia="仿宋"/>
          <w:b/>
          <w:color w:val="FF0000"/>
          <w:sz w:val="32"/>
          <w:szCs w:val="32"/>
        </w:rPr>
        <w:t>03</w:t>
      </w:r>
      <w:r>
        <w:rPr>
          <w:rFonts w:hint="eastAsia" w:ascii="仿宋" w:hAnsi="仿宋" w:eastAsia="仿宋"/>
          <w:b/>
          <w:color w:val="FF0000"/>
          <w:sz w:val="32"/>
          <w:szCs w:val="32"/>
        </w:rPr>
        <w:t>表）</w:t>
      </w:r>
    </w:p>
    <w:p>
      <w:pPr>
        <w:autoSpaceDE w:val="0"/>
        <w:autoSpaceDN w:val="0"/>
        <w:adjustRightInd w:val="0"/>
        <w:spacing w:line="600" w:lineRule="exact"/>
        <w:ind w:firstLine="643" w:firstLineChars="200"/>
        <w:jc w:val="left"/>
        <w:outlineLvl w:val="2"/>
        <w:rPr>
          <w:rFonts w:ascii="仿宋" w:hAnsi="仿宋" w:eastAsia="仿宋"/>
          <w:b/>
          <w:color w:val="000000"/>
          <w:sz w:val="32"/>
          <w:szCs w:val="32"/>
        </w:rPr>
      </w:pPr>
      <w:bookmarkStart w:id="45" w:name="_Toc15377223"/>
      <w:r>
        <w:rPr>
          <w:rFonts w:hint="eastAsia" w:ascii="仿宋" w:hAnsi="仿宋" w:eastAsia="仿宋"/>
          <w:b/>
          <w:color w:val="000000"/>
          <w:sz w:val="32"/>
          <w:szCs w:val="32"/>
        </w:rPr>
        <w:t>（二）政府采购支出情况</w:t>
      </w:r>
      <w:bookmarkEnd w:id="45"/>
    </w:p>
    <w:p>
      <w:pPr>
        <w:spacing w:line="600" w:lineRule="exact"/>
        <w:ind w:firstLine="640" w:firstLineChars="200"/>
        <w:rPr>
          <w:rFonts w:ascii="仿宋_GB2312" w:eastAsia="仿宋_GB2312"/>
          <w:color w:val="000000"/>
          <w:sz w:val="32"/>
          <w:szCs w:val="32"/>
        </w:rPr>
      </w:pPr>
      <w:r>
        <w:rPr>
          <w:rFonts w:ascii="仿宋_GB2312" w:eastAsia="仿宋_GB2312"/>
          <w:color w:val="000000"/>
          <w:sz w:val="32"/>
          <w:szCs w:val="32"/>
        </w:rPr>
        <w:t>201</w:t>
      </w:r>
      <w:r>
        <w:rPr>
          <w:rFonts w:hint="eastAsia" w:ascii="仿宋_GB2312" w:eastAsia="仿宋_GB2312"/>
          <w:color w:val="000000"/>
          <w:sz w:val="32"/>
          <w:szCs w:val="32"/>
        </w:rPr>
        <w:t>9年，</w:t>
      </w:r>
      <w:r>
        <w:rPr>
          <w:rFonts w:hint="eastAsia" w:ascii="新宋体" w:hAnsi="新宋体" w:eastAsia="新宋体" w:cs="新宋体"/>
          <w:color w:val="000000"/>
          <w:sz w:val="28"/>
          <w:szCs w:val="28"/>
        </w:rPr>
        <w:t>乐至县残疾人联合会</w:t>
      </w:r>
      <w:r>
        <w:rPr>
          <w:rFonts w:hint="eastAsia" w:ascii="仿宋_GB2312" w:eastAsia="仿宋_GB2312"/>
          <w:color w:val="000000"/>
          <w:sz w:val="32"/>
          <w:szCs w:val="32"/>
        </w:rPr>
        <w:t>政府采购支出总额</w:t>
      </w:r>
      <w:r>
        <w:rPr>
          <w:rFonts w:ascii="仿宋_GB2312" w:eastAsia="仿宋_GB2312"/>
          <w:color w:val="000000"/>
          <w:sz w:val="32"/>
          <w:szCs w:val="32"/>
        </w:rPr>
        <w:t>0</w:t>
      </w:r>
      <w:r>
        <w:rPr>
          <w:rFonts w:hint="eastAsia" w:ascii="仿宋_GB2312" w:eastAsia="仿宋_GB2312"/>
          <w:color w:val="000000"/>
          <w:sz w:val="32"/>
          <w:szCs w:val="32"/>
        </w:rPr>
        <w:t>万元，其中：政府采购货物支出</w:t>
      </w:r>
      <w:r>
        <w:rPr>
          <w:rFonts w:ascii="仿宋_GB2312" w:eastAsia="仿宋_GB2312"/>
          <w:color w:val="000000"/>
          <w:sz w:val="32"/>
          <w:szCs w:val="32"/>
        </w:rPr>
        <w:t>0</w:t>
      </w:r>
      <w:r>
        <w:rPr>
          <w:rFonts w:hint="eastAsia" w:ascii="仿宋_GB2312" w:eastAsia="仿宋_GB2312"/>
          <w:color w:val="000000"/>
          <w:sz w:val="32"/>
          <w:szCs w:val="32"/>
        </w:rPr>
        <w:t>万元、政府采购工程支出</w:t>
      </w:r>
      <w:r>
        <w:rPr>
          <w:rFonts w:ascii="仿宋_GB2312" w:eastAsia="仿宋_GB2312"/>
          <w:color w:val="000000"/>
          <w:sz w:val="32"/>
          <w:szCs w:val="32"/>
        </w:rPr>
        <w:t>0</w:t>
      </w:r>
      <w:r>
        <w:rPr>
          <w:rFonts w:hint="eastAsia" w:ascii="仿宋_GB2312" w:eastAsia="仿宋_GB2312"/>
          <w:color w:val="000000"/>
          <w:sz w:val="32"/>
          <w:szCs w:val="32"/>
        </w:rPr>
        <w:t>万元、政府采购服务支出</w:t>
      </w:r>
      <w:r>
        <w:rPr>
          <w:rFonts w:ascii="仿宋_GB2312" w:eastAsia="仿宋_GB2312"/>
          <w:color w:val="000000"/>
          <w:sz w:val="32"/>
          <w:szCs w:val="32"/>
        </w:rPr>
        <w:t>0</w:t>
      </w:r>
      <w:r>
        <w:rPr>
          <w:rFonts w:hint="eastAsia" w:ascii="仿宋_GB2312" w:eastAsia="仿宋_GB2312"/>
          <w:color w:val="000000"/>
          <w:sz w:val="32"/>
          <w:szCs w:val="32"/>
        </w:rPr>
        <w:t>万元。</w:t>
      </w:r>
    </w:p>
    <w:p>
      <w:pPr>
        <w:spacing w:line="600" w:lineRule="exact"/>
        <w:ind w:firstLine="643" w:firstLineChars="200"/>
        <w:rPr>
          <w:rFonts w:ascii="仿宋" w:hAnsi="仿宋" w:eastAsia="仿宋"/>
          <w:b/>
          <w:color w:val="FF0000"/>
          <w:sz w:val="32"/>
          <w:szCs w:val="32"/>
        </w:rPr>
      </w:pPr>
      <w:r>
        <w:rPr>
          <w:rFonts w:hint="eastAsia" w:ascii="仿宋" w:hAnsi="仿宋" w:eastAsia="仿宋"/>
          <w:b/>
          <w:color w:val="FF0000"/>
          <w:sz w:val="32"/>
          <w:szCs w:val="32"/>
        </w:rPr>
        <w:t>（注：数据来源于财决附</w:t>
      </w:r>
      <w:r>
        <w:rPr>
          <w:rFonts w:ascii="仿宋" w:hAnsi="仿宋" w:eastAsia="仿宋"/>
          <w:b/>
          <w:color w:val="FF0000"/>
          <w:sz w:val="32"/>
          <w:szCs w:val="32"/>
        </w:rPr>
        <w:t>03</w:t>
      </w:r>
      <w:r>
        <w:rPr>
          <w:rFonts w:hint="eastAsia" w:ascii="仿宋" w:hAnsi="仿宋" w:eastAsia="仿宋"/>
          <w:b/>
          <w:color w:val="FF0000"/>
          <w:sz w:val="32"/>
          <w:szCs w:val="32"/>
        </w:rPr>
        <w:t>表）</w:t>
      </w:r>
    </w:p>
    <w:p>
      <w:pPr>
        <w:autoSpaceDE w:val="0"/>
        <w:autoSpaceDN w:val="0"/>
        <w:adjustRightInd w:val="0"/>
        <w:spacing w:line="600" w:lineRule="exact"/>
        <w:ind w:firstLine="643" w:firstLineChars="200"/>
        <w:jc w:val="left"/>
        <w:outlineLvl w:val="2"/>
        <w:rPr>
          <w:rFonts w:ascii="仿宋" w:hAnsi="仿宋" w:eastAsia="仿宋"/>
          <w:b/>
          <w:color w:val="000000"/>
          <w:sz w:val="32"/>
          <w:szCs w:val="32"/>
        </w:rPr>
      </w:pPr>
      <w:bookmarkStart w:id="46" w:name="_Toc15377224"/>
      <w:r>
        <w:rPr>
          <w:rFonts w:hint="eastAsia" w:ascii="仿宋" w:hAnsi="仿宋" w:eastAsia="仿宋"/>
          <w:b/>
          <w:color w:val="000000"/>
          <w:sz w:val="32"/>
          <w:szCs w:val="32"/>
        </w:rPr>
        <w:t>（三）国有资产占有使用情况</w:t>
      </w:r>
      <w:bookmarkEnd w:id="46"/>
    </w:p>
    <w:p>
      <w:pPr>
        <w:autoSpaceDE w:val="0"/>
        <w:autoSpaceDN w:val="0"/>
        <w:adjustRightInd w:val="0"/>
        <w:spacing w:line="600" w:lineRule="exact"/>
        <w:ind w:firstLine="640" w:firstLineChars="200"/>
        <w:jc w:val="left"/>
        <w:rPr>
          <w:rFonts w:ascii="仿宋_GB2312" w:eastAsia="仿宋_GB2312"/>
          <w:color w:val="000000"/>
          <w:sz w:val="32"/>
          <w:szCs w:val="32"/>
        </w:rPr>
      </w:pPr>
      <w:r>
        <w:rPr>
          <w:rFonts w:hint="eastAsia" w:ascii="仿宋_GB2312" w:eastAsia="仿宋_GB2312"/>
          <w:color w:val="000000"/>
          <w:sz w:val="32"/>
          <w:szCs w:val="32"/>
        </w:rPr>
        <w:t>截至</w:t>
      </w:r>
      <w:r>
        <w:rPr>
          <w:rFonts w:ascii="仿宋_GB2312" w:eastAsia="仿宋_GB2312"/>
          <w:color w:val="000000"/>
          <w:sz w:val="32"/>
          <w:szCs w:val="32"/>
        </w:rPr>
        <w:t>201</w:t>
      </w:r>
      <w:r>
        <w:rPr>
          <w:rFonts w:hint="eastAsia" w:ascii="仿宋_GB2312" w:eastAsia="仿宋_GB2312"/>
          <w:color w:val="000000"/>
          <w:sz w:val="32"/>
          <w:szCs w:val="32"/>
        </w:rPr>
        <w:t>9年</w:t>
      </w:r>
      <w:r>
        <w:rPr>
          <w:rFonts w:ascii="仿宋_GB2312" w:eastAsia="仿宋_GB2312"/>
          <w:color w:val="000000"/>
          <w:sz w:val="32"/>
          <w:szCs w:val="32"/>
        </w:rPr>
        <w:t>12</w:t>
      </w:r>
      <w:r>
        <w:rPr>
          <w:rFonts w:hint="eastAsia" w:ascii="仿宋_GB2312" w:eastAsia="仿宋_GB2312"/>
          <w:color w:val="000000"/>
          <w:sz w:val="32"/>
          <w:szCs w:val="32"/>
        </w:rPr>
        <w:t>月</w:t>
      </w:r>
      <w:r>
        <w:rPr>
          <w:rFonts w:ascii="仿宋_GB2312" w:eastAsia="仿宋_GB2312"/>
          <w:color w:val="000000"/>
          <w:sz w:val="32"/>
          <w:szCs w:val="32"/>
        </w:rPr>
        <w:t>31</w:t>
      </w:r>
      <w:r>
        <w:rPr>
          <w:rFonts w:hint="eastAsia" w:ascii="仿宋_GB2312" w:eastAsia="仿宋_GB2312"/>
          <w:color w:val="000000"/>
          <w:sz w:val="32"/>
          <w:szCs w:val="32"/>
        </w:rPr>
        <w:t>日，</w:t>
      </w:r>
      <w:r>
        <w:rPr>
          <w:rFonts w:hint="eastAsia" w:ascii="新宋体" w:hAnsi="新宋体" w:eastAsia="新宋体" w:cs="新宋体"/>
          <w:color w:val="000000"/>
          <w:sz w:val="28"/>
          <w:szCs w:val="28"/>
        </w:rPr>
        <w:t>乐至县残疾人联合会</w:t>
      </w:r>
      <w:r>
        <w:rPr>
          <w:rFonts w:hint="eastAsia" w:ascii="仿宋_GB2312" w:eastAsia="仿宋_GB2312"/>
          <w:color w:val="000000"/>
          <w:sz w:val="32"/>
          <w:szCs w:val="32"/>
        </w:rPr>
        <w:t>共有车辆</w:t>
      </w:r>
      <w:r>
        <w:rPr>
          <w:rFonts w:ascii="仿宋_GB2312" w:eastAsia="仿宋_GB2312"/>
          <w:color w:val="000000"/>
          <w:sz w:val="32"/>
          <w:szCs w:val="32"/>
        </w:rPr>
        <w:t>1</w:t>
      </w:r>
      <w:r>
        <w:rPr>
          <w:rFonts w:hint="eastAsia" w:ascii="仿宋_GB2312" w:eastAsia="仿宋_GB2312"/>
          <w:color w:val="000000"/>
          <w:sz w:val="32"/>
          <w:szCs w:val="32"/>
        </w:rPr>
        <w:t>辆，其中：主要领导干部用车0辆、机要通信用车</w:t>
      </w:r>
      <w:r>
        <w:rPr>
          <w:rFonts w:ascii="仿宋_GB2312" w:eastAsia="仿宋_GB2312"/>
          <w:color w:val="000000"/>
          <w:sz w:val="32"/>
          <w:szCs w:val="32"/>
        </w:rPr>
        <w:t>0</w:t>
      </w:r>
      <w:r>
        <w:rPr>
          <w:rFonts w:hint="eastAsia" w:ascii="仿宋_GB2312" w:eastAsia="仿宋_GB2312"/>
          <w:color w:val="000000"/>
          <w:sz w:val="32"/>
          <w:szCs w:val="32"/>
        </w:rPr>
        <w:t>辆、应急保障用车</w:t>
      </w:r>
      <w:r>
        <w:rPr>
          <w:rFonts w:ascii="仿宋_GB2312" w:eastAsia="仿宋_GB2312"/>
          <w:color w:val="000000"/>
          <w:sz w:val="32"/>
          <w:szCs w:val="32"/>
        </w:rPr>
        <w:t>0</w:t>
      </w:r>
      <w:r>
        <w:rPr>
          <w:rFonts w:hint="eastAsia" w:ascii="仿宋_GB2312" w:eastAsia="仿宋_GB2312"/>
          <w:color w:val="000000"/>
          <w:sz w:val="32"/>
          <w:szCs w:val="32"/>
        </w:rPr>
        <w:t>辆、其他用车</w:t>
      </w:r>
      <w:r>
        <w:rPr>
          <w:rFonts w:ascii="仿宋_GB2312" w:eastAsia="仿宋_GB2312"/>
          <w:color w:val="000000"/>
          <w:sz w:val="32"/>
          <w:szCs w:val="32"/>
        </w:rPr>
        <w:t>0</w:t>
      </w:r>
      <w:r>
        <w:rPr>
          <w:rFonts w:hint="eastAsia" w:ascii="仿宋_GB2312" w:eastAsia="仿宋_GB2312"/>
          <w:color w:val="000000"/>
          <w:sz w:val="32"/>
          <w:szCs w:val="32"/>
        </w:rPr>
        <w:t>辆、特种专业技术用车一辆……</w:t>
      </w:r>
      <w:r>
        <w:rPr>
          <w:rFonts w:hint="eastAsia" w:ascii="仿宋_GB2312" w:eastAsia="仿宋_GB2312"/>
          <w:color w:val="000000" w:themeColor="text1"/>
          <w:sz w:val="32"/>
          <w:szCs w:val="32"/>
        </w:rPr>
        <w:t>其他用车主要是用于……单价</w:t>
      </w:r>
      <w:r>
        <w:rPr>
          <w:rFonts w:ascii="仿宋_GB2312" w:eastAsia="仿宋_GB2312"/>
          <w:color w:val="000000" w:themeColor="text1"/>
          <w:sz w:val="32"/>
          <w:szCs w:val="32"/>
        </w:rPr>
        <w:t>50</w:t>
      </w:r>
      <w:r>
        <w:rPr>
          <w:rFonts w:hint="eastAsia" w:ascii="仿宋_GB2312" w:eastAsia="仿宋_GB2312"/>
          <w:color w:val="000000" w:themeColor="text1"/>
          <w:sz w:val="32"/>
          <w:szCs w:val="32"/>
        </w:rPr>
        <w:t>万元以上通用设备</w:t>
      </w:r>
      <w:r>
        <w:rPr>
          <w:rFonts w:ascii="仿宋_GB2312" w:eastAsia="仿宋_GB2312"/>
          <w:color w:val="000000" w:themeColor="text1"/>
          <w:sz w:val="32"/>
          <w:szCs w:val="32"/>
        </w:rPr>
        <w:t>0</w:t>
      </w:r>
      <w:r>
        <w:rPr>
          <w:rFonts w:hint="eastAsia" w:ascii="仿宋_GB2312" w:eastAsia="仿宋_GB2312"/>
          <w:color w:val="000000" w:themeColor="text1"/>
          <w:sz w:val="32"/>
          <w:szCs w:val="32"/>
        </w:rPr>
        <w:t>台（套），单价</w:t>
      </w:r>
      <w:r>
        <w:rPr>
          <w:rFonts w:ascii="仿宋_GB2312" w:eastAsia="仿宋_GB2312"/>
          <w:color w:val="000000" w:themeColor="text1"/>
          <w:sz w:val="32"/>
          <w:szCs w:val="32"/>
        </w:rPr>
        <w:t>100</w:t>
      </w:r>
      <w:r>
        <w:rPr>
          <w:rFonts w:hint="eastAsia" w:ascii="仿宋_GB2312" w:eastAsia="仿宋_GB2312"/>
          <w:color w:val="000000"/>
          <w:sz w:val="32"/>
          <w:szCs w:val="32"/>
        </w:rPr>
        <w:t>万元以上专用设备</w:t>
      </w:r>
      <w:r>
        <w:rPr>
          <w:rFonts w:ascii="仿宋_GB2312" w:eastAsia="仿宋_GB2312"/>
          <w:color w:val="000000"/>
          <w:sz w:val="32"/>
          <w:szCs w:val="32"/>
        </w:rPr>
        <w:t>0</w:t>
      </w:r>
      <w:r>
        <w:rPr>
          <w:rFonts w:hint="eastAsia" w:ascii="仿宋_GB2312" w:eastAsia="仿宋_GB2312"/>
          <w:color w:val="000000"/>
          <w:sz w:val="32"/>
          <w:szCs w:val="32"/>
        </w:rPr>
        <w:t>台（套）。</w:t>
      </w:r>
    </w:p>
    <w:p>
      <w:pPr>
        <w:autoSpaceDE w:val="0"/>
        <w:autoSpaceDN w:val="0"/>
        <w:adjustRightInd w:val="0"/>
        <w:spacing w:line="600" w:lineRule="exact"/>
        <w:jc w:val="left"/>
        <w:rPr>
          <w:rFonts w:ascii="仿宋" w:hAnsi="仿宋" w:eastAsia="仿宋"/>
          <w:b/>
          <w:color w:val="FF0000"/>
          <w:sz w:val="32"/>
          <w:szCs w:val="32"/>
        </w:rPr>
      </w:pPr>
      <w:r>
        <w:rPr>
          <w:rFonts w:hint="eastAsia" w:ascii="仿宋" w:hAnsi="仿宋" w:eastAsia="仿宋"/>
          <w:b/>
          <w:color w:val="FF0000"/>
          <w:sz w:val="32"/>
          <w:szCs w:val="32"/>
        </w:rPr>
        <w:t>（注：数据来源财决附</w:t>
      </w:r>
      <w:r>
        <w:rPr>
          <w:rFonts w:ascii="仿宋" w:hAnsi="仿宋" w:eastAsia="仿宋"/>
          <w:b/>
          <w:color w:val="FF0000"/>
          <w:sz w:val="32"/>
          <w:szCs w:val="32"/>
        </w:rPr>
        <w:t>03</w:t>
      </w:r>
      <w:r>
        <w:rPr>
          <w:rFonts w:hint="eastAsia" w:ascii="仿宋" w:hAnsi="仿宋" w:eastAsia="仿宋"/>
          <w:b/>
          <w:color w:val="FF0000"/>
          <w:sz w:val="32"/>
          <w:szCs w:val="32"/>
        </w:rPr>
        <w:t>表，按部门决算报表填报数据罗列车辆情况。）</w:t>
      </w:r>
    </w:p>
    <w:p>
      <w:pPr>
        <w:autoSpaceDE w:val="0"/>
        <w:autoSpaceDN w:val="0"/>
        <w:adjustRightInd w:val="0"/>
        <w:spacing w:line="600" w:lineRule="exact"/>
        <w:ind w:firstLine="643" w:firstLineChars="200"/>
        <w:jc w:val="left"/>
        <w:outlineLvl w:val="2"/>
        <w:rPr>
          <w:rFonts w:ascii="仿宋" w:hAnsi="仿宋" w:eastAsia="仿宋"/>
          <w:b/>
          <w:color w:val="000000"/>
          <w:sz w:val="32"/>
          <w:szCs w:val="32"/>
        </w:rPr>
      </w:pPr>
      <w:r>
        <w:rPr>
          <w:rFonts w:hint="eastAsia" w:ascii="仿宋" w:hAnsi="仿宋" w:eastAsia="仿宋"/>
          <w:b/>
          <w:color w:val="000000"/>
          <w:sz w:val="32"/>
          <w:szCs w:val="32"/>
        </w:rPr>
        <w:t>（四）预算绩效管理情况。</w:t>
      </w:r>
    </w:p>
    <w:p>
      <w:pPr>
        <w:spacing w:line="600" w:lineRule="exact"/>
        <w:ind w:firstLine="640"/>
        <w:rPr>
          <w:rFonts w:hint="eastAsia" w:ascii="新宋体" w:hAnsi="新宋体" w:eastAsia="新宋体" w:cs="新宋体"/>
          <w:color w:val="000000"/>
          <w:sz w:val="28"/>
          <w:szCs w:val="28"/>
        </w:rPr>
      </w:pPr>
      <w:r>
        <w:rPr>
          <w:rFonts w:hint="eastAsia" w:ascii="新宋体" w:hAnsi="新宋体" w:eastAsia="新宋体" w:cs="新宋体"/>
          <w:color w:val="000000"/>
          <w:sz w:val="28"/>
          <w:szCs w:val="28"/>
        </w:rPr>
        <w:t>根据预算绩效管理要求，本单位在年初预算编制阶段，组织对一般公共预算项目开展了预算事前绩效评估，对</w:t>
      </w:r>
      <w:r>
        <w:rPr>
          <w:rFonts w:ascii="新宋体" w:hAnsi="新宋体" w:eastAsia="新宋体" w:cs="新宋体"/>
          <w:color w:val="000000"/>
          <w:sz w:val="28"/>
          <w:szCs w:val="28"/>
        </w:rPr>
        <w:t>2</w:t>
      </w:r>
      <w:r>
        <w:rPr>
          <w:rFonts w:hint="eastAsia" w:ascii="新宋体" w:hAnsi="新宋体" w:eastAsia="新宋体" w:cs="新宋体"/>
          <w:color w:val="000000"/>
          <w:sz w:val="28"/>
          <w:szCs w:val="28"/>
        </w:rPr>
        <w:t>个项目编制了绩效目标，预算执行过程中，选取</w:t>
      </w:r>
      <w:r>
        <w:rPr>
          <w:rFonts w:ascii="新宋体" w:hAnsi="新宋体" w:eastAsia="新宋体" w:cs="新宋体"/>
          <w:color w:val="000000"/>
          <w:sz w:val="28"/>
          <w:szCs w:val="28"/>
        </w:rPr>
        <w:t>2</w:t>
      </w:r>
      <w:r>
        <w:rPr>
          <w:rFonts w:hint="eastAsia" w:ascii="新宋体" w:hAnsi="新宋体" w:eastAsia="新宋体" w:cs="新宋体"/>
          <w:color w:val="000000"/>
          <w:sz w:val="28"/>
          <w:szCs w:val="28"/>
        </w:rPr>
        <w:t>个项目开展绩效监控，年终执行完毕后，对</w:t>
      </w:r>
      <w:r>
        <w:rPr>
          <w:rFonts w:ascii="新宋体" w:hAnsi="新宋体" w:eastAsia="新宋体" w:cs="新宋体"/>
          <w:color w:val="000000"/>
          <w:sz w:val="28"/>
          <w:szCs w:val="28"/>
        </w:rPr>
        <w:t>5</w:t>
      </w:r>
      <w:r>
        <w:rPr>
          <w:rFonts w:hint="eastAsia" w:ascii="新宋体" w:hAnsi="新宋体" w:eastAsia="新宋体" w:cs="新宋体"/>
          <w:color w:val="000000"/>
          <w:sz w:val="28"/>
          <w:szCs w:val="28"/>
        </w:rPr>
        <w:t>个项目开展了绩效目标完成情况梳理填报。</w:t>
      </w:r>
    </w:p>
    <w:p>
      <w:pPr>
        <w:spacing w:line="580" w:lineRule="exact"/>
        <w:ind w:firstLine="700" w:firstLineChars="250"/>
        <w:rPr>
          <w:rFonts w:hint="eastAsia" w:ascii="新宋体" w:hAnsi="新宋体" w:eastAsia="新宋体" w:cs="新宋体"/>
          <w:sz w:val="28"/>
          <w:szCs w:val="28"/>
        </w:rPr>
      </w:pPr>
      <w:r>
        <w:rPr>
          <w:rFonts w:hint="eastAsia" w:ascii="新宋体" w:hAnsi="新宋体" w:eastAsia="新宋体" w:cs="新宋体"/>
          <w:sz w:val="28"/>
          <w:szCs w:val="28"/>
        </w:rPr>
        <w:t xml:space="preserve">部门决算项目绩效目标完成情况综述。项目全年预算数 </w:t>
      </w:r>
      <w:r>
        <w:rPr>
          <w:rFonts w:ascii="新宋体" w:hAnsi="新宋体" w:eastAsia="新宋体" w:cs="新宋体"/>
          <w:sz w:val="28"/>
          <w:szCs w:val="28"/>
        </w:rPr>
        <w:t>427.57</w:t>
      </w:r>
      <w:r>
        <w:rPr>
          <w:rFonts w:hint="eastAsia" w:ascii="新宋体" w:hAnsi="新宋体" w:eastAsia="新宋体" w:cs="新宋体"/>
          <w:sz w:val="28"/>
          <w:szCs w:val="28"/>
        </w:rPr>
        <w:t xml:space="preserve">万元，执行数为 </w:t>
      </w:r>
      <w:r>
        <w:rPr>
          <w:rFonts w:ascii="新宋体" w:hAnsi="新宋体" w:eastAsia="新宋体" w:cs="新宋体"/>
          <w:sz w:val="28"/>
          <w:szCs w:val="28"/>
        </w:rPr>
        <w:t>427.57</w:t>
      </w:r>
      <w:r>
        <w:rPr>
          <w:rFonts w:hint="eastAsia" w:ascii="新宋体" w:hAnsi="新宋体" w:eastAsia="新宋体" w:cs="新宋体"/>
          <w:sz w:val="28"/>
          <w:szCs w:val="28"/>
        </w:rPr>
        <w:t>万元，完成预算的100%。通过项目实施，提升了残疾人参与社会生活能力，在全县范围内增强扶残助残氛围。主要问题：我县残疾人事业补助资金主要靠中省下拨，本级政府投入十分有限，</w:t>
      </w:r>
      <w:r>
        <w:rPr>
          <w:rFonts w:ascii="新宋体" w:hAnsi="新宋体" w:eastAsia="新宋体" w:cs="新宋体"/>
          <w:sz w:val="28"/>
          <w:szCs w:val="28"/>
        </w:rPr>
        <w:t>资金缺口大</w:t>
      </w:r>
      <w:r>
        <w:rPr>
          <w:rFonts w:hint="eastAsia" w:ascii="新宋体" w:hAnsi="新宋体" w:eastAsia="新宋体" w:cs="新宋体"/>
          <w:sz w:val="28"/>
          <w:szCs w:val="28"/>
        </w:rPr>
        <w:t>。下一步改进措施：科学测算资金，提高资金使用率。</w:t>
      </w:r>
    </w:p>
    <w:p>
      <w:pPr>
        <w:spacing w:line="580" w:lineRule="exact"/>
        <w:ind w:firstLine="640" w:firstLineChars="200"/>
        <w:rPr>
          <w:rFonts w:ascii="仿宋_GB2312" w:hAnsi="仿宋_GB2312" w:eastAsia="仿宋_GB2312" w:cs="仿宋_GB2312"/>
          <w:sz w:val="32"/>
          <w:szCs w:val="32"/>
        </w:rPr>
      </w:pPr>
      <w:r>
        <w:rPr>
          <w:rFonts w:hint="eastAsia" w:ascii="楷体_GB2312" w:hAnsi="楷体_GB2312" w:eastAsia="楷体_GB2312" w:cs="楷体_GB2312"/>
          <w:sz w:val="32"/>
          <w:szCs w:val="32"/>
        </w:rPr>
        <w:t>1.项目绩效目标完成情况。</w:t>
      </w:r>
      <w:r>
        <w:rPr>
          <w:rFonts w:hint="eastAsia" w:ascii="楷体_GB2312" w:hAnsi="楷体_GB2312" w:eastAsia="楷体_GB2312" w:cs="楷体_GB2312"/>
          <w:sz w:val="32"/>
          <w:szCs w:val="32"/>
        </w:rPr>
        <w:br w:type="textWrapping"/>
      </w:r>
      <w:r>
        <w:rPr>
          <w:rFonts w:hint="eastAsia" w:ascii="仿宋_GB2312" w:hAnsi="仿宋_GB2312" w:eastAsia="仿宋_GB2312" w:cs="仿宋_GB2312"/>
          <w:sz w:val="32"/>
          <w:szCs w:val="32"/>
        </w:rPr>
        <w:t xml:space="preserve">    本部门在2019年度部门决算中反映“</w:t>
      </w:r>
      <w:r>
        <w:rPr>
          <w:rFonts w:hint="eastAsia" w:ascii="新宋体" w:hAnsi="新宋体" w:eastAsia="新宋体" w:cs="新宋体"/>
          <w:sz w:val="28"/>
          <w:szCs w:val="28"/>
        </w:rPr>
        <w:t>残疾人康复训练</w:t>
      </w:r>
      <w:r>
        <w:rPr>
          <w:rFonts w:ascii="仿宋_GB2312" w:hAnsi="仿宋_GB2312" w:eastAsia="仿宋_GB2312" w:cs="仿宋_GB2312"/>
          <w:sz w:val="32"/>
          <w:szCs w:val="32"/>
        </w:rPr>
        <w:t>”</w:t>
      </w:r>
      <w:r>
        <w:rPr>
          <w:rFonts w:hint="eastAsia" w:ascii="仿宋_GB2312" w:hAnsi="仿宋_GB2312" w:eastAsia="仿宋_GB2312" w:cs="仿宋_GB2312"/>
          <w:sz w:val="32"/>
          <w:szCs w:val="32"/>
        </w:rPr>
        <w:t>“</w:t>
      </w:r>
      <w:r>
        <w:rPr>
          <w:rFonts w:hint="eastAsia" w:ascii="新宋体" w:hAnsi="新宋体" w:eastAsia="新宋体" w:cs="新宋体"/>
          <w:sz w:val="28"/>
          <w:szCs w:val="28"/>
        </w:rPr>
        <w:t xml:space="preserve"> 残疾人辅助器具</w:t>
      </w:r>
      <w:r>
        <w:rPr>
          <w:rFonts w:ascii="仿宋_GB2312" w:hAnsi="仿宋_GB2312" w:eastAsia="仿宋_GB2312" w:cs="仿宋_GB2312"/>
          <w:sz w:val="32"/>
          <w:szCs w:val="32"/>
        </w:rPr>
        <w:t>”</w:t>
      </w:r>
      <w:r>
        <w:rPr>
          <w:rFonts w:hint="eastAsia" w:ascii="仿宋_GB2312" w:hAnsi="仿宋_GB2312" w:eastAsia="仿宋_GB2312" w:cs="仿宋_GB2312"/>
          <w:sz w:val="32"/>
          <w:szCs w:val="32"/>
        </w:rPr>
        <w:t>等</w:t>
      </w:r>
      <w:r>
        <w:rPr>
          <w:rFonts w:ascii="仿宋_GB2312" w:hAnsi="仿宋_GB2312" w:eastAsia="仿宋_GB2312" w:cs="仿宋_GB2312"/>
          <w:sz w:val="32"/>
          <w:szCs w:val="32"/>
        </w:rPr>
        <w:t>2</w:t>
      </w:r>
      <w:r>
        <w:rPr>
          <w:rFonts w:hint="eastAsia" w:ascii="仿宋_GB2312" w:hAnsi="仿宋_GB2312" w:eastAsia="仿宋_GB2312" w:cs="仿宋_GB2312"/>
          <w:sz w:val="32"/>
          <w:szCs w:val="32"/>
        </w:rPr>
        <w:t>个项目绩效目标实际完成情况。</w:t>
      </w:r>
    </w:p>
    <w:p>
      <w:pPr>
        <w:spacing w:line="58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w:t>
      </w:r>
      <w:r>
        <w:rPr>
          <w:rFonts w:hint="eastAsia" w:ascii="新宋体" w:hAnsi="新宋体" w:eastAsia="新宋体" w:cs="新宋体"/>
          <w:sz w:val="28"/>
          <w:szCs w:val="28"/>
        </w:rPr>
        <w:t>残疾人康复训练</w:t>
      </w:r>
      <w:r>
        <w:rPr>
          <w:rFonts w:hint="eastAsia" w:ascii="仿宋_GB2312" w:hAnsi="仿宋_GB2312" w:eastAsia="仿宋_GB2312" w:cs="仿宋_GB2312"/>
          <w:sz w:val="32"/>
          <w:szCs w:val="32"/>
        </w:rPr>
        <w:t>项目绩效目标完成情况综述。项目全年预算数</w:t>
      </w:r>
      <w:r>
        <w:rPr>
          <w:rFonts w:ascii="仿宋_GB2312" w:hAnsi="仿宋_GB2312" w:eastAsia="仿宋_GB2312" w:cs="仿宋_GB2312"/>
          <w:sz w:val="32"/>
          <w:szCs w:val="32"/>
        </w:rPr>
        <w:t>61.32</w:t>
      </w:r>
      <w:r>
        <w:rPr>
          <w:rFonts w:hint="eastAsia" w:ascii="仿宋_GB2312" w:hAnsi="仿宋_GB2312" w:eastAsia="仿宋_GB2312" w:cs="仿宋_GB2312"/>
          <w:sz w:val="32"/>
          <w:szCs w:val="32"/>
        </w:rPr>
        <w:t>万元，执行数为</w:t>
      </w:r>
      <w:r>
        <w:rPr>
          <w:rFonts w:ascii="仿宋_GB2312" w:hAnsi="仿宋_GB2312" w:eastAsia="仿宋_GB2312" w:cs="仿宋_GB2312"/>
          <w:sz w:val="32"/>
          <w:szCs w:val="32"/>
        </w:rPr>
        <w:t>61.32</w:t>
      </w:r>
      <w:r>
        <w:rPr>
          <w:rFonts w:hint="eastAsia" w:ascii="仿宋_GB2312" w:hAnsi="仿宋_GB2312" w:eastAsia="仿宋_GB2312" w:cs="仿宋_GB2312"/>
          <w:sz w:val="32"/>
          <w:szCs w:val="32"/>
        </w:rPr>
        <w:t>万元，完成预算的</w:t>
      </w:r>
      <w:r>
        <w:rPr>
          <w:rFonts w:ascii="仿宋_GB2312" w:hAnsi="仿宋_GB2312" w:eastAsia="仿宋_GB2312" w:cs="仿宋_GB2312"/>
          <w:sz w:val="32"/>
          <w:szCs w:val="32"/>
        </w:rPr>
        <w:t>100</w:t>
      </w:r>
      <w:r>
        <w:rPr>
          <w:rFonts w:hint="eastAsia" w:ascii="仿宋_GB2312" w:hAnsi="仿宋_GB2312" w:eastAsia="仿宋_GB2312" w:cs="仿宋_GB2312"/>
          <w:sz w:val="32"/>
          <w:szCs w:val="32"/>
        </w:rPr>
        <w:t>%。通过对残疾人进行专业的康复训练，改善了残疾人的自身身体素质。</w:t>
      </w:r>
      <w:r>
        <w:rPr>
          <w:rFonts w:hint="eastAsia" w:ascii="新宋体" w:hAnsi="新宋体" w:eastAsia="新宋体" w:cs="新宋体"/>
          <w:sz w:val="28"/>
          <w:szCs w:val="28"/>
        </w:rPr>
        <w:t>主要问题：资金有限。下一步改进措施：科学测算资金，制定合理有效的资金收支方案，提高资金使用率。</w:t>
      </w:r>
    </w:p>
    <w:p>
      <w:pPr>
        <w:spacing w:line="580" w:lineRule="exact"/>
        <w:ind w:firstLine="640" w:firstLineChars="200"/>
        <w:rPr>
          <w:rFonts w:ascii="仿宋_GB2312" w:hAnsi="仿宋_GB2312" w:eastAsia="仿宋_GB2312" w:cs="仿宋_GB2312"/>
          <w:sz w:val="32"/>
          <w:szCs w:val="32"/>
        </w:rPr>
      </w:pPr>
    </w:p>
    <w:p>
      <w:pPr>
        <w:spacing w:line="580" w:lineRule="exact"/>
        <w:rPr>
          <w:rFonts w:hint="eastAsia" w:ascii="仿宋_GB2312" w:hAnsi="仿宋_GB2312" w:eastAsia="仿宋_GB2312" w:cs="仿宋_GB2312"/>
          <w:sz w:val="32"/>
          <w:szCs w:val="32"/>
        </w:rPr>
      </w:pPr>
    </w:p>
    <w:tbl>
      <w:tblPr>
        <w:tblStyle w:val="14"/>
        <w:tblpPr w:leftFromText="180" w:rightFromText="180" w:vertAnchor="text" w:horzAnchor="page" w:tblpXSpec="center" w:tblpY="423"/>
        <w:tblOverlap w:val="never"/>
        <w:tblW w:w="9915" w:type="dxa"/>
        <w:jc w:val="center"/>
        <w:tblLayout w:type="fixed"/>
        <w:tblCellMar>
          <w:top w:w="0" w:type="dxa"/>
          <w:left w:w="0" w:type="dxa"/>
          <w:bottom w:w="0" w:type="dxa"/>
          <w:right w:w="0" w:type="dxa"/>
        </w:tblCellMar>
      </w:tblPr>
      <w:tblGrid>
        <w:gridCol w:w="388"/>
        <w:gridCol w:w="1360"/>
        <w:gridCol w:w="1021"/>
        <w:gridCol w:w="2381"/>
        <w:gridCol w:w="2383"/>
        <w:gridCol w:w="2382"/>
      </w:tblGrid>
      <w:tr>
        <w:tblPrEx>
          <w:tblCellMar>
            <w:top w:w="0" w:type="dxa"/>
            <w:left w:w="0" w:type="dxa"/>
            <w:bottom w:w="0" w:type="dxa"/>
            <w:right w:w="0" w:type="dxa"/>
          </w:tblCellMar>
        </w:tblPrEx>
        <w:trPr>
          <w:trHeight w:val="1017" w:hRule="atLeast"/>
          <w:jc w:val="center"/>
        </w:trPr>
        <w:tc>
          <w:tcPr>
            <w:tcW w:w="9915" w:type="dxa"/>
            <w:gridSpan w:val="6"/>
            <w:tcBorders>
              <w:top w:val="nil"/>
              <w:left w:val="nil"/>
              <w:bottom w:val="nil"/>
              <w:right w:val="nil"/>
            </w:tcBorders>
            <w:tcMar>
              <w:top w:w="15" w:type="dxa"/>
              <w:left w:w="15" w:type="dxa"/>
              <w:right w:w="15" w:type="dxa"/>
            </w:tcMar>
            <w:vAlign w:val="center"/>
          </w:tcPr>
          <w:p>
            <w:pPr>
              <w:widowControl/>
              <w:jc w:val="center"/>
              <w:textAlignment w:val="center"/>
              <w:rPr>
                <w:rFonts w:ascii="宋体" w:hAnsi="宋体" w:cs="宋体"/>
                <w:color w:val="000000"/>
                <w:sz w:val="36"/>
                <w:szCs w:val="36"/>
              </w:rPr>
            </w:pPr>
            <w:r>
              <w:rPr>
                <w:rFonts w:hint="eastAsia" w:ascii="宋体" w:hAnsi="宋体" w:cs="宋体"/>
                <w:b/>
                <w:bCs/>
                <w:color w:val="000000"/>
                <w:kern w:val="0"/>
                <w:sz w:val="36"/>
                <w:szCs w:val="36"/>
              </w:rPr>
              <w:t>项目绩效目标完成情况表</w:t>
            </w:r>
            <w:r>
              <w:rPr>
                <w:rFonts w:hint="eastAsia" w:ascii="宋体" w:hAnsi="宋体" w:cs="宋体"/>
                <w:b/>
                <w:bCs/>
                <w:color w:val="000000"/>
                <w:kern w:val="0"/>
                <w:sz w:val="36"/>
                <w:szCs w:val="36"/>
              </w:rPr>
              <w:br w:type="textWrapping"/>
            </w:r>
            <w:r>
              <w:rPr>
                <w:rFonts w:hint="eastAsia" w:ascii="宋体" w:hAnsi="宋体" w:cs="宋体"/>
                <w:color w:val="000000"/>
                <w:kern w:val="0"/>
                <w:sz w:val="36"/>
                <w:szCs w:val="36"/>
              </w:rPr>
              <w:t>(2019 年度)</w:t>
            </w:r>
          </w:p>
        </w:tc>
      </w:tr>
      <w:tr>
        <w:tblPrEx>
          <w:tblCellMar>
            <w:top w:w="0" w:type="dxa"/>
            <w:left w:w="0" w:type="dxa"/>
            <w:bottom w:w="0" w:type="dxa"/>
            <w:right w:w="0" w:type="dxa"/>
          </w:tblCellMar>
        </w:tblPrEx>
        <w:trPr>
          <w:trHeight w:val="271" w:hRule="atLeast"/>
          <w:jc w:val="center"/>
        </w:trPr>
        <w:tc>
          <w:tcPr>
            <w:tcW w:w="2769"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项目名称</w:t>
            </w:r>
          </w:p>
        </w:tc>
        <w:tc>
          <w:tcPr>
            <w:tcW w:w="7146"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新宋体" w:hAnsi="新宋体" w:eastAsia="新宋体" w:cs="新宋体"/>
                <w:sz w:val="28"/>
                <w:szCs w:val="28"/>
              </w:rPr>
              <w:t>残疾人康复训练</w:t>
            </w:r>
          </w:p>
        </w:tc>
      </w:tr>
      <w:tr>
        <w:tblPrEx>
          <w:tblCellMar>
            <w:top w:w="0" w:type="dxa"/>
            <w:left w:w="0" w:type="dxa"/>
            <w:bottom w:w="0" w:type="dxa"/>
            <w:right w:w="0" w:type="dxa"/>
          </w:tblCellMar>
        </w:tblPrEx>
        <w:trPr>
          <w:trHeight w:val="271" w:hRule="atLeast"/>
          <w:jc w:val="center"/>
        </w:trPr>
        <w:tc>
          <w:tcPr>
            <w:tcW w:w="2769"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预算单位</w:t>
            </w:r>
          </w:p>
        </w:tc>
        <w:tc>
          <w:tcPr>
            <w:tcW w:w="7146"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ascii="宋体" w:hAnsi="宋体" w:cs="宋体"/>
                <w:color w:val="000000"/>
                <w:sz w:val="24"/>
              </w:rPr>
              <w:t>乐至县残疾人联合会</w:t>
            </w:r>
          </w:p>
        </w:tc>
      </w:tr>
      <w:tr>
        <w:tblPrEx>
          <w:tblCellMar>
            <w:top w:w="0" w:type="dxa"/>
            <w:left w:w="0" w:type="dxa"/>
            <w:bottom w:w="0" w:type="dxa"/>
            <w:right w:w="0" w:type="dxa"/>
          </w:tblCellMar>
        </w:tblPrEx>
        <w:trPr>
          <w:trHeight w:val="271" w:hRule="atLeast"/>
          <w:jc w:val="center"/>
        </w:trPr>
        <w:tc>
          <w:tcPr>
            <w:tcW w:w="388" w:type="dxa"/>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预算执行情况(万元)</w:t>
            </w:r>
          </w:p>
        </w:tc>
        <w:tc>
          <w:tcPr>
            <w:tcW w:w="2381"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预算数:</w:t>
            </w:r>
          </w:p>
        </w:tc>
        <w:tc>
          <w:tcPr>
            <w:tcW w:w="23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sz w:val="24"/>
              </w:rPr>
              <w:t>6</w:t>
            </w:r>
            <w:r>
              <w:rPr>
                <w:rFonts w:ascii="宋体" w:hAnsi="宋体" w:cs="宋体"/>
                <w:color w:val="000000"/>
                <w:sz w:val="24"/>
              </w:rPr>
              <w:t>1.32万元</w:t>
            </w:r>
          </w:p>
        </w:tc>
        <w:tc>
          <w:tcPr>
            <w:tcW w:w="238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执行数:</w:t>
            </w:r>
          </w:p>
        </w:tc>
        <w:tc>
          <w:tcPr>
            <w:tcW w:w="238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sz w:val="24"/>
              </w:rPr>
              <w:t>6</w:t>
            </w:r>
            <w:r>
              <w:rPr>
                <w:rFonts w:ascii="宋体" w:hAnsi="宋体" w:cs="宋体"/>
                <w:color w:val="000000"/>
                <w:sz w:val="24"/>
              </w:rPr>
              <w:t>1.32万元</w:t>
            </w:r>
          </w:p>
        </w:tc>
      </w:tr>
      <w:tr>
        <w:tblPrEx>
          <w:tblCellMar>
            <w:top w:w="0" w:type="dxa"/>
            <w:left w:w="0" w:type="dxa"/>
            <w:bottom w:w="0" w:type="dxa"/>
            <w:right w:w="0" w:type="dxa"/>
          </w:tblCellMar>
        </w:tblPrEx>
        <w:trPr>
          <w:trHeight w:val="271" w:hRule="atLeast"/>
          <w:jc w:val="center"/>
        </w:trPr>
        <w:tc>
          <w:tcPr>
            <w:tcW w:w="388"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ascii="宋体" w:hAnsi="宋体" w:cs="宋体"/>
                <w:color w:val="000000"/>
                <w:sz w:val="24"/>
              </w:rPr>
            </w:pPr>
          </w:p>
        </w:tc>
        <w:tc>
          <w:tcPr>
            <w:tcW w:w="2381"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其中-财政拨款:</w:t>
            </w:r>
          </w:p>
        </w:tc>
        <w:tc>
          <w:tcPr>
            <w:tcW w:w="23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sz w:val="24"/>
              </w:rPr>
              <w:t>6</w:t>
            </w:r>
            <w:r>
              <w:rPr>
                <w:rFonts w:ascii="宋体" w:hAnsi="宋体" w:cs="宋体"/>
                <w:color w:val="000000"/>
                <w:sz w:val="24"/>
              </w:rPr>
              <w:t>1.32万元</w:t>
            </w:r>
          </w:p>
        </w:tc>
        <w:tc>
          <w:tcPr>
            <w:tcW w:w="238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其中-财政拨款:</w:t>
            </w:r>
          </w:p>
        </w:tc>
        <w:tc>
          <w:tcPr>
            <w:tcW w:w="238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sz w:val="24"/>
              </w:rPr>
              <w:t>6</w:t>
            </w:r>
            <w:r>
              <w:rPr>
                <w:rFonts w:ascii="宋体" w:hAnsi="宋体" w:cs="宋体"/>
                <w:color w:val="000000"/>
                <w:sz w:val="24"/>
              </w:rPr>
              <w:t>1.32万元</w:t>
            </w:r>
          </w:p>
        </w:tc>
      </w:tr>
      <w:tr>
        <w:tblPrEx>
          <w:tblCellMar>
            <w:top w:w="0" w:type="dxa"/>
            <w:left w:w="0" w:type="dxa"/>
            <w:bottom w:w="0" w:type="dxa"/>
            <w:right w:w="0" w:type="dxa"/>
          </w:tblCellMar>
        </w:tblPrEx>
        <w:trPr>
          <w:trHeight w:val="1486" w:hRule="atLeast"/>
          <w:jc w:val="center"/>
        </w:trPr>
        <w:tc>
          <w:tcPr>
            <w:tcW w:w="388"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ascii="宋体" w:hAnsi="宋体" w:cs="宋体"/>
                <w:color w:val="000000"/>
                <w:sz w:val="24"/>
              </w:rPr>
            </w:pPr>
          </w:p>
        </w:tc>
        <w:tc>
          <w:tcPr>
            <w:tcW w:w="2381"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其它资金:</w:t>
            </w:r>
          </w:p>
        </w:tc>
        <w:tc>
          <w:tcPr>
            <w:tcW w:w="23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p>
        </w:tc>
        <w:tc>
          <w:tcPr>
            <w:tcW w:w="238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其它资金:</w:t>
            </w:r>
          </w:p>
        </w:tc>
        <w:tc>
          <w:tcPr>
            <w:tcW w:w="238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ascii="宋体" w:hAnsi="宋体" w:cs="宋体"/>
                <w:color w:val="000000"/>
                <w:sz w:val="24"/>
              </w:rPr>
            </w:pPr>
          </w:p>
        </w:tc>
      </w:tr>
      <w:tr>
        <w:tblPrEx>
          <w:tblCellMar>
            <w:top w:w="0" w:type="dxa"/>
            <w:left w:w="0" w:type="dxa"/>
            <w:bottom w:w="0" w:type="dxa"/>
            <w:right w:w="0" w:type="dxa"/>
          </w:tblCellMar>
        </w:tblPrEx>
        <w:trPr>
          <w:trHeight w:val="271" w:hRule="atLeast"/>
          <w:jc w:val="center"/>
        </w:trPr>
        <w:tc>
          <w:tcPr>
            <w:tcW w:w="388" w:type="dxa"/>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年度目标完成情况</w:t>
            </w:r>
          </w:p>
        </w:tc>
        <w:tc>
          <w:tcPr>
            <w:tcW w:w="4762"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预期目标</w:t>
            </w:r>
          </w:p>
        </w:tc>
        <w:tc>
          <w:tcPr>
            <w:tcW w:w="4765"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实际完成目标</w:t>
            </w:r>
          </w:p>
        </w:tc>
      </w:tr>
      <w:tr>
        <w:tblPrEx>
          <w:tblCellMar>
            <w:top w:w="0" w:type="dxa"/>
            <w:left w:w="0" w:type="dxa"/>
            <w:bottom w:w="0" w:type="dxa"/>
            <w:right w:w="0" w:type="dxa"/>
          </w:tblCellMar>
        </w:tblPrEx>
        <w:trPr>
          <w:trHeight w:val="1140" w:hRule="atLeast"/>
          <w:jc w:val="center"/>
        </w:trPr>
        <w:tc>
          <w:tcPr>
            <w:tcW w:w="388"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ascii="宋体" w:hAnsi="宋体" w:cs="宋体"/>
                <w:color w:val="000000"/>
                <w:sz w:val="24"/>
              </w:rPr>
            </w:pPr>
          </w:p>
        </w:tc>
        <w:tc>
          <w:tcPr>
            <w:tcW w:w="4762"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ascii="宋体" w:hAnsi="宋体" w:cs="宋体"/>
                <w:color w:val="000000"/>
                <w:sz w:val="24"/>
              </w:rPr>
              <w:t>帮助残疾人完成康复训练</w:t>
            </w:r>
          </w:p>
        </w:tc>
        <w:tc>
          <w:tcPr>
            <w:tcW w:w="4765"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ascii="宋体" w:hAnsi="宋体" w:cs="宋体"/>
                <w:color w:val="000000"/>
                <w:sz w:val="24"/>
              </w:rPr>
              <w:t>帮助残疾人完成康复训练</w:t>
            </w:r>
          </w:p>
        </w:tc>
      </w:tr>
      <w:tr>
        <w:tblPrEx>
          <w:tblCellMar>
            <w:top w:w="0" w:type="dxa"/>
            <w:left w:w="0" w:type="dxa"/>
            <w:bottom w:w="0" w:type="dxa"/>
            <w:right w:w="0" w:type="dxa"/>
          </w:tblCellMar>
        </w:tblPrEx>
        <w:trPr>
          <w:trHeight w:val="1025" w:hRule="atLeast"/>
          <w:jc w:val="center"/>
        </w:trPr>
        <w:tc>
          <w:tcPr>
            <w:tcW w:w="388" w:type="dxa"/>
            <w:vMerge w:val="restart"/>
            <w:tcBorders>
              <w:top w:val="single" w:color="000000" w:sz="4" w:space="0"/>
              <w:left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sz w:val="24"/>
              </w:rPr>
              <w:t>绩效指标完成情况</w:t>
            </w:r>
          </w:p>
        </w:tc>
        <w:tc>
          <w:tcPr>
            <w:tcW w:w="136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一级指标</w:t>
            </w:r>
          </w:p>
        </w:tc>
        <w:tc>
          <w:tcPr>
            <w:tcW w:w="102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二级指标</w:t>
            </w:r>
          </w:p>
        </w:tc>
        <w:tc>
          <w:tcPr>
            <w:tcW w:w="23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三级指标</w:t>
            </w:r>
          </w:p>
        </w:tc>
        <w:tc>
          <w:tcPr>
            <w:tcW w:w="238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预期指标值(包含数字及文字描述)</w:t>
            </w:r>
          </w:p>
        </w:tc>
        <w:tc>
          <w:tcPr>
            <w:tcW w:w="238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实际完成指标值(包含数字及文字描述)</w:t>
            </w:r>
          </w:p>
        </w:tc>
      </w:tr>
      <w:tr>
        <w:tblPrEx>
          <w:tblCellMar>
            <w:top w:w="0" w:type="dxa"/>
            <w:left w:w="0" w:type="dxa"/>
            <w:bottom w:w="0" w:type="dxa"/>
            <w:right w:w="0" w:type="dxa"/>
          </w:tblCellMar>
        </w:tblPrEx>
        <w:trPr>
          <w:trHeight w:val="937" w:hRule="atLeast"/>
          <w:jc w:val="center"/>
        </w:trPr>
        <w:tc>
          <w:tcPr>
            <w:tcW w:w="388" w:type="dxa"/>
            <w:vMerge w:val="continue"/>
            <w:tcBorders>
              <w:left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p>
        </w:tc>
        <w:tc>
          <w:tcPr>
            <w:tcW w:w="136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项目完成指标</w:t>
            </w:r>
          </w:p>
        </w:tc>
        <w:tc>
          <w:tcPr>
            <w:tcW w:w="102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ascii="宋体" w:hAnsi="宋体" w:cs="宋体"/>
                <w:color w:val="000000"/>
                <w:sz w:val="24"/>
              </w:rPr>
              <w:t>数量指标</w:t>
            </w:r>
          </w:p>
        </w:tc>
        <w:tc>
          <w:tcPr>
            <w:tcW w:w="23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ascii="宋体" w:hAnsi="宋体" w:cs="宋体"/>
                <w:color w:val="000000"/>
                <w:sz w:val="24"/>
              </w:rPr>
              <w:t>残疾人康复训练人数</w:t>
            </w:r>
          </w:p>
        </w:tc>
        <w:tc>
          <w:tcPr>
            <w:tcW w:w="238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szCs w:val="21"/>
              </w:rPr>
              <w:t>≧</w:t>
            </w:r>
            <w:r>
              <w:rPr>
                <w:rFonts w:ascii="宋体" w:hAnsi="宋体" w:cs="宋体"/>
                <w:szCs w:val="21"/>
              </w:rPr>
              <w:t>105</w:t>
            </w:r>
            <w:r>
              <w:rPr>
                <w:rFonts w:hint="eastAsia" w:ascii="宋体" w:hAnsi="宋体" w:cs="宋体"/>
                <w:szCs w:val="21"/>
              </w:rPr>
              <w:t>人</w:t>
            </w:r>
          </w:p>
        </w:tc>
        <w:tc>
          <w:tcPr>
            <w:tcW w:w="238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szCs w:val="21"/>
              </w:rPr>
              <w:t>≧</w:t>
            </w:r>
            <w:r>
              <w:rPr>
                <w:rFonts w:ascii="宋体" w:hAnsi="宋体" w:cs="宋体"/>
                <w:szCs w:val="21"/>
              </w:rPr>
              <w:t>105</w:t>
            </w:r>
            <w:r>
              <w:rPr>
                <w:rFonts w:hint="eastAsia" w:ascii="宋体" w:hAnsi="宋体" w:cs="宋体"/>
                <w:szCs w:val="21"/>
              </w:rPr>
              <w:t>人</w:t>
            </w:r>
          </w:p>
        </w:tc>
      </w:tr>
      <w:tr>
        <w:tblPrEx>
          <w:tblCellMar>
            <w:top w:w="0" w:type="dxa"/>
            <w:left w:w="0" w:type="dxa"/>
            <w:bottom w:w="0" w:type="dxa"/>
            <w:right w:w="0" w:type="dxa"/>
          </w:tblCellMar>
        </w:tblPrEx>
        <w:trPr>
          <w:trHeight w:val="1276" w:hRule="atLeast"/>
          <w:jc w:val="center"/>
        </w:trPr>
        <w:tc>
          <w:tcPr>
            <w:tcW w:w="388" w:type="dxa"/>
            <w:vMerge w:val="continue"/>
            <w:tcBorders>
              <w:left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p>
        </w:tc>
        <w:tc>
          <w:tcPr>
            <w:tcW w:w="136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项目完成指标</w:t>
            </w:r>
          </w:p>
        </w:tc>
        <w:tc>
          <w:tcPr>
            <w:tcW w:w="102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ascii="宋体" w:hAnsi="宋体" w:cs="宋体"/>
                <w:color w:val="000000"/>
                <w:sz w:val="24"/>
              </w:rPr>
              <w:t>社会效益指标</w:t>
            </w:r>
          </w:p>
        </w:tc>
        <w:tc>
          <w:tcPr>
            <w:tcW w:w="23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hint="eastAsia" w:ascii="宋体" w:hAnsi="宋体" w:cs="宋体"/>
                <w:color w:val="000000"/>
                <w:sz w:val="24"/>
              </w:rPr>
            </w:pPr>
            <w:r>
              <w:rPr>
                <w:rFonts w:ascii="宋体" w:hAnsi="宋体" w:cs="宋体"/>
                <w:color w:val="000000"/>
                <w:sz w:val="24"/>
              </w:rPr>
              <w:t>残疾人恢复程度</w:t>
            </w:r>
          </w:p>
        </w:tc>
        <w:tc>
          <w:tcPr>
            <w:tcW w:w="238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szCs w:val="21"/>
              </w:rPr>
              <w:t>明显提高</w:t>
            </w:r>
          </w:p>
        </w:tc>
        <w:tc>
          <w:tcPr>
            <w:tcW w:w="238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szCs w:val="21"/>
              </w:rPr>
              <w:t>明显提高</w:t>
            </w:r>
          </w:p>
        </w:tc>
      </w:tr>
      <w:tr>
        <w:tblPrEx>
          <w:tblCellMar>
            <w:top w:w="0" w:type="dxa"/>
            <w:left w:w="0" w:type="dxa"/>
            <w:bottom w:w="0" w:type="dxa"/>
            <w:right w:w="0" w:type="dxa"/>
          </w:tblCellMar>
        </w:tblPrEx>
        <w:trPr>
          <w:trHeight w:val="1025" w:hRule="atLeast"/>
          <w:jc w:val="center"/>
        </w:trPr>
        <w:tc>
          <w:tcPr>
            <w:tcW w:w="388" w:type="dxa"/>
            <w:vMerge w:val="continue"/>
            <w:tcBorders>
              <w:left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p>
        </w:tc>
        <w:tc>
          <w:tcPr>
            <w:tcW w:w="136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项目完成指标</w:t>
            </w:r>
          </w:p>
        </w:tc>
        <w:tc>
          <w:tcPr>
            <w:tcW w:w="102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ascii="宋体" w:hAnsi="宋体" w:cs="宋体"/>
                <w:color w:val="000000"/>
                <w:sz w:val="24"/>
              </w:rPr>
              <w:t>服务对象满意度指标</w:t>
            </w:r>
          </w:p>
        </w:tc>
        <w:tc>
          <w:tcPr>
            <w:tcW w:w="23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ascii="宋体" w:hAnsi="宋体" w:cs="宋体"/>
                <w:color w:val="000000"/>
                <w:sz w:val="24"/>
              </w:rPr>
              <w:t>残疾人或家属对康复训练的满意度</w:t>
            </w:r>
          </w:p>
        </w:tc>
        <w:tc>
          <w:tcPr>
            <w:tcW w:w="238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szCs w:val="21"/>
              </w:rPr>
              <w:t>≧80%</w:t>
            </w:r>
          </w:p>
        </w:tc>
        <w:tc>
          <w:tcPr>
            <w:tcW w:w="238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szCs w:val="21"/>
              </w:rPr>
              <w:t>≧80%</w:t>
            </w:r>
          </w:p>
        </w:tc>
      </w:tr>
    </w:tbl>
    <w:p>
      <w:pPr>
        <w:spacing w:line="580" w:lineRule="exact"/>
        <w:ind w:left="630"/>
        <w:rPr>
          <w:rFonts w:ascii="仿宋_GB2312" w:hAnsi="仿宋_GB2312" w:eastAsia="仿宋_GB2312" w:cs="仿宋_GB2312"/>
          <w:sz w:val="32"/>
          <w:szCs w:val="32"/>
        </w:rPr>
      </w:pPr>
    </w:p>
    <w:tbl>
      <w:tblPr>
        <w:tblStyle w:val="14"/>
        <w:tblpPr w:leftFromText="180" w:rightFromText="180" w:vertAnchor="text" w:horzAnchor="page" w:tblpXSpec="center" w:tblpY="423"/>
        <w:tblOverlap w:val="never"/>
        <w:tblW w:w="9915" w:type="dxa"/>
        <w:jc w:val="center"/>
        <w:tblLayout w:type="fixed"/>
        <w:tblCellMar>
          <w:top w:w="0" w:type="dxa"/>
          <w:left w:w="0" w:type="dxa"/>
          <w:bottom w:w="0" w:type="dxa"/>
          <w:right w:w="0" w:type="dxa"/>
        </w:tblCellMar>
      </w:tblPr>
      <w:tblGrid>
        <w:gridCol w:w="388"/>
        <w:gridCol w:w="1360"/>
        <w:gridCol w:w="1021"/>
        <w:gridCol w:w="2381"/>
        <w:gridCol w:w="2383"/>
        <w:gridCol w:w="2382"/>
      </w:tblGrid>
      <w:tr>
        <w:tblPrEx>
          <w:tblCellMar>
            <w:top w:w="0" w:type="dxa"/>
            <w:left w:w="0" w:type="dxa"/>
            <w:bottom w:w="0" w:type="dxa"/>
            <w:right w:w="0" w:type="dxa"/>
          </w:tblCellMar>
        </w:tblPrEx>
        <w:trPr>
          <w:trHeight w:val="1017" w:hRule="atLeast"/>
          <w:jc w:val="center"/>
        </w:trPr>
        <w:tc>
          <w:tcPr>
            <w:tcW w:w="9915" w:type="dxa"/>
            <w:gridSpan w:val="6"/>
            <w:tcBorders>
              <w:top w:val="nil"/>
              <w:left w:val="nil"/>
              <w:bottom w:val="nil"/>
              <w:right w:val="nil"/>
            </w:tcBorders>
            <w:tcMar>
              <w:top w:w="15" w:type="dxa"/>
              <w:left w:w="15" w:type="dxa"/>
              <w:right w:w="15" w:type="dxa"/>
            </w:tcMar>
            <w:vAlign w:val="center"/>
          </w:tcPr>
          <w:p>
            <w:pPr>
              <w:spacing w:line="58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w:t>
            </w:r>
            <w:r>
              <w:rPr>
                <w:rFonts w:hint="eastAsia" w:ascii="新宋体" w:hAnsi="新宋体" w:eastAsia="新宋体" w:cs="新宋体"/>
                <w:sz w:val="28"/>
                <w:szCs w:val="28"/>
              </w:rPr>
              <w:t>残疾人辅助器具</w:t>
            </w:r>
            <w:r>
              <w:rPr>
                <w:rFonts w:hint="eastAsia" w:ascii="仿宋_GB2312" w:hAnsi="仿宋_GB2312" w:eastAsia="仿宋_GB2312" w:cs="仿宋_GB2312"/>
                <w:sz w:val="32"/>
                <w:szCs w:val="32"/>
              </w:rPr>
              <w:t>项目绩效目标完成情况综述。项目全年预算数</w:t>
            </w:r>
            <w:r>
              <w:rPr>
                <w:rFonts w:ascii="仿宋_GB2312" w:hAnsi="仿宋_GB2312" w:eastAsia="仿宋_GB2312" w:cs="仿宋_GB2312"/>
                <w:sz w:val="32"/>
                <w:szCs w:val="32"/>
              </w:rPr>
              <w:t>59.52</w:t>
            </w:r>
            <w:r>
              <w:rPr>
                <w:rFonts w:hint="eastAsia" w:ascii="仿宋_GB2312" w:hAnsi="仿宋_GB2312" w:eastAsia="仿宋_GB2312" w:cs="仿宋_GB2312"/>
                <w:sz w:val="32"/>
                <w:szCs w:val="32"/>
              </w:rPr>
              <w:t>万元，执行数为</w:t>
            </w:r>
            <w:r>
              <w:rPr>
                <w:rFonts w:ascii="仿宋_GB2312" w:hAnsi="仿宋_GB2312" w:eastAsia="仿宋_GB2312" w:cs="仿宋_GB2312"/>
                <w:sz w:val="32"/>
                <w:szCs w:val="32"/>
              </w:rPr>
              <w:t>59.52</w:t>
            </w:r>
            <w:r>
              <w:rPr>
                <w:rFonts w:hint="eastAsia" w:ascii="仿宋_GB2312" w:hAnsi="仿宋_GB2312" w:eastAsia="仿宋_GB2312" w:cs="仿宋_GB2312"/>
                <w:sz w:val="32"/>
                <w:szCs w:val="32"/>
              </w:rPr>
              <w:t>万元，完成预算的</w:t>
            </w:r>
            <w:r>
              <w:rPr>
                <w:rFonts w:ascii="仿宋_GB2312" w:hAnsi="仿宋_GB2312" w:eastAsia="仿宋_GB2312" w:cs="仿宋_GB2312"/>
                <w:sz w:val="32"/>
                <w:szCs w:val="32"/>
              </w:rPr>
              <w:t>100</w:t>
            </w:r>
            <w:r>
              <w:rPr>
                <w:rFonts w:hint="eastAsia" w:ascii="仿宋_GB2312" w:hAnsi="仿宋_GB2312" w:eastAsia="仿宋_GB2312" w:cs="仿宋_GB2312"/>
                <w:sz w:val="32"/>
                <w:szCs w:val="32"/>
              </w:rPr>
              <w:t>%。通过项目实施，提高了残疾人日常锻炼的效率。</w:t>
            </w:r>
          </w:p>
          <w:p>
            <w:pPr>
              <w:widowControl/>
              <w:jc w:val="center"/>
              <w:textAlignment w:val="center"/>
              <w:rPr>
                <w:rFonts w:ascii="宋体" w:hAnsi="宋体" w:cs="宋体"/>
                <w:color w:val="000000"/>
                <w:sz w:val="36"/>
                <w:szCs w:val="36"/>
              </w:rPr>
            </w:pPr>
            <w:r>
              <w:rPr>
                <w:rFonts w:hint="eastAsia" w:ascii="宋体" w:hAnsi="宋体" w:cs="宋体"/>
                <w:b/>
                <w:bCs/>
                <w:color w:val="000000"/>
                <w:kern w:val="0"/>
                <w:sz w:val="36"/>
                <w:szCs w:val="36"/>
              </w:rPr>
              <w:t>项目绩效目标完成情况表</w:t>
            </w:r>
            <w:r>
              <w:rPr>
                <w:rFonts w:hint="eastAsia" w:ascii="宋体" w:hAnsi="宋体" w:cs="宋体"/>
                <w:b/>
                <w:bCs/>
                <w:color w:val="000000"/>
                <w:kern w:val="0"/>
                <w:sz w:val="36"/>
                <w:szCs w:val="36"/>
              </w:rPr>
              <w:br w:type="textWrapping"/>
            </w:r>
            <w:r>
              <w:rPr>
                <w:rFonts w:hint="eastAsia" w:ascii="宋体" w:hAnsi="宋体" w:cs="宋体"/>
                <w:color w:val="000000"/>
                <w:kern w:val="0"/>
                <w:sz w:val="36"/>
                <w:szCs w:val="36"/>
              </w:rPr>
              <w:t>(2019 年度)</w:t>
            </w:r>
          </w:p>
        </w:tc>
      </w:tr>
      <w:tr>
        <w:tblPrEx>
          <w:tblCellMar>
            <w:top w:w="0" w:type="dxa"/>
            <w:left w:w="0" w:type="dxa"/>
            <w:bottom w:w="0" w:type="dxa"/>
            <w:right w:w="0" w:type="dxa"/>
          </w:tblCellMar>
        </w:tblPrEx>
        <w:trPr>
          <w:trHeight w:val="271" w:hRule="atLeast"/>
          <w:jc w:val="center"/>
        </w:trPr>
        <w:tc>
          <w:tcPr>
            <w:tcW w:w="2769"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项目名称</w:t>
            </w:r>
          </w:p>
        </w:tc>
        <w:tc>
          <w:tcPr>
            <w:tcW w:w="7146"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新宋体" w:hAnsi="新宋体" w:eastAsia="新宋体" w:cs="新宋体"/>
                <w:sz w:val="28"/>
                <w:szCs w:val="28"/>
              </w:rPr>
              <w:t>残疾人辅助器具适配</w:t>
            </w:r>
          </w:p>
        </w:tc>
      </w:tr>
      <w:tr>
        <w:tblPrEx>
          <w:tblCellMar>
            <w:top w:w="0" w:type="dxa"/>
            <w:left w:w="0" w:type="dxa"/>
            <w:bottom w:w="0" w:type="dxa"/>
            <w:right w:w="0" w:type="dxa"/>
          </w:tblCellMar>
        </w:tblPrEx>
        <w:trPr>
          <w:trHeight w:val="271" w:hRule="atLeast"/>
          <w:jc w:val="center"/>
        </w:trPr>
        <w:tc>
          <w:tcPr>
            <w:tcW w:w="2769"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预算单位</w:t>
            </w:r>
          </w:p>
        </w:tc>
        <w:tc>
          <w:tcPr>
            <w:tcW w:w="7146"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ascii="宋体" w:hAnsi="宋体" w:cs="宋体"/>
                <w:color w:val="000000"/>
                <w:sz w:val="24"/>
              </w:rPr>
              <w:t>乐至县残疾人联合会</w:t>
            </w:r>
          </w:p>
        </w:tc>
      </w:tr>
      <w:tr>
        <w:tblPrEx>
          <w:tblCellMar>
            <w:top w:w="0" w:type="dxa"/>
            <w:left w:w="0" w:type="dxa"/>
            <w:bottom w:w="0" w:type="dxa"/>
            <w:right w:w="0" w:type="dxa"/>
          </w:tblCellMar>
        </w:tblPrEx>
        <w:trPr>
          <w:trHeight w:val="271" w:hRule="atLeast"/>
          <w:jc w:val="center"/>
        </w:trPr>
        <w:tc>
          <w:tcPr>
            <w:tcW w:w="388" w:type="dxa"/>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预算执行情况(万元)</w:t>
            </w:r>
          </w:p>
        </w:tc>
        <w:tc>
          <w:tcPr>
            <w:tcW w:w="2381"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预算数:</w:t>
            </w:r>
          </w:p>
        </w:tc>
        <w:tc>
          <w:tcPr>
            <w:tcW w:w="23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ascii="宋体" w:hAnsi="宋体" w:cs="宋体"/>
                <w:color w:val="000000"/>
                <w:sz w:val="24"/>
              </w:rPr>
              <w:t>59.52万元</w:t>
            </w:r>
          </w:p>
        </w:tc>
        <w:tc>
          <w:tcPr>
            <w:tcW w:w="238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执行数:</w:t>
            </w:r>
          </w:p>
        </w:tc>
        <w:tc>
          <w:tcPr>
            <w:tcW w:w="238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ascii="宋体" w:hAnsi="宋体" w:cs="宋体"/>
                <w:color w:val="000000"/>
                <w:sz w:val="24"/>
              </w:rPr>
              <w:t>59.52万元</w:t>
            </w:r>
          </w:p>
        </w:tc>
      </w:tr>
      <w:tr>
        <w:tblPrEx>
          <w:tblCellMar>
            <w:top w:w="0" w:type="dxa"/>
            <w:left w:w="0" w:type="dxa"/>
            <w:bottom w:w="0" w:type="dxa"/>
            <w:right w:w="0" w:type="dxa"/>
          </w:tblCellMar>
        </w:tblPrEx>
        <w:trPr>
          <w:trHeight w:val="271" w:hRule="atLeast"/>
          <w:jc w:val="center"/>
        </w:trPr>
        <w:tc>
          <w:tcPr>
            <w:tcW w:w="388"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ascii="宋体" w:hAnsi="宋体" w:cs="宋体"/>
                <w:color w:val="000000"/>
                <w:sz w:val="24"/>
              </w:rPr>
            </w:pPr>
          </w:p>
        </w:tc>
        <w:tc>
          <w:tcPr>
            <w:tcW w:w="2381"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其中-财政拨款:</w:t>
            </w:r>
          </w:p>
        </w:tc>
        <w:tc>
          <w:tcPr>
            <w:tcW w:w="23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ascii="宋体" w:hAnsi="宋体" w:cs="宋体"/>
                <w:color w:val="000000"/>
                <w:sz w:val="24"/>
              </w:rPr>
              <w:t>59.52万元</w:t>
            </w:r>
          </w:p>
        </w:tc>
        <w:tc>
          <w:tcPr>
            <w:tcW w:w="238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其中-财政拨款:</w:t>
            </w:r>
          </w:p>
        </w:tc>
        <w:tc>
          <w:tcPr>
            <w:tcW w:w="238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ascii="宋体" w:hAnsi="宋体" w:cs="宋体"/>
                <w:color w:val="000000"/>
                <w:sz w:val="24"/>
              </w:rPr>
              <w:t>59.52万元</w:t>
            </w:r>
          </w:p>
        </w:tc>
      </w:tr>
      <w:tr>
        <w:tblPrEx>
          <w:tblCellMar>
            <w:top w:w="0" w:type="dxa"/>
            <w:left w:w="0" w:type="dxa"/>
            <w:bottom w:w="0" w:type="dxa"/>
            <w:right w:w="0" w:type="dxa"/>
          </w:tblCellMar>
        </w:tblPrEx>
        <w:trPr>
          <w:trHeight w:val="1486" w:hRule="atLeast"/>
          <w:jc w:val="center"/>
        </w:trPr>
        <w:tc>
          <w:tcPr>
            <w:tcW w:w="388"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ascii="宋体" w:hAnsi="宋体" w:cs="宋体"/>
                <w:color w:val="000000"/>
                <w:sz w:val="24"/>
              </w:rPr>
            </w:pPr>
          </w:p>
        </w:tc>
        <w:tc>
          <w:tcPr>
            <w:tcW w:w="2381"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其它资金:</w:t>
            </w:r>
          </w:p>
        </w:tc>
        <w:tc>
          <w:tcPr>
            <w:tcW w:w="23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p>
        </w:tc>
        <w:tc>
          <w:tcPr>
            <w:tcW w:w="238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其它资金:</w:t>
            </w:r>
          </w:p>
        </w:tc>
        <w:tc>
          <w:tcPr>
            <w:tcW w:w="238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ascii="宋体" w:hAnsi="宋体" w:cs="宋体"/>
                <w:color w:val="000000"/>
                <w:sz w:val="24"/>
              </w:rPr>
            </w:pPr>
          </w:p>
        </w:tc>
      </w:tr>
      <w:tr>
        <w:tblPrEx>
          <w:tblCellMar>
            <w:top w:w="0" w:type="dxa"/>
            <w:left w:w="0" w:type="dxa"/>
            <w:bottom w:w="0" w:type="dxa"/>
            <w:right w:w="0" w:type="dxa"/>
          </w:tblCellMar>
        </w:tblPrEx>
        <w:trPr>
          <w:trHeight w:val="271" w:hRule="atLeast"/>
          <w:jc w:val="center"/>
        </w:trPr>
        <w:tc>
          <w:tcPr>
            <w:tcW w:w="388" w:type="dxa"/>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年度目标完成情况</w:t>
            </w:r>
          </w:p>
        </w:tc>
        <w:tc>
          <w:tcPr>
            <w:tcW w:w="4762"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预期目标</w:t>
            </w:r>
          </w:p>
        </w:tc>
        <w:tc>
          <w:tcPr>
            <w:tcW w:w="4765"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实际完成目标</w:t>
            </w:r>
          </w:p>
        </w:tc>
      </w:tr>
      <w:tr>
        <w:tblPrEx>
          <w:tblCellMar>
            <w:top w:w="0" w:type="dxa"/>
            <w:left w:w="0" w:type="dxa"/>
            <w:bottom w:w="0" w:type="dxa"/>
            <w:right w:w="0" w:type="dxa"/>
          </w:tblCellMar>
        </w:tblPrEx>
        <w:trPr>
          <w:trHeight w:val="1140" w:hRule="atLeast"/>
          <w:jc w:val="center"/>
        </w:trPr>
        <w:tc>
          <w:tcPr>
            <w:tcW w:w="388"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ascii="宋体" w:hAnsi="宋体" w:cs="宋体"/>
                <w:color w:val="000000"/>
                <w:sz w:val="24"/>
              </w:rPr>
            </w:pPr>
          </w:p>
        </w:tc>
        <w:tc>
          <w:tcPr>
            <w:tcW w:w="4762"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szCs w:val="21"/>
              </w:rPr>
              <w:t>为</w:t>
            </w:r>
            <w:r>
              <w:rPr>
                <w:rFonts w:ascii="宋体" w:hAnsi="宋体" w:cs="宋体"/>
                <w:color w:val="000000"/>
                <w:szCs w:val="21"/>
              </w:rPr>
              <w:t>1023</w:t>
            </w:r>
            <w:r>
              <w:rPr>
                <w:rFonts w:hint="eastAsia" w:ascii="宋体" w:hAnsi="宋体" w:cs="宋体"/>
                <w:color w:val="000000"/>
                <w:szCs w:val="21"/>
              </w:rPr>
              <w:t>名残疾人适配辅助器具</w:t>
            </w:r>
          </w:p>
        </w:tc>
        <w:tc>
          <w:tcPr>
            <w:tcW w:w="4765"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szCs w:val="21"/>
              </w:rPr>
              <w:t>为</w:t>
            </w:r>
            <w:r>
              <w:rPr>
                <w:rFonts w:ascii="宋体" w:hAnsi="宋体" w:cs="宋体"/>
                <w:color w:val="000000"/>
                <w:szCs w:val="21"/>
              </w:rPr>
              <w:t>1023</w:t>
            </w:r>
            <w:r>
              <w:rPr>
                <w:rFonts w:hint="eastAsia" w:ascii="宋体" w:hAnsi="宋体" w:cs="宋体"/>
                <w:color w:val="000000"/>
                <w:szCs w:val="21"/>
              </w:rPr>
              <w:t>名残疾人适配辅助器具</w:t>
            </w:r>
          </w:p>
        </w:tc>
      </w:tr>
      <w:tr>
        <w:tblPrEx>
          <w:tblCellMar>
            <w:top w:w="0" w:type="dxa"/>
            <w:left w:w="0" w:type="dxa"/>
            <w:bottom w:w="0" w:type="dxa"/>
            <w:right w:w="0" w:type="dxa"/>
          </w:tblCellMar>
        </w:tblPrEx>
        <w:trPr>
          <w:trHeight w:val="1025" w:hRule="atLeast"/>
          <w:jc w:val="center"/>
        </w:trPr>
        <w:tc>
          <w:tcPr>
            <w:tcW w:w="388" w:type="dxa"/>
            <w:vMerge w:val="restart"/>
            <w:tcBorders>
              <w:top w:val="single" w:color="000000" w:sz="4" w:space="0"/>
              <w:left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sz w:val="24"/>
              </w:rPr>
              <w:t>绩效指标完成情况</w:t>
            </w:r>
          </w:p>
        </w:tc>
        <w:tc>
          <w:tcPr>
            <w:tcW w:w="136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一级指标</w:t>
            </w:r>
          </w:p>
        </w:tc>
        <w:tc>
          <w:tcPr>
            <w:tcW w:w="102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二级指标</w:t>
            </w:r>
          </w:p>
        </w:tc>
        <w:tc>
          <w:tcPr>
            <w:tcW w:w="23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三级指标</w:t>
            </w:r>
          </w:p>
        </w:tc>
        <w:tc>
          <w:tcPr>
            <w:tcW w:w="238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预期指标值(包含数字及文字描述)</w:t>
            </w:r>
          </w:p>
        </w:tc>
        <w:tc>
          <w:tcPr>
            <w:tcW w:w="238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实际完成指标值(包含数字及文字描述)</w:t>
            </w:r>
          </w:p>
        </w:tc>
      </w:tr>
      <w:tr>
        <w:tblPrEx>
          <w:tblCellMar>
            <w:top w:w="0" w:type="dxa"/>
            <w:left w:w="0" w:type="dxa"/>
            <w:bottom w:w="0" w:type="dxa"/>
            <w:right w:w="0" w:type="dxa"/>
          </w:tblCellMar>
        </w:tblPrEx>
        <w:trPr>
          <w:trHeight w:val="937" w:hRule="atLeast"/>
          <w:jc w:val="center"/>
        </w:trPr>
        <w:tc>
          <w:tcPr>
            <w:tcW w:w="388" w:type="dxa"/>
            <w:vMerge w:val="continue"/>
            <w:tcBorders>
              <w:left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p>
        </w:tc>
        <w:tc>
          <w:tcPr>
            <w:tcW w:w="136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项目完成指标</w:t>
            </w:r>
          </w:p>
        </w:tc>
        <w:tc>
          <w:tcPr>
            <w:tcW w:w="102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ascii="宋体" w:hAnsi="宋体" w:cs="宋体"/>
                <w:color w:val="000000"/>
                <w:sz w:val="24"/>
              </w:rPr>
              <w:t>数量指标</w:t>
            </w:r>
          </w:p>
        </w:tc>
        <w:tc>
          <w:tcPr>
            <w:tcW w:w="23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ind w:left="659" w:leftChars="114" w:hanging="420" w:hangingChars="200"/>
              <w:jc w:val="center"/>
              <w:textAlignment w:val="center"/>
              <w:rPr>
                <w:rFonts w:hint="eastAsia" w:ascii="宋体" w:hAnsi="宋体" w:cs="宋体"/>
                <w:szCs w:val="21"/>
              </w:rPr>
            </w:pPr>
            <w:r>
              <w:rPr>
                <w:rFonts w:hint="eastAsia" w:ascii="宋体" w:hAnsi="宋体" w:cs="宋体"/>
                <w:szCs w:val="21"/>
              </w:rPr>
              <w:t>适配辅助器具</w:t>
            </w:r>
          </w:p>
          <w:p>
            <w:pPr>
              <w:widowControl/>
              <w:jc w:val="center"/>
              <w:textAlignment w:val="center"/>
              <w:rPr>
                <w:rFonts w:ascii="宋体" w:hAnsi="宋体" w:cs="宋体"/>
                <w:color w:val="000000"/>
                <w:sz w:val="24"/>
              </w:rPr>
            </w:pPr>
            <w:r>
              <w:rPr>
                <w:rFonts w:hint="eastAsia" w:ascii="宋体" w:hAnsi="宋体" w:cs="宋体"/>
                <w:szCs w:val="21"/>
              </w:rPr>
              <w:t>残疾人人数</w:t>
            </w:r>
          </w:p>
        </w:tc>
        <w:tc>
          <w:tcPr>
            <w:tcW w:w="238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szCs w:val="21"/>
              </w:rPr>
              <w:t>≧</w:t>
            </w:r>
            <w:r>
              <w:rPr>
                <w:rFonts w:ascii="宋体" w:hAnsi="宋体" w:cs="宋体"/>
                <w:szCs w:val="21"/>
              </w:rPr>
              <w:t>1023</w:t>
            </w:r>
            <w:r>
              <w:rPr>
                <w:rFonts w:hint="eastAsia" w:ascii="宋体" w:hAnsi="宋体" w:cs="宋体"/>
                <w:szCs w:val="21"/>
              </w:rPr>
              <w:t>人</w:t>
            </w:r>
          </w:p>
        </w:tc>
        <w:tc>
          <w:tcPr>
            <w:tcW w:w="238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szCs w:val="21"/>
              </w:rPr>
              <w:t>≧</w:t>
            </w:r>
            <w:r>
              <w:rPr>
                <w:rFonts w:ascii="宋体" w:hAnsi="宋体" w:cs="宋体"/>
                <w:szCs w:val="21"/>
              </w:rPr>
              <w:t>1023</w:t>
            </w:r>
            <w:r>
              <w:rPr>
                <w:rFonts w:hint="eastAsia" w:ascii="宋体" w:hAnsi="宋体" w:cs="宋体"/>
                <w:szCs w:val="21"/>
              </w:rPr>
              <w:t>人</w:t>
            </w:r>
          </w:p>
        </w:tc>
      </w:tr>
      <w:tr>
        <w:tblPrEx>
          <w:tblCellMar>
            <w:top w:w="0" w:type="dxa"/>
            <w:left w:w="0" w:type="dxa"/>
            <w:bottom w:w="0" w:type="dxa"/>
            <w:right w:w="0" w:type="dxa"/>
          </w:tblCellMar>
        </w:tblPrEx>
        <w:trPr>
          <w:trHeight w:val="1276" w:hRule="atLeast"/>
          <w:jc w:val="center"/>
        </w:trPr>
        <w:tc>
          <w:tcPr>
            <w:tcW w:w="388" w:type="dxa"/>
            <w:vMerge w:val="continue"/>
            <w:tcBorders>
              <w:left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p>
        </w:tc>
        <w:tc>
          <w:tcPr>
            <w:tcW w:w="136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项目完成指标</w:t>
            </w:r>
          </w:p>
        </w:tc>
        <w:tc>
          <w:tcPr>
            <w:tcW w:w="102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ascii="宋体" w:hAnsi="宋体" w:cs="宋体"/>
                <w:color w:val="000000"/>
                <w:sz w:val="24"/>
              </w:rPr>
              <w:t>社会效益指标</w:t>
            </w:r>
          </w:p>
        </w:tc>
        <w:tc>
          <w:tcPr>
            <w:tcW w:w="23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hint="eastAsia" w:ascii="宋体" w:hAnsi="宋体" w:cs="宋体"/>
                <w:color w:val="000000"/>
                <w:sz w:val="24"/>
              </w:rPr>
            </w:pPr>
            <w:r>
              <w:rPr>
                <w:rFonts w:hint="eastAsia" w:ascii="宋体" w:hAnsi="宋体" w:cs="宋体"/>
                <w:szCs w:val="21"/>
              </w:rPr>
              <w:t>残疾人出行方便率</w:t>
            </w:r>
          </w:p>
        </w:tc>
        <w:tc>
          <w:tcPr>
            <w:tcW w:w="238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szCs w:val="21"/>
              </w:rPr>
              <w:t>明显提高</w:t>
            </w:r>
          </w:p>
        </w:tc>
        <w:tc>
          <w:tcPr>
            <w:tcW w:w="238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szCs w:val="21"/>
              </w:rPr>
              <w:t>明显提高</w:t>
            </w:r>
          </w:p>
        </w:tc>
      </w:tr>
      <w:tr>
        <w:tblPrEx>
          <w:tblCellMar>
            <w:top w:w="0" w:type="dxa"/>
            <w:left w:w="0" w:type="dxa"/>
            <w:bottom w:w="0" w:type="dxa"/>
            <w:right w:w="0" w:type="dxa"/>
          </w:tblCellMar>
        </w:tblPrEx>
        <w:trPr>
          <w:trHeight w:val="1025" w:hRule="atLeast"/>
          <w:jc w:val="center"/>
        </w:trPr>
        <w:tc>
          <w:tcPr>
            <w:tcW w:w="388" w:type="dxa"/>
            <w:vMerge w:val="continue"/>
            <w:tcBorders>
              <w:left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p>
        </w:tc>
        <w:tc>
          <w:tcPr>
            <w:tcW w:w="136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color w:val="000000"/>
                <w:kern w:val="0"/>
                <w:sz w:val="24"/>
              </w:rPr>
              <w:t>项目完成指标</w:t>
            </w:r>
          </w:p>
        </w:tc>
        <w:tc>
          <w:tcPr>
            <w:tcW w:w="102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ascii="宋体" w:hAnsi="宋体" w:cs="宋体"/>
                <w:color w:val="000000"/>
                <w:sz w:val="24"/>
              </w:rPr>
              <w:t>服务对象满意度指标</w:t>
            </w:r>
          </w:p>
        </w:tc>
        <w:tc>
          <w:tcPr>
            <w:tcW w:w="23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szCs w:val="21"/>
              </w:rPr>
              <w:t>残疾人或家属对辅助器具适配的满意度</w:t>
            </w:r>
          </w:p>
        </w:tc>
        <w:tc>
          <w:tcPr>
            <w:tcW w:w="238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szCs w:val="21"/>
              </w:rPr>
              <w:t>≧80%</w:t>
            </w:r>
          </w:p>
        </w:tc>
        <w:tc>
          <w:tcPr>
            <w:tcW w:w="238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textAlignment w:val="center"/>
              <w:rPr>
                <w:rFonts w:ascii="宋体" w:hAnsi="宋体" w:cs="宋体"/>
                <w:color w:val="000000"/>
                <w:sz w:val="24"/>
              </w:rPr>
            </w:pPr>
            <w:r>
              <w:rPr>
                <w:rFonts w:hint="eastAsia" w:ascii="宋体" w:hAnsi="宋体" w:cs="宋体"/>
                <w:szCs w:val="21"/>
              </w:rPr>
              <w:t>≧80%</w:t>
            </w:r>
          </w:p>
        </w:tc>
      </w:tr>
    </w:tbl>
    <w:p>
      <w:pPr>
        <w:spacing w:line="580" w:lineRule="exact"/>
        <w:rPr>
          <w:rFonts w:hint="eastAsia" w:ascii="楷体_GB2312" w:hAnsi="楷体_GB2312" w:eastAsia="楷体_GB2312" w:cs="楷体_GB2312"/>
          <w:sz w:val="32"/>
          <w:szCs w:val="32"/>
        </w:rPr>
      </w:pPr>
    </w:p>
    <w:p>
      <w:pPr>
        <w:spacing w:line="580" w:lineRule="exact"/>
        <w:ind w:left="630"/>
        <w:rPr>
          <w:rFonts w:ascii="仿宋_GB2312" w:hAnsi="仿宋_GB2312" w:eastAsia="仿宋_GB2312" w:cs="仿宋_GB2312"/>
          <w:sz w:val="32"/>
          <w:szCs w:val="32"/>
        </w:rPr>
      </w:pPr>
      <w:r>
        <w:rPr>
          <w:rFonts w:hint="eastAsia" w:ascii="楷体_GB2312" w:hAnsi="楷体_GB2312" w:eastAsia="楷体_GB2312" w:cs="楷体_GB2312"/>
          <w:sz w:val="32"/>
          <w:szCs w:val="32"/>
        </w:rPr>
        <w:t>2.部门绩效评价结果。</w:t>
      </w:r>
    </w:p>
    <w:p>
      <w:pPr>
        <w:spacing w:line="58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本部门按要求对2019年部门整体支出绩效评价情况开展自评，</w:t>
      </w:r>
      <w:r>
        <w:rPr>
          <w:rFonts w:hint="eastAsia" w:ascii="宋体" w:hAnsi="宋体" w:cs="宋体"/>
          <w:color w:val="000000"/>
          <w:sz w:val="28"/>
        </w:rPr>
        <w:t>《乐至县残疾人联合会201</w:t>
      </w:r>
      <w:r>
        <w:rPr>
          <w:rFonts w:ascii="宋体" w:hAnsi="宋体" w:cs="宋体"/>
          <w:color w:val="000000"/>
          <w:sz w:val="28"/>
        </w:rPr>
        <w:t>9</w:t>
      </w:r>
      <w:r>
        <w:rPr>
          <w:rFonts w:hint="eastAsia" w:ascii="宋体" w:hAnsi="宋体" w:cs="宋体"/>
          <w:color w:val="000000"/>
          <w:sz w:val="28"/>
        </w:rPr>
        <w:t>年部门整体支出绩效评价报告》见附件</w:t>
      </w:r>
      <w:r>
        <w:rPr>
          <w:rFonts w:hint="eastAsia" w:ascii="仿宋_GB2312" w:hAnsi="仿宋_GB2312" w:eastAsia="仿宋_GB2312" w:cs="仿宋_GB2312"/>
          <w:sz w:val="32"/>
          <w:szCs w:val="32"/>
        </w:rPr>
        <w:t>。</w:t>
      </w:r>
    </w:p>
    <w:p>
      <w:pPr>
        <w:spacing w:line="58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本部门自行组织对残疾人康复训练、辅具适配项目开展了绩效评价，《</w:t>
      </w:r>
      <w:r>
        <w:rPr>
          <w:rFonts w:hint="eastAsia" w:ascii="宋体" w:hAnsi="宋体" w:cs="宋体"/>
          <w:color w:val="000000"/>
          <w:sz w:val="28"/>
        </w:rPr>
        <w:t>残疾人康复训练、辅具适配项目201</w:t>
      </w:r>
      <w:r>
        <w:rPr>
          <w:rFonts w:ascii="宋体" w:hAnsi="宋体" w:cs="宋体"/>
          <w:color w:val="000000"/>
          <w:sz w:val="28"/>
        </w:rPr>
        <w:t>9</w:t>
      </w:r>
      <w:r>
        <w:rPr>
          <w:rFonts w:hint="eastAsia" w:ascii="宋体" w:hAnsi="宋体" w:cs="宋体"/>
          <w:color w:val="000000"/>
          <w:sz w:val="28"/>
        </w:rPr>
        <w:t>年绩效评价报告</w:t>
      </w:r>
      <w:r>
        <w:rPr>
          <w:rFonts w:hint="eastAsia" w:ascii="仿宋_GB2312" w:hAnsi="仿宋_GB2312" w:eastAsia="仿宋_GB2312" w:cs="仿宋_GB2312"/>
          <w:sz w:val="32"/>
          <w:szCs w:val="32"/>
        </w:rPr>
        <w:t>》见附件。</w:t>
      </w:r>
      <w:bookmarkStart w:id="47" w:name="_Toc15377225"/>
      <w:bookmarkStart w:id="48" w:name="_Toc15396613"/>
    </w:p>
    <w:p>
      <w:pPr>
        <w:spacing w:line="580" w:lineRule="exact"/>
        <w:rPr>
          <w:rFonts w:hint="eastAsia" w:ascii="仿宋_GB2312" w:hAnsi="仿宋_GB2312" w:eastAsia="仿宋_GB2312" w:cs="仿宋_GB2312"/>
          <w:sz w:val="32"/>
          <w:szCs w:val="32"/>
        </w:rPr>
      </w:pPr>
    </w:p>
    <w:p>
      <w:pPr>
        <w:spacing w:line="580" w:lineRule="exact"/>
        <w:ind w:firstLine="880" w:firstLineChars="200"/>
        <w:rPr>
          <w:rStyle w:val="27"/>
          <w:rFonts w:ascii="黑体" w:hAnsi="黑体" w:eastAsia="黑体"/>
          <w:b w:val="0"/>
        </w:rPr>
      </w:pPr>
      <w:r>
        <w:rPr>
          <w:rFonts w:hint="eastAsia" w:ascii="黑体" w:hAnsi="黑体" w:eastAsia="黑体"/>
          <w:color w:val="000000"/>
          <w:sz w:val="44"/>
          <w:szCs w:val="44"/>
        </w:rPr>
        <w:t>名</w:t>
      </w:r>
      <w:r>
        <w:rPr>
          <w:rStyle w:val="27"/>
          <w:rFonts w:hint="eastAsia" w:ascii="黑体" w:hAnsi="黑体" w:eastAsia="黑体"/>
          <w:b w:val="0"/>
        </w:rPr>
        <w:t>词解释</w:t>
      </w:r>
      <w:bookmarkEnd w:id="47"/>
      <w:bookmarkEnd w:id="48"/>
    </w:p>
    <w:p>
      <w:pPr>
        <w:spacing w:line="600" w:lineRule="exact"/>
        <w:jc w:val="left"/>
        <w:rPr>
          <w:rFonts w:ascii="宋体"/>
          <w:b/>
          <w:color w:val="000000"/>
          <w:sz w:val="44"/>
          <w:szCs w:val="44"/>
        </w:rPr>
      </w:pPr>
    </w:p>
    <w:p>
      <w:pPr>
        <w:pStyle w:val="25"/>
        <w:spacing w:line="560" w:lineRule="exact"/>
        <w:ind w:firstLine="640" w:firstLineChars="200"/>
        <w:rPr>
          <w:rFonts w:ascii="仿宋_GB2312" w:eastAsia="仿宋_GB2312"/>
          <w:sz w:val="32"/>
          <w:szCs w:val="32"/>
        </w:rPr>
      </w:pPr>
      <w:r>
        <w:rPr>
          <w:rFonts w:ascii="仿宋_GB2312" w:eastAsia="仿宋_GB2312"/>
          <w:sz w:val="32"/>
          <w:szCs w:val="32"/>
        </w:rPr>
        <w:t>1.</w:t>
      </w:r>
      <w:r>
        <w:rPr>
          <w:rFonts w:hint="eastAsia" w:ascii="仿宋_GB2312" w:eastAsia="仿宋_GB2312"/>
          <w:sz w:val="32"/>
          <w:szCs w:val="32"/>
        </w:rPr>
        <w:t>财政拨款收入：指单位从同级财政部门取得的财政预算资金。</w:t>
      </w:r>
    </w:p>
    <w:p>
      <w:pPr>
        <w:pStyle w:val="25"/>
        <w:spacing w:line="560" w:lineRule="exact"/>
        <w:ind w:firstLine="640" w:firstLineChars="200"/>
        <w:rPr>
          <w:rFonts w:ascii="仿宋_GB2312" w:eastAsia="仿宋_GB2312"/>
          <w:sz w:val="32"/>
          <w:szCs w:val="32"/>
        </w:rPr>
      </w:pPr>
      <w:r>
        <w:rPr>
          <w:rFonts w:ascii="仿宋_GB2312" w:eastAsia="仿宋_GB2312"/>
          <w:sz w:val="32"/>
          <w:szCs w:val="32"/>
        </w:rPr>
        <w:t>2.</w:t>
      </w:r>
      <w:r>
        <w:rPr>
          <w:rFonts w:hint="eastAsia" w:ascii="仿宋_GB2312" w:eastAsia="仿宋_GB2312"/>
          <w:sz w:val="32"/>
          <w:szCs w:val="32"/>
        </w:rPr>
        <w:t>事业收入：指事业单位开展专业业务活动及辅助活动取得的收入。如…（二级预算单位事业收入情况）等。</w:t>
      </w:r>
    </w:p>
    <w:p>
      <w:pPr>
        <w:pStyle w:val="25"/>
        <w:spacing w:line="560" w:lineRule="exact"/>
        <w:ind w:firstLine="640" w:firstLineChars="200"/>
        <w:rPr>
          <w:rFonts w:ascii="仿宋_GB2312" w:eastAsia="仿宋_GB2312"/>
          <w:sz w:val="32"/>
          <w:szCs w:val="32"/>
        </w:rPr>
      </w:pPr>
      <w:r>
        <w:rPr>
          <w:rFonts w:ascii="仿宋_GB2312" w:eastAsia="仿宋_GB2312"/>
          <w:sz w:val="32"/>
          <w:szCs w:val="32"/>
        </w:rPr>
        <w:t>3.</w:t>
      </w:r>
      <w:r>
        <w:rPr>
          <w:rFonts w:hint="eastAsia" w:ascii="仿宋_GB2312" w:eastAsia="仿宋_GB2312"/>
          <w:sz w:val="32"/>
          <w:szCs w:val="32"/>
        </w:rPr>
        <w:t>经营收入：指事业单位在专业业务活动及其辅助活动之外开展非独立核算经营活动取得的收入。如…（二级预算单位经营收入情况）等。</w:t>
      </w:r>
    </w:p>
    <w:p>
      <w:pPr>
        <w:pStyle w:val="25"/>
        <w:spacing w:line="560" w:lineRule="exact"/>
        <w:ind w:firstLine="640" w:firstLineChars="200"/>
        <w:rPr>
          <w:rFonts w:ascii="仿宋_GB2312" w:eastAsia="仿宋_GB2312"/>
          <w:sz w:val="32"/>
          <w:szCs w:val="32"/>
        </w:rPr>
      </w:pPr>
      <w:r>
        <w:rPr>
          <w:rFonts w:ascii="仿宋_GB2312" w:eastAsia="仿宋_GB2312"/>
          <w:sz w:val="32"/>
          <w:szCs w:val="32"/>
        </w:rPr>
        <w:t>4.</w:t>
      </w:r>
      <w:r>
        <w:rPr>
          <w:rFonts w:hint="eastAsia" w:ascii="仿宋_GB2312" w:eastAsia="仿宋_GB2312"/>
          <w:sz w:val="32"/>
          <w:szCs w:val="32"/>
        </w:rPr>
        <w:t>其他收入：指单位取得的除上述收入以外的各项收入。主要是…（收入类型）等。</w:t>
      </w:r>
      <w:r>
        <w:rPr>
          <w:rFonts w:ascii="仿宋_GB2312" w:eastAsia="仿宋_GB2312"/>
          <w:sz w:val="32"/>
          <w:szCs w:val="32"/>
        </w:rPr>
        <w:t xml:space="preserve"> </w:t>
      </w:r>
    </w:p>
    <w:p>
      <w:pPr>
        <w:pStyle w:val="25"/>
        <w:spacing w:line="560" w:lineRule="exact"/>
        <w:ind w:firstLine="640" w:firstLineChars="200"/>
        <w:rPr>
          <w:rFonts w:ascii="仿宋_GB2312" w:eastAsia="仿宋_GB2312"/>
          <w:sz w:val="32"/>
          <w:szCs w:val="32"/>
        </w:rPr>
      </w:pPr>
      <w:r>
        <w:rPr>
          <w:rFonts w:ascii="仿宋_GB2312" w:eastAsia="仿宋_GB2312"/>
          <w:sz w:val="32"/>
          <w:szCs w:val="32"/>
        </w:rPr>
        <w:t>5.</w:t>
      </w:r>
      <w:r>
        <w:rPr>
          <w:rFonts w:hint="eastAsia" w:ascii="仿宋_GB2312" w:eastAsia="仿宋_GB2312"/>
          <w:sz w:val="32"/>
          <w:szCs w:val="32"/>
        </w:rPr>
        <w:t>用事业基金弥补收支差额：指事业单位在当年的财政拨款收入、事业收入、经营收入、其他收入不足以安排当年支出的情况下，使用以前年度积累的事业基金（事业单位当年收支相抵后按国家规定提取、用于弥补以后年度收支差额的基金）弥补本年度收支缺口的资金。</w:t>
      </w:r>
      <w:r>
        <w:rPr>
          <w:rFonts w:ascii="仿宋_GB2312" w:eastAsia="仿宋_GB2312"/>
          <w:sz w:val="32"/>
          <w:szCs w:val="32"/>
        </w:rPr>
        <w:t xml:space="preserve"> </w:t>
      </w:r>
    </w:p>
    <w:p>
      <w:pPr>
        <w:pStyle w:val="25"/>
        <w:spacing w:line="560" w:lineRule="exact"/>
        <w:ind w:firstLine="640" w:firstLineChars="200"/>
        <w:rPr>
          <w:rFonts w:ascii="仿宋_GB2312" w:eastAsia="仿宋_GB2312"/>
          <w:sz w:val="32"/>
          <w:szCs w:val="32"/>
        </w:rPr>
      </w:pPr>
      <w:r>
        <w:rPr>
          <w:rFonts w:ascii="仿宋_GB2312" w:eastAsia="仿宋_GB2312"/>
          <w:sz w:val="32"/>
          <w:szCs w:val="32"/>
        </w:rPr>
        <w:t>6.</w:t>
      </w:r>
      <w:r>
        <w:rPr>
          <w:rFonts w:hint="eastAsia" w:ascii="仿宋_GB2312" w:eastAsia="仿宋_GB2312"/>
          <w:sz w:val="32"/>
          <w:szCs w:val="32"/>
        </w:rPr>
        <w:t>年初结转和结余：指以前年度尚未完成、结转到本年按有关规定继续使用的资金。</w:t>
      </w:r>
      <w:r>
        <w:rPr>
          <w:rFonts w:ascii="仿宋_GB2312" w:eastAsia="仿宋_GB2312"/>
          <w:sz w:val="32"/>
          <w:szCs w:val="32"/>
        </w:rPr>
        <w:t xml:space="preserve"> </w:t>
      </w:r>
    </w:p>
    <w:p>
      <w:pPr>
        <w:pStyle w:val="25"/>
        <w:spacing w:line="560" w:lineRule="exact"/>
        <w:ind w:firstLine="640" w:firstLineChars="200"/>
        <w:rPr>
          <w:rFonts w:ascii="仿宋_GB2312" w:eastAsia="仿宋_GB2312"/>
          <w:sz w:val="32"/>
          <w:szCs w:val="32"/>
        </w:rPr>
      </w:pPr>
      <w:r>
        <w:rPr>
          <w:rFonts w:ascii="仿宋_GB2312" w:eastAsia="仿宋_GB2312"/>
          <w:sz w:val="32"/>
          <w:szCs w:val="32"/>
        </w:rPr>
        <w:t>7.</w:t>
      </w:r>
      <w:r>
        <w:rPr>
          <w:rFonts w:hint="eastAsia" w:ascii="仿宋_GB2312" w:eastAsia="仿宋_GB2312"/>
          <w:sz w:val="32"/>
          <w:szCs w:val="32"/>
        </w:rPr>
        <w:t>结余分配：指事业单位按照事业单位会计制度的规定从非财政补助结余中分配的事业基金和职工福利基金等。</w:t>
      </w:r>
    </w:p>
    <w:p>
      <w:pPr>
        <w:pStyle w:val="25"/>
        <w:spacing w:line="560" w:lineRule="exact"/>
        <w:ind w:firstLine="640" w:firstLineChars="200"/>
        <w:rPr>
          <w:rFonts w:ascii="仿宋_GB2312" w:eastAsia="仿宋_GB2312"/>
          <w:sz w:val="32"/>
          <w:szCs w:val="32"/>
        </w:rPr>
      </w:pPr>
      <w:r>
        <w:rPr>
          <w:rFonts w:ascii="仿宋_GB2312" w:eastAsia="仿宋_GB2312"/>
          <w:sz w:val="32"/>
          <w:szCs w:val="32"/>
        </w:rPr>
        <w:t>8</w:t>
      </w:r>
      <w:r>
        <w:rPr>
          <w:rFonts w:hint="eastAsia" w:ascii="仿宋_GB2312" w:eastAsia="仿宋_GB2312"/>
          <w:sz w:val="32"/>
          <w:szCs w:val="32"/>
        </w:rPr>
        <w:t>、年末结转和结余：指单位按有关规定结转到下年或以后年度继续使用的资金。</w:t>
      </w:r>
    </w:p>
    <w:p>
      <w:pPr>
        <w:ind w:firstLine="640" w:firstLineChars="200"/>
        <w:rPr>
          <w:rFonts w:ascii="仿宋_GB2312" w:eastAsia="仿宋_GB2312"/>
          <w:color w:val="000000"/>
          <w:sz w:val="32"/>
          <w:szCs w:val="32"/>
        </w:rPr>
      </w:pPr>
      <w:r>
        <w:rPr>
          <w:rFonts w:ascii="仿宋_GB2312" w:eastAsia="仿宋_GB2312"/>
          <w:color w:val="000000"/>
          <w:sz w:val="32"/>
          <w:szCs w:val="32"/>
        </w:rPr>
        <w:t>9.</w:t>
      </w:r>
      <w:r>
        <w:rPr>
          <w:rFonts w:hint="eastAsia" w:ascii="仿宋_GB2312" w:eastAsia="仿宋_GB2312"/>
          <w:color w:val="000000"/>
          <w:sz w:val="32"/>
          <w:szCs w:val="32"/>
        </w:rPr>
        <w:t>一般公共服务（类）…（款）…（项）：指……。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10.</w:t>
      </w:r>
      <w:r>
        <w:rPr>
          <w:rFonts w:hint="eastAsia" w:ascii="仿宋_GB2312" w:eastAsia="仿宋_GB2312"/>
          <w:color w:val="000000"/>
          <w:sz w:val="32"/>
          <w:szCs w:val="32"/>
        </w:rPr>
        <w:t>外交（类）…（款）…（项）：指……。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11.</w:t>
      </w:r>
      <w:r>
        <w:rPr>
          <w:rFonts w:hint="eastAsia" w:ascii="仿宋_GB2312" w:eastAsia="仿宋_GB2312"/>
          <w:color w:val="000000"/>
          <w:sz w:val="32"/>
          <w:szCs w:val="32"/>
        </w:rPr>
        <w:t>公共安全（类）…（款）…（项）：指……。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12.</w:t>
      </w:r>
      <w:r>
        <w:rPr>
          <w:rFonts w:hint="eastAsia" w:ascii="仿宋_GB2312" w:eastAsia="仿宋_GB2312"/>
          <w:color w:val="000000"/>
          <w:sz w:val="32"/>
          <w:szCs w:val="32"/>
        </w:rPr>
        <w:t>教育（类）…（款）…（项）：指……。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13.</w:t>
      </w:r>
      <w:r>
        <w:rPr>
          <w:rFonts w:hint="eastAsia" w:ascii="仿宋_GB2312" w:eastAsia="仿宋_GB2312"/>
          <w:color w:val="000000"/>
          <w:sz w:val="32"/>
          <w:szCs w:val="32"/>
        </w:rPr>
        <w:t>科学技术（类）…（款）…（项）：指……。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14.</w:t>
      </w:r>
      <w:r>
        <w:rPr>
          <w:rFonts w:hint="eastAsia" w:ascii="仿宋_GB2312" w:eastAsia="仿宋_GB2312"/>
          <w:color w:val="000000"/>
          <w:sz w:val="32"/>
          <w:szCs w:val="32"/>
        </w:rPr>
        <w:t>文化体育与传媒（类）…（款）…（项）：指……。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15.</w:t>
      </w:r>
      <w:r>
        <w:rPr>
          <w:rFonts w:hint="eastAsia" w:ascii="仿宋_GB2312" w:eastAsia="仿宋_GB2312"/>
          <w:color w:val="000000"/>
          <w:sz w:val="32"/>
          <w:szCs w:val="32"/>
        </w:rPr>
        <w:t>社会保障和就业（类）…（款）…（项）：指……。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16.</w:t>
      </w:r>
      <w:r>
        <w:rPr>
          <w:rFonts w:hint="eastAsia" w:ascii="仿宋_GB2312" w:eastAsia="仿宋_GB2312"/>
          <w:color w:val="000000"/>
          <w:sz w:val="32"/>
          <w:szCs w:val="32"/>
        </w:rPr>
        <w:t>医疗卫生与计划生育（类）…（款）…（项）：指……。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17.</w:t>
      </w:r>
      <w:r>
        <w:rPr>
          <w:rFonts w:hint="eastAsia" w:ascii="仿宋_GB2312" w:eastAsia="仿宋_GB2312"/>
          <w:color w:val="000000"/>
          <w:sz w:val="32"/>
          <w:szCs w:val="32"/>
        </w:rPr>
        <w:t>节能环保（类）…（款）…（项）：指……。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18.</w:t>
      </w:r>
      <w:r>
        <w:rPr>
          <w:rFonts w:hint="eastAsia" w:ascii="仿宋_GB2312" w:eastAsia="仿宋_GB2312"/>
          <w:color w:val="000000"/>
          <w:sz w:val="32"/>
          <w:szCs w:val="32"/>
        </w:rPr>
        <w:t>城乡社区（类）…（款）…（项）：指……。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19.</w:t>
      </w:r>
      <w:r>
        <w:rPr>
          <w:rFonts w:hint="eastAsia" w:ascii="仿宋_GB2312" w:eastAsia="仿宋_GB2312"/>
          <w:color w:val="000000"/>
          <w:sz w:val="32"/>
          <w:szCs w:val="32"/>
        </w:rPr>
        <w:t>农林水（类）…（款）…（项）：指……。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20.</w:t>
      </w:r>
      <w:r>
        <w:rPr>
          <w:rFonts w:hint="eastAsia" w:ascii="仿宋_GB2312" w:eastAsia="仿宋_GB2312"/>
          <w:color w:val="000000"/>
          <w:sz w:val="32"/>
          <w:szCs w:val="32"/>
        </w:rPr>
        <w:t>交通运输（类）…（款）…（项）：指……。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21.</w:t>
      </w:r>
      <w:r>
        <w:rPr>
          <w:rFonts w:hint="eastAsia" w:ascii="仿宋_GB2312" w:eastAsia="仿宋_GB2312"/>
          <w:color w:val="000000"/>
          <w:sz w:val="32"/>
          <w:szCs w:val="32"/>
        </w:rPr>
        <w:t>资源勘探信息等（类）…（款）…（项）：指……。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22.</w:t>
      </w:r>
      <w:r>
        <w:rPr>
          <w:rFonts w:hint="eastAsia" w:ascii="仿宋_GB2312" w:eastAsia="仿宋_GB2312"/>
          <w:color w:val="000000"/>
          <w:sz w:val="32"/>
          <w:szCs w:val="32"/>
        </w:rPr>
        <w:t>商业服务业（类）…（款）…（项）：指……。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23.</w:t>
      </w:r>
      <w:r>
        <w:rPr>
          <w:rFonts w:hint="eastAsia" w:ascii="仿宋_GB2312" w:eastAsia="仿宋_GB2312"/>
          <w:color w:val="000000"/>
          <w:sz w:val="32"/>
          <w:szCs w:val="32"/>
        </w:rPr>
        <w:t>金融（类）…（款）…（项）：指……。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24.</w:t>
      </w:r>
      <w:r>
        <w:rPr>
          <w:rFonts w:hint="eastAsia" w:ascii="仿宋_GB2312" w:eastAsia="仿宋_GB2312"/>
          <w:color w:val="000000"/>
          <w:sz w:val="32"/>
          <w:szCs w:val="32"/>
        </w:rPr>
        <w:t>国土海洋气象等（类）…（款）…（项）：指……。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25.</w:t>
      </w:r>
      <w:r>
        <w:rPr>
          <w:rFonts w:hint="eastAsia" w:ascii="仿宋_GB2312" w:eastAsia="仿宋_GB2312"/>
          <w:color w:val="000000"/>
          <w:sz w:val="32"/>
          <w:szCs w:val="32"/>
        </w:rPr>
        <w:t>住房保障（类）…（款）…（项）：指……。</w:t>
      </w:r>
    </w:p>
    <w:p>
      <w:pPr>
        <w:ind w:firstLine="640" w:firstLineChars="200"/>
        <w:rPr>
          <w:rFonts w:ascii="仿宋_GB2312" w:eastAsia="仿宋_GB2312"/>
          <w:color w:val="000000"/>
          <w:sz w:val="32"/>
          <w:szCs w:val="32"/>
        </w:rPr>
      </w:pPr>
      <w:r>
        <w:rPr>
          <w:rFonts w:ascii="仿宋_GB2312" w:eastAsia="仿宋_GB2312"/>
          <w:color w:val="000000"/>
          <w:sz w:val="32"/>
          <w:szCs w:val="32"/>
        </w:rPr>
        <w:t>26.</w:t>
      </w:r>
      <w:r>
        <w:rPr>
          <w:rFonts w:hint="eastAsia" w:ascii="仿宋_GB2312" w:eastAsia="仿宋_GB2312"/>
          <w:color w:val="000000"/>
          <w:sz w:val="32"/>
          <w:szCs w:val="32"/>
        </w:rPr>
        <w:t>粮油物资储备（类）…（款）…（项）：指……。</w:t>
      </w:r>
    </w:p>
    <w:p>
      <w:pPr>
        <w:ind w:firstLine="640" w:firstLineChars="200"/>
        <w:rPr>
          <w:rFonts w:ascii="仿宋_GB2312" w:eastAsia="仿宋_GB2312"/>
          <w:color w:val="000000"/>
          <w:sz w:val="32"/>
          <w:szCs w:val="32"/>
        </w:rPr>
      </w:pPr>
      <w:r>
        <w:rPr>
          <w:rFonts w:hint="eastAsia" w:ascii="仿宋_GB2312" w:eastAsia="仿宋_GB2312"/>
          <w:color w:val="000000"/>
          <w:sz w:val="32"/>
          <w:szCs w:val="32"/>
        </w:rPr>
        <w:t>……</w:t>
      </w:r>
    </w:p>
    <w:p>
      <w:pPr>
        <w:ind w:firstLine="640" w:firstLineChars="200"/>
        <w:rPr>
          <w:rFonts w:ascii="仿宋_GB2312" w:eastAsia="仿宋_GB2312"/>
          <w:color w:val="000000"/>
          <w:sz w:val="32"/>
          <w:szCs w:val="32"/>
        </w:rPr>
      </w:pPr>
      <w:r>
        <w:rPr>
          <w:rFonts w:hint="eastAsia" w:ascii="仿宋_GB2312" w:eastAsia="仿宋_GB2312"/>
          <w:color w:val="000000"/>
          <w:sz w:val="32"/>
          <w:szCs w:val="32"/>
        </w:rPr>
        <w:t>……</w:t>
      </w:r>
    </w:p>
    <w:p>
      <w:pPr>
        <w:ind w:firstLine="640" w:firstLineChars="200"/>
        <w:rPr>
          <w:rFonts w:ascii="仿宋_GB2312" w:eastAsia="仿宋_GB2312"/>
          <w:color w:val="000000"/>
          <w:sz w:val="32"/>
          <w:szCs w:val="32"/>
        </w:rPr>
      </w:pPr>
      <w:r>
        <w:rPr>
          <w:rFonts w:hint="eastAsia" w:ascii="仿宋_GB2312" w:eastAsia="仿宋_GB2312"/>
          <w:color w:val="000000"/>
          <w:sz w:val="32"/>
          <w:szCs w:val="32"/>
        </w:rPr>
        <w:t>……</w:t>
      </w:r>
    </w:p>
    <w:p>
      <w:pPr>
        <w:spacing w:line="600" w:lineRule="exact"/>
        <w:ind w:firstLine="640"/>
        <w:rPr>
          <w:rFonts w:ascii="仿宋" w:hAnsi="仿宋" w:eastAsia="仿宋"/>
          <w:b/>
          <w:color w:val="000000"/>
          <w:sz w:val="32"/>
          <w:szCs w:val="32"/>
        </w:rPr>
      </w:pPr>
      <w:r>
        <w:rPr>
          <w:rFonts w:hint="eastAsia" w:ascii="仿宋" w:hAnsi="仿宋" w:eastAsia="仿宋"/>
          <w:b/>
          <w:color w:val="000000"/>
          <w:sz w:val="32"/>
          <w:szCs w:val="32"/>
        </w:rPr>
        <w:t>（解释本部门决算报表中全部功能分类科目至项级，请参照《</w:t>
      </w:r>
      <w:r>
        <w:rPr>
          <w:rFonts w:ascii="仿宋" w:hAnsi="仿宋" w:eastAsia="仿宋"/>
          <w:b/>
          <w:color w:val="000000"/>
          <w:sz w:val="32"/>
          <w:szCs w:val="32"/>
        </w:rPr>
        <w:t>201</w:t>
      </w:r>
      <w:r>
        <w:rPr>
          <w:rFonts w:hint="eastAsia" w:ascii="仿宋" w:hAnsi="仿宋" w:eastAsia="仿宋"/>
          <w:b/>
          <w:color w:val="000000"/>
          <w:sz w:val="32"/>
          <w:szCs w:val="32"/>
        </w:rPr>
        <w:t>9年政府收支分类科目》增减内容。）</w:t>
      </w:r>
    </w:p>
    <w:p>
      <w:pPr>
        <w:ind w:firstLine="640" w:firstLineChars="200"/>
        <w:rPr>
          <w:rFonts w:ascii="仿宋_GB2312" w:eastAsia="仿宋_GB2312"/>
          <w:color w:val="000000"/>
          <w:sz w:val="32"/>
          <w:szCs w:val="32"/>
        </w:rPr>
      </w:pPr>
      <w:r>
        <w:rPr>
          <w:rFonts w:ascii="仿宋_GB2312" w:eastAsia="仿宋_GB2312"/>
          <w:color w:val="000000"/>
          <w:sz w:val="32"/>
          <w:szCs w:val="32"/>
        </w:rPr>
        <w:t>27.</w:t>
      </w:r>
      <w:r>
        <w:rPr>
          <w:rFonts w:hint="eastAsia" w:ascii="仿宋_GB2312" w:eastAsia="仿宋_GB2312"/>
          <w:color w:val="000000"/>
          <w:sz w:val="32"/>
          <w:szCs w:val="32"/>
        </w:rPr>
        <w:t>基本支出：指为保障机构正常运转、完成日常工作任务而发生的人员支出和公用支出。</w:t>
      </w:r>
    </w:p>
    <w:p>
      <w:pPr>
        <w:ind w:firstLine="640" w:firstLineChars="200"/>
        <w:rPr>
          <w:rFonts w:ascii="仿宋_GB2312" w:eastAsia="仿宋_GB2312"/>
          <w:color w:val="000000"/>
          <w:sz w:val="32"/>
          <w:szCs w:val="32"/>
        </w:rPr>
      </w:pPr>
      <w:r>
        <w:rPr>
          <w:rFonts w:ascii="仿宋_GB2312" w:eastAsia="仿宋_GB2312"/>
          <w:color w:val="000000"/>
          <w:sz w:val="32"/>
          <w:szCs w:val="32"/>
        </w:rPr>
        <w:t>28.</w:t>
      </w:r>
      <w:r>
        <w:rPr>
          <w:rFonts w:hint="eastAsia" w:ascii="仿宋_GB2312" w:eastAsia="仿宋_GB2312"/>
          <w:color w:val="000000"/>
          <w:sz w:val="32"/>
          <w:szCs w:val="32"/>
        </w:rPr>
        <w:t>项目支出：指在基本支出之外为完成特定行政任务和事业发展目标所发生的支出。</w:t>
      </w:r>
      <w:r>
        <w:rPr>
          <w:rFonts w:ascii="仿宋_GB2312" w:eastAsia="仿宋_GB2312"/>
          <w:color w:val="000000"/>
          <w:sz w:val="32"/>
          <w:szCs w:val="32"/>
        </w:rPr>
        <w:t xml:space="preserve"> </w:t>
      </w:r>
    </w:p>
    <w:p>
      <w:pPr>
        <w:ind w:firstLine="640" w:firstLineChars="200"/>
        <w:rPr>
          <w:rFonts w:ascii="仿宋_GB2312" w:eastAsia="仿宋_GB2312"/>
          <w:color w:val="000000"/>
          <w:sz w:val="32"/>
          <w:szCs w:val="32"/>
        </w:rPr>
      </w:pPr>
      <w:r>
        <w:rPr>
          <w:rFonts w:ascii="仿宋_GB2312" w:eastAsia="仿宋_GB2312"/>
          <w:color w:val="000000"/>
          <w:sz w:val="32"/>
          <w:szCs w:val="32"/>
        </w:rPr>
        <w:t>29.</w:t>
      </w:r>
      <w:r>
        <w:rPr>
          <w:rFonts w:hint="eastAsia" w:ascii="仿宋_GB2312" w:eastAsia="仿宋_GB2312"/>
          <w:color w:val="000000"/>
          <w:sz w:val="32"/>
          <w:szCs w:val="32"/>
        </w:rPr>
        <w:t>经营支出：指事业单位在专业业务活动及其辅助活动之外开展非独立核算经营活动发生的支出。</w:t>
      </w:r>
    </w:p>
    <w:p>
      <w:pPr>
        <w:pStyle w:val="25"/>
        <w:spacing w:line="560" w:lineRule="exact"/>
        <w:ind w:firstLine="640" w:firstLineChars="200"/>
        <w:rPr>
          <w:rFonts w:ascii="仿宋_GB2312" w:eastAsia="仿宋_GB2312"/>
          <w:sz w:val="32"/>
          <w:szCs w:val="32"/>
        </w:rPr>
      </w:pPr>
      <w:r>
        <w:rPr>
          <w:rFonts w:ascii="仿宋_GB2312" w:eastAsia="仿宋_GB2312"/>
          <w:sz w:val="32"/>
          <w:szCs w:val="32"/>
        </w:rPr>
        <w:t>30.</w:t>
      </w:r>
      <w:r>
        <w:rPr>
          <w:rFonts w:hint="eastAsia" w:ascii="仿宋_GB2312" w:eastAsia="仿宋_GB2312"/>
          <w:sz w:val="32"/>
          <w:szCs w:val="32"/>
        </w:rPr>
        <w:t>“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pPr>
        <w:pStyle w:val="25"/>
        <w:spacing w:line="560" w:lineRule="exact"/>
        <w:ind w:firstLine="640" w:firstLineChars="200"/>
        <w:rPr>
          <w:rFonts w:ascii="仿宋_GB2312" w:eastAsia="仿宋_GB2312"/>
          <w:sz w:val="32"/>
          <w:szCs w:val="32"/>
        </w:rPr>
      </w:pPr>
      <w:r>
        <w:rPr>
          <w:rFonts w:ascii="仿宋_GB2312" w:eastAsia="仿宋_GB2312"/>
          <w:sz w:val="32"/>
          <w:szCs w:val="32"/>
        </w:rPr>
        <w:t>31.</w:t>
      </w:r>
      <w:r>
        <w:rPr>
          <w:rFonts w:hint="eastAsia" w:ascii="仿宋_GB2312" w:eastAsia="仿宋_GB2312"/>
          <w:sz w:val="32"/>
          <w:szCs w:val="32"/>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pStyle w:val="25"/>
        <w:spacing w:line="560" w:lineRule="exact"/>
        <w:ind w:firstLine="640" w:firstLineChars="200"/>
        <w:rPr>
          <w:rFonts w:ascii="仿宋_GB2312" w:eastAsia="仿宋_GB2312"/>
          <w:sz w:val="32"/>
          <w:szCs w:val="32"/>
        </w:rPr>
      </w:pPr>
      <w:r>
        <w:rPr>
          <w:rFonts w:ascii="仿宋_GB2312" w:eastAsia="仿宋_GB2312"/>
          <w:sz w:val="32"/>
          <w:szCs w:val="32"/>
        </w:rPr>
        <w:t>32.</w:t>
      </w:r>
      <w:r>
        <w:rPr>
          <w:rFonts w:hint="eastAsia" w:ascii="仿宋_GB2312" w:eastAsia="仿宋_GB2312"/>
          <w:sz w:val="32"/>
          <w:szCs w:val="32"/>
        </w:rPr>
        <w:t>……。</w:t>
      </w:r>
    </w:p>
    <w:p>
      <w:pPr>
        <w:pStyle w:val="25"/>
        <w:spacing w:line="560" w:lineRule="exact"/>
        <w:ind w:firstLine="640" w:firstLineChars="200"/>
        <w:rPr>
          <w:rFonts w:ascii="仿宋_GB2312" w:eastAsia="仿宋_GB2312" w:cs="黑体"/>
          <w:sz w:val="32"/>
          <w:szCs w:val="32"/>
        </w:rPr>
      </w:pPr>
    </w:p>
    <w:p>
      <w:pPr>
        <w:ind w:firstLine="643" w:firstLineChars="200"/>
        <w:rPr>
          <w:rFonts w:ascii="仿宋" w:hAnsi="仿宋" w:eastAsia="仿宋"/>
          <w:b/>
          <w:color w:val="000000"/>
          <w:sz w:val="32"/>
          <w:szCs w:val="32"/>
        </w:rPr>
      </w:pPr>
      <w:r>
        <w:rPr>
          <w:rFonts w:hint="eastAsia" w:ascii="仿宋" w:hAnsi="仿宋" w:eastAsia="仿宋"/>
          <w:b/>
          <w:color w:val="000000"/>
          <w:sz w:val="32"/>
          <w:szCs w:val="32"/>
        </w:rPr>
        <w:t>（名词解释部分请根据各部门实际列支情况罗列，并根据本部门职责职能增减名词解释内容。）</w:t>
      </w:r>
    </w:p>
    <w:p>
      <w:pPr>
        <w:spacing w:line="600" w:lineRule="exact"/>
        <w:jc w:val="center"/>
        <w:outlineLvl w:val="0"/>
        <w:rPr>
          <w:rStyle w:val="27"/>
          <w:rFonts w:ascii="黑体" w:hAnsi="黑体" w:eastAsia="黑体"/>
          <w:b w:val="0"/>
        </w:rPr>
      </w:pPr>
      <w:bookmarkStart w:id="49" w:name="_Toc15377226"/>
      <w:r>
        <w:rPr>
          <w:rFonts w:ascii="宋体"/>
          <w:b/>
          <w:color w:val="000000"/>
          <w:sz w:val="44"/>
          <w:szCs w:val="44"/>
        </w:rPr>
        <w:br w:type="page"/>
      </w:r>
      <w:bookmarkStart w:id="50" w:name="_Toc15396614"/>
      <w:r>
        <w:rPr>
          <w:rFonts w:hint="eastAsia" w:ascii="黑体" w:hAnsi="黑体" w:eastAsia="黑体"/>
          <w:color w:val="000000"/>
          <w:sz w:val="44"/>
          <w:szCs w:val="44"/>
        </w:rPr>
        <w:t>第</w:t>
      </w:r>
      <w:r>
        <w:rPr>
          <w:rStyle w:val="27"/>
          <w:rFonts w:hint="eastAsia" w:ascii="黑体" w:hAnsi="黑体" w:eastAsia="黑体"/>
          <w:b w:val="0"/>
        </w:rPr>
        <w:t>四部分 附件</w:t>
      </w:r>
      <w:bookmarkEnd w:id="50"/>
    </w:p>
    <w:p>
      <w:pPr>
        <w:spacing w:line="600" w:lineRule="exact"/>
        <w:jc w:val="left"/>
        <w:outlineLvl w:val="0"/>
        <w:rPr>
          <w:rFonts w:ascii="方正小标宋简体" w:hAnsi="方正小标宋简体" w:eastAsia="方正小标宋简体" w:cs="方正小标宋简体"/>
          <w:sz w:val="32"/>
          <w:szCs w:val="32"/>
        </w:rPr>
      </w:pPr>
      <w:r>
        <w:rPr>
          <w:rFonts w:hint="eastAsia" w:ascii="黑体" w:hAnsi="黑体" w:eastAsia="黑体" w:cs="黑体"/>
          <w:sz w:val="32"/>
          <w:szCs w:val="32"/>
        </w:rPr>
        <w:t>附件1</w:t>
      </w:r>
    </w:p>
    <w:p>
      <w:pPr>
        <w:spacing w:line="580" w:lineRule="exact"/>
        <w:jc w:val="center"/>
        <w:rPr>
          <w:rFonts w:ascii="方正小标宋简体" w:hAnsi="方正小标宋简体" w:eastAsia="方正小标宋简体" w:cs="方正小标宋简体"/>
          <w:sz w:val="44"/>
          <w:szCs w:val="44"/>
        </w:rPr>
      </w:pPr>
    </w:p>
    <w:p>
      <w:pPr>
        <w:spacing w:line="600" w:lineRule="exact"/>
        <w:jc w:val="center"/>
        <w:outlineLvl w:val="0"/>
        <w:rPr>
          <w:rFonts w:ascii="黑体" w:hAnsi="黑体" w:eastAsia="黑体" w:cs="方正小标宋简体"/>
          <w:sz w:val="32"/>
          <w:szCs w:val="36"/>
        </w:rPr>
      </w:pPr>
      <w:bookmarkStart w:id="51" w:name="_Toc15396616"/>
      <w:r>
        <w:rPr>
          <w:rFonts w:hint="eastAsia" w:ascii="黑体" w:hAnsi="黑体" w:eastAsia="黑体" w:cs="方正小标宋简体"/>
          <w:sz w:val="32"/>
          <w:szCs w:val="36"/>
        </w:rPr>
        <w:t>乐至县残疾人联合会</w:t>
      </w:r>
    </w:p>
    <w:p>
      <w:pPr>
        <w:spacing w:line="600" w:lineRule="exact"/>
        <w:jc w:val="center"/>
        <w:outlineLvl w:val="0"/>
        <w:rPr>
          <w:rFonts w:ascii="黑体" w:hAnsi="黑体" w:eastAsia="黑体" w:cs="方正小标宋简体"/>
          <w:sz w:val="32"/>
          <w:szCs w:val="36"/>
        </w:rPr>
      </w:pPr>
      <w:r>
        <w:rPr>
          <w:rFonts w:hint="eastAsia" w:ascii="黑体" w:hAnsi="黑体" w:eastAsia="黑体" w:cs="方正小标宋简体"/>
          <w:sz w:val="32"/>
          <w:szCs w:val="36"/>
        </w:rPr>
        <w:t>201</w:t>
      </w:r>
      <w:r>
        <w:rPr>
          <w:rFonts w:ascii="黑体" w:hAnsi="黑体" w:eastAsia="黑体" w:cs="方正小标宋简体"/>
          <w:sz w:val="32"/>
          <w:szCs w:val="36"/>
        </w:rPr>
        <w:t>9</w:t>
      </w:r>
      <w:r>
        <w:rPr>
          <w:rFonts w:hint="eastAsia" w:ascii="黑体" w:hAnsi="黑体" w:eastAsia="黑体" w:cs="方正小标宋简体"/>
          <w:sz w:val="32"/>
          <w:szCs w:val="36"/>
        </w:rPr>
        <w:t>年部门整体支出绩效评价报告</w:t>
      </w:r>
      <w:bookmarkEnd w:id="51"/>
    </w:p>
    <w:p>
      <w:pPr>
        <w:spacing w:line="580" w:lineRule="exact"/>
        <w:ind w:firstLine="640" w:firstLineChars="200"/>
        <w:rPr>
          <w:rFonts w:ascii="黑体" w:hAnsi="黑体" w:eastAsia="黑体" w:cs="黑体"/>
          <w:sz w:val="32"/>
          <w:szCs w:val="32"/>
        </w:rPr>
      </w:pPr>
    </w:p>
    <w:p>
      <w:pPr>
        <w:widowControl/>
        <w:adjustRightInd w:val="0"/>
        <w:snapToGrid w:val="0"/>
        <w:spacing w:line="580" w:lineRule="exact"/>
        <w:ind w:firstLine="640" w:firstLineChars="200"/>
        <w:contextualSpacing/>
        <w:jc w:val="left"/>
        <w:rPr>
          <w:rFonts w:ascii="黑体" w:hAnsi="宋体" w:eastAsia="黑体" w:cs="宋体"/>
          <w:color w:val="000000"/>
          <w:kern w:val="0"/>
          <w:sz w:val="32"/>
          <w:szCs w:val="32"/>
          <w:shd w:val="clear" w:color="auto" w:fill="FFFFFF"/>
          <w:lang w:val="zh-CN"/>
        </w:rPr>
      </w:pPr>
      <w:r>
        <w:rPr>
          <w:rFonts w:hint="eastAsia" w:ascii="黑体" w:hAnsi="宋体" w:eastAsia="黑体" w:cs="宋体"/>
          <w:color w:val="000000"/>
          <w:kern w:val="0"/>
          <w:sz w:val="32"/>
          <w:szCs w:val="32"/>
          <w:shd w:val="clear" w:color="auto" w:fill="FFFFFF"/>
        </w:rPr>
        <w:t>一、</w:t>
      </w:r>
      <w:r>
        <w:rPr>
          <w:rFonts w:hint="eastAsia" w:ascii="黑体" w:hAnsi="宋体" w:eastAsia="黑体" w:cs="宋体"/>
          <w:color w:val="000000"/>
          <w:kern w:val="0"/>
          <w:sz w:val="32"/>
          <w:szCs w:val="32"/>
          <w:shd w:val="clear" w:color="auto" w:fill="FFFFFF"/>
          <w:lang w:val="zh-CN"/>
        </w:rPr>
        <w:t>部门（单位）概况</w:t>
      </w:r>
    </w:p>
    <w:p>
      <w:pPr>
        <w:widowControl/>
        <w:adjustRightInd w:val="0"/>
        <w:snapToGrid w:val="0"/>
        <w:spacing w:line="580" w:lineRule="exact"/>
        <w:ind w:firstLine="640" w:firstLineChars="200"/>
        <w:contextualSpacing/>
        <w:jc w:val="left"/>
        <w:rPr>
          <w:rFonts w:ascii="仿宋_GB2312" w:hAnsi="宋体" w:eastAsia="仿宋_GB2312" w:cs="宋体"/>
          <w:color w:val="000000"/>
          <w:kern w:val="0"/>
          <w:sz w:val="32"/>
          <w:szCs w:val="32"/>
          <w:shd w:val="clear" w:color="auto" w:fill="FFFFFF"/>
          <w:lang w:val="zh-CN"/>
        </w:rPr>
      </w:pPr>
      <w:r>
        <w:rPr>
          <w:rFonts w:hint="eastAsia" w:ascii="仿宋_GB2312" w:hAnsi="宋体" w:eastAsia="仿宋_GB2312" w:cs="宋体"/>
          <w:color w:val="000000"/>
          <w:kern w:val="0"/>
          <w:sz w:val="32"/>
          <w:szCs w:val="32"/>
          <w:shd w:val="clear" w:color="auto" w:fill="FFFFFF"/>
          <w:lang w:val="zh-CN"/>
        </w:rPr>
        <w:t>（一）机构组成。</w:t>
      </w:r>
    </w:p>
    <w:p>
      <w:pPr>
        <w:spacing w:line="580" w:lineRule="exact"/>
        <w:ind w:firstLine="560" w:firstLineChars="200"/>
        <w:rPr>
          <w:rFonts w:hint="eastAsia" w:ascii="新宋体" w:hAnsi="新宋体" w:eastAsia="新宋体"/>
          <w:sz w:val="28"/>
          <w:szCs w:val="28"/>
        </w:rPr>
      </w:pPr>
      <w:r>
        <w:rPr>
          <w:rFonts w:hint="eastAsia" w:ascii="新宋体" w:hAnsi="新宋体" w:eastAsia="新宋体"/>
          <w:sz w:val="28"/>
          <w:szCs w:val="28"/>
        </w:rPr>
        <w:t>我单位为参公事业单位，属一级预算单位。</w:t>
      </w:r>
    </w:p>
    <w:p>
      <w:pPr>
        <w:widowControl/>
        <w:adjustRightInd w:val="0"/>
        <w:snapToGrid w:val="0"/>
        <w:spacing w:line="580" w:lineRule="exact"/>
        <w:ind w:firstLine="640" w:firstLineChars="200"/>
        <w:contextualSpacing/>
        <w:jc w:val="left"/>
        <w:rPr>
          <w:rFonts w:ascii="仿宋_GB2312" w:hAnsi="宋体" w:eastAsia="仿宋_GB2312" w:cs="宋体"/>
          <w:color w:val="000000"/>
          <w:kern w:val="0"/>
          <w:sz w:val="32"/>
          <w:szCs w:val="32"/>
          <w:shd w:val="clear" w:color="auto" w:fill="FFFFFF"/>
          <w:lang w:val="zh-CN"/>
        </w:rPr>
      </w:pPr>
      <w:r>
        <w:rPr>
          <w:rFonts w:hint="eastAsia" w:ascii="仿宋_GB2312" w:hAnsi="宋体" w:eastAsia="仿宋_GB2312" w:cs="宋体"/>
          <w:color w:val="000000"/>
          <w:kern w:val="0"/>
          <w:sz w:val="32"/>
          <w:szCs w:val="32"/>
          <w:shd w:val="clear" w:color="auto" w:fill="FFFFFF"/>
          <w:lang w:val="zh-CN"/>
        </w:rPr>
        <w:t>（二）机构职能。</w:t>
      </w:r>
    </w:p>
    <w:p>
      <w:pPr>
        <w:spacing w:line="580" w:lineRule="exact"/>
        <w:ind w:firstLine="560" w:firstLineChars="200"/>
        <w:rPr>
          <w:rFonts w:ascii="新宋体" w:hAnsi="新宋体" w:eastAsia="新宋体"/>
          <w:sz w:val="28"/>
          <w:szCs w:val="28"/>
        </w:rPr>
      </w:pPr>
      <w:r>
        <w:rPr>
          <w:rFonts w:ascii="新宋体" w:hAnsi="新宋体" w:eastAsia="新宋体"/>
          <w:sz w:val="28"/>
          <w:szCs w:val="28"/>
        </w:rPr>
        <w:t>乐至县残疾人联合会基本职能及主要工作-履行“代表、管理、服务”职能：代表残疾人共同利益，维护残疾人合法权益；开展各项业务和活动，直接为残疾人服务；承担政府委托的部门行政职能，发展和管理残疾人事业。</w:t>
      </w:r>
    </w:p>
    <w:p>
      <w:pPr>
        <w:widowControl/>
        <w:adjustRightInd w:val="0"/>
        <w:snapToGrid w:val="0"/>
        <w:spacing w:line="580" w:lineRule="exact"/>
        <w:ind w:firstLine="640" w:firstLineChars="200"/>
        <w:contextualSpacing/>
        <w:jc w:val="left"/>
        <w:rPr>
          <w:rFonts w:hint="eastAsia" w:ascii="仿宋_GB2312" w:hAnsi="宋体" w:eastAsia="仿宋_GB2312" w:cs="宋体"/>
          <w:color w:val="000000"/>
          <w:kern w:val="0"/>
          <w:sz w:val="32"/>
          <w:szCs w:val="32"/>
          <w:shd w:val="clear" w:color="auto" w:fill="FFFFFF"/>
        </w:rPr>
      </w:pPr>
    </w:p>
    <w:p>
      <w:pPr>
        <w:widowControl/>
        <w:adjustRightInd w:val="0"/>
        <w:snapToGrid w:val="0"/>
        <w:spacing w:line="580" w:lineRule="exact"/>
        <w:ind w:firstLine="640" w:firstLineChars="200"/>
        <w:contextualSpacing/>
        <w:jc w:val="left"/>
        <w:rPr>
          <w:rFonts w:ascii="仿宋_GB2312" w:hAnsi="宋体" w:eastAsia="仿宋_GB2312" w:cs="宋体"/>
          <w:color w:val="000000"/>
          <w:kern w:val="0"/>
          <w:sz w:val="32"/>
          <w:szCs w:val="32"/>
          <w:shd w:val="clear" w:color="auto" w:fill="FFFFFF"/>
          <w:lang w:val="zh-CN"/>
        </w:rPr>
      </w:pPr>
      <w:r>
        <w:rPr>
          <w:rFonts w:hint="eastAsia" w:ascii="仿宋_GB2312" w:hAnsi="宋体" w:eastAsia="仿宋_GB2312" w:cs="宋体"/>
          <w:color w:val="000000"/>
          <w:kern w:val="0"/>
          <w:sz w:val="32"/>
          <w:szCs w:val="32"/>
          <w:shd w:val="clear" w:color="auto" w:fill="FFFFFF"/>
          <w:lang w:val="zh-CN"/>
        </w:rPr>
        <w:t>（三）人员概况。</w:t>
      </w:r>
    </w:p>
    <w:p>
      <w:pPr>
        <w:spacing w:line="580" w:lineRule="exact"/>
        <w:ind w:firstLine="560" w:firstLineChars="200"/>
        <w:rPr>
          <w:rFonts w:ascii="新宋体" w:hAnsi="新宋体" w:eastAsia="新宋体"/>
          <w:sz w:val="28"/>
          <w:szCs w:val="28"/>
        </w:rPr>
      </w:pPr>
      <w:r>
        <w:rPr>
          <w:rFonts w:hint="eastAsia" w:ascii="新宋体" w:hAnsi="新宋体" w:eastAsia="新宋体"/>
          <w:sz w:val="28"/>
          <w:szCs w:val="28"/>
        </w:rPr>
        <w:t>我单位编制人数5人，实有在职人数9人。</w:t>
      </w:r>
    </w:p>
    <w:p>
      <w:pPr>
        <w:widowControl/>
        <w:adjustRightInd w:val="0"/>
        <w:snapToGrid w:val="0"/>
        <w:spacing w:line="580" w:lineRule="exact"/>
        <w:ind w:firstLine="640" w:firstLineChars="200"/>
        <w:contextualSpacing/>
        <w:jc w:val="left"/>
        <w:rPr>
          <w:rFonts w:hint="eastAsia" w:ascii="仿宋_GB2312" w:hAnsi="宋体" w:eastAsia="仿宋_GB2312" w:cs="宋体"/>
          <w:color w:val="000000"/>
          <w:kern w:val="0"/>
          <w:sz w:val="32"/>
          <w:szCs w:val="32"/>
          <w:shd w:val="clear" w:color="auto" w:fill="FFFFFF"/>
        </w:rPr>
      </w:pPr>
    </w:p>
    <w:p>
      <w:pPr>
        <w:widowControl/>
        <w:adjustRightInd w:val="0"/>
        <w:snapToGrid w:val="0"/>
        <w:spacing w:line="580" w:lineRule="exact"/>
        <w:ind w:firstLine="640" w:firstLineChars="200"/>
        <w:contextualSpacing/>
        <w:jc w:val="left"/>
        <w:rPr>
          <w:rFonts w:ascii="黑体" w:hAnsi="宋体" w:eastAsia="黑体" w:cs="宋体"/>
          <w:color w:val="000000"/>
          <w:kern w:val="0"/>
          <w:sz w:val="32"/>
          <w:szCs w:val="32"/>
          <w:shd w:val="clear" w:color="auto" w:fill="FFFFFF"/>
        </w:rPr>
      </w:pPr>
      <w:r>
        <w:rPr>
          <w:rFonts w:hint="eastAsia" w:ascii="黑体" w:hAnsi="宋体" w:eastAsia="黑体" w:cs="宋体"/>
          <w:color w:val="000000"/>
          <w:kern w:val="0"/>
          <w:sz w:val="32"/>
          <w:szCs w:val="32"/>
          <w:shd w:val="clear" w:color="auto" w:fill="FFFFFF"/>
        </w:rPr>
        <w:t>二、部门财政资金收支情况</w:t>
      </w:r>
    </w:p>
    <w:p>
      <w:pPr>
        <w:widowControl/>
        <w:adjustRightInd w:val="0"/>
        <w:snapToGrid w:val="0"/>
        <w:spacing w:line="580" w:lineRule="exact"/>
        <w:ind w:firstLine="640" w:firstLineChars="200"/>
        <w:contextualSpacing/>
        <w:jc w:val="left"/>
        <w:rPr>
          <w:rFonts w:ascii="仿宋_GB2312" w:hAnsi="宋体" w:eastAsia="仿宋_GB2312" w:cs="宋体"/>
          <w:color w:val="000000"/>
          <w:kern w:val="0"/>
          <w:sz w:val="32"/>
          <w:szCs w:val="32"/>
          <w:shd w:val="clear" w:color="auto" w:fill="FFFFFF"/>
          <w:lang w:val="zh-CN"/>
        </w:rPr>
      </w:pPr>
      <w:r>
        <w:rPr>
          <w:rFonts w:hint="eastAsia" w:ascii="仿宋_GB2312" w:hAnsi="宋体" w:eastAsia="仿宋_GB2312" w:cs="宋体"/>
          <w:color w:val="000000"/>
          <w:kern w:val="0"/>
          <w:sz w:val="32"/>
          <w:szCs w:val="32"/>
          <w:shd w:val="clear" w:color="auto" w:fill="FFFFFF"/>
          <w:lang w:val="zh-CN"/>
        </w:rPr>
        <w:t>（一）部门财政资金收入情况。</w:t>
      </w:r>
    </w:p>
    <w:p>
      <w:pPr>
        <w:spacing w:line="580" w:lineRule="exact"/>
        <w:ind w:firstLine="560" w:firstLineChars="200"/>
        <w:rPr>
          <w:rFonts w:hint="eastAsia"/>
          <w:sz w:val="28"/>
          <w:szCs w:val="28"/>
        </w:rPr>
      </w:pPr>
      <w:r>
        <w:rPr>
          <w:rFonts w:hint="eastAsia" w:ascii="新宋体" w:hAnsi="新宋体" w:eastAsia="新宋体"/>
          <w:sz w:val="28"/>
          <w:szCs w:val="28"/>
        </w:rPr>
        <w:t>201</w:t>
      </w:r>
      <w:r>
        <w:rPr>
          <w:rFonts w:ascii="新宋体" w:hAnsi="新宋体" w:eastAsia="新宋体"/>
          <w:sz w:val="28"/>
          <w:szCs w:val="28"/>
        </w:rPr>
        <w:t>9</w:t>
      </w:r>
      <w:r>
        <w:rPr>
          <w:rFonts w:hint="eastAsia" w:ascii="新宋体" w:hAnsi="新宋体" w:eastAsia="新宋体"/>
          <w:sz w:val="28"/>
          <w:szCs w:val="28"/>
        </w:rPr>
        <w:t>年本年收入合计</w:t>
      </w:r>
      <w:r>
        <w:rPr>
          <w:rFonts w:eastAsia="新宋体"/>
          <w:sz w:val="28"/>
          <w:szCs w:val="28"/>
        </w:rPr>
        <w:t>527.92</w:t>
      </w:r>
      <w:r>
        <w:rPr>
          <w:rFonts w:hint="eastAsia" w:ascii="新宋体" w:hAnsi="新宋体" w:eastAsia="新宋体"/>
          <w:sz w:val="28"/>
          <w:szCs w:val="28"/>
        </w:rPr>
        <w:t>万元，其中：</w:t>
      </w:r>
      <w:r>
        <w:rPr>
          <w:rFonts w:hint="eastAsia"/>
          <w:sz w:val="28"/>
          <w:szCs w:val="28"/>
        </w:rPr>
        <w:t>一般公共预算财政拨款收入</w:t>
      </w:r>
      <w:r>
        <w:rPr>
          <w:sz w:val="28"/>
          <w:szCs w:val="28"/>
        </w:rPr>
        <w:t>427.56</w:t>
      </w:r>
      <w:r>
        <w:rPr>
          <w:rFonts w:hint="eastAsia"/>
          <w:sz w:val="28"/>
          <w:szCs w:val="28"/>
        </w:rPr>
        <w:t>万元，占</w:t>
      </w:r>
      <w:r>
        <w:rPr>
          <w:sz w:val="28"/>
          <w:szCs w:val="28"/>
        </w:rPr>
        <w:t>80.99</w:t>
      </w:r>
      <w:r>
        <w:rPr>
          <w:rFonts w:hint="eastAsia"/>
          <w:sz w:val="28"/>
          <w:szCs w:val="28"/>
        </w:rPr>
        <w:t>%；政府性基金预算财政拨款收入1</w:t>
      </w:r>
      <w:r>
        <w:rPr>
          <w:sz w:val="28"/>
          <w:szCs w:val="28"/>
        </w:rPr>
        <w:t>00.36</w:t>
      </w:r>
      <w:r>
        <w:rPr>
          <w:rFonts w:hint="eastAsia"/>
          <w:sz w:val="28"/>
          <w:szCs w:val="28"/>
        </w:rPr>
        <w:t>万元，占</w:t>
      </w:r>
      <w:r>
        <w:rPr>
          <w:sz w:val="28"/>
          <w:szCs w:val="28"/>
        </w:rPr>
        <w:t>19.01</w:t>
      </w:r>
      <w:r>
        <w:rPr>
          <w:rFonts w:hint="eastAsia"/>
          <w:sz w:val="28"/>
          <w:szCs w:val="28"/>
        </w:rPr>
        <w:t>%；国有资本经营预算财政拨款收入0万元，占0%；事业收入0万元，占0%；经营收入0万元，占0%；附属单位上缴收入0万元，占0%；其他收入0万元，占0%。</w:t>
      </w:r>
    </w:p>
    <w:p>
      <w:pPr>
        <w:widowControl/>
        <w:adjustRightInd w:val="0"/>
        <w:snapToGrid w:val="0"/>
        <w:spacing w:line="580" w:lineRule="exact"/>
        <w:ind w:firstLine="640" w:firstLineChars="200"/>
        <w:contextualSpacing/>
        <w:jc w:val="left"/>
        <w:rPr>
          <w:rFonts w:hint="eastAsia" w:ascii="仿宋_GB2312" w:hAnsi="宋体" w:eastAsia="仿宋_GB2312" w:cs="宋体"/>
          <w:color w:val="000000"/>
          <w:kern w:val="0"/>
          <w:sz w:val="32"/>
          <w:szCs w:val="32"/>
          <w:shd w:val="clear" w:color="auto" w:fill="FFFFFF"/>
        </w:rPr>
      </w:pPr>
    </w:p>
    <w:p>
      <w:pPr>
        <w:widowControl/>
        <w:adjustRightInd w:val="0"/>
        <w:snapToGrid w:val="0"/>
        <w:spacing w:line="580" w:lineRule="exact"/>
        <w:ind w:firstLine="640" w:firstLineChars="200"/>
        <w:contextualSpacing/>
        <w:jc w:val="left"/>
        <w:rPr>
          <w:rFonts w:ascii="仿宋_GB2312" w:hAnsi="宋体" w:eastAsia="仿宋_GB2312" w:cs="宋体"/>
          <w:color w:val="000000"/>
          <w:kern w:val="0"/>
          <w:sz w:val="32"/>
          <w:szCs w:val="32"/>
          <w:shd w:val="clear" w:color="auto" w:fill="FFFFFF"/>
          <w:lang w:val="zh-CN"/>
        </w:rPr>
      </w:pPr>
      <w:r>
        <w:rPr>
          <w:rFonts w:hint="eastAsia" w:ascii="仿宋_GB2312" w:hAnsi="宋体" w:eastAsia="仿宋_GB2312" w:cs="宋体"/>
          <w:color w:val="000000"/>
          <w:kern w:val="0"/>
          <w:sz w:val="32"/>
          <w:szCs w:val="32"/>
          <w:shd w:val="clear" w:color="auto" w:fill="FFFFFF"/>
          <w:lang w:val="zh-CN"/>
        </w:rPr>
        <w:t>（二）部门财政资金支出情况。</w:t>
      </w:r>
    </w:p>
    <w:p>
      <w:pPr>
        <w:spacing w:line="580" w:lineRule="exact"/>
        <w:ind w:firstLine="560" w:firstLineChars="200"/>
        <w:rPr>
          <w:rFonts w:hint="eastAsia" w:ascii="新宋体" w:hAnsi="新宋体" w:eastAsia="新宋体" w:cs="新宋体"/>
          <w:sz w:val="28"/>
          <w:szCs w:val="28"/>
        </w:rPr>
      </w:pPr>
      <w:r>
        <w:rPr>
          <w:rFonts w:hint="eastAsia" w:ascii="新宋体" w:hAnsi="新宋体" w:eastAsia="新宋体"/>
          <w:sz w:val="28"/>
          <w:szCs w:val="28"/>
        </w:rPr>
        <w:t>201</w:t>
      </w:r>
      <w:r>
        <w:rPr>
          <w:rFonts w:ascii="新宋体" w:hAnsi="新宋体" w:eastAsia="新宋体"/>
          <w:sz w:val="28"/>
          <w:szCs w:val="28"/>
        </w:rPr>
        <w:t>9</w:t>
      </w:r>
      <w:r>
        <w:rPr>
          <w:rFonts w:hint="eastAsia" w:ascii="新宋体" w:hAnsi="新宋体" w:eastAsia="新宋体"/>
          <w:sz w:val="28"/>
          <w:szCs w:val="28"/>
        </w:rPr>
        <w:t>年本年支出合计</w:t>
      </w:r>
      <w:r>
        <w:rPr>
          <w:rFonts w:eastAsia="新宋体"/>
          <w:sz w:val="28"/>
          <w:szCs w:val="28"/>
        </w:rPr>
        <w:t>527.92</w:t>
      </w:r>
      <w:r>
        <w:rPr>
          <w:rFonts w:hint="eastAsia" w:ascii="新宋体" w:hAnsi="新宋体" w:eastAsia="新宋体"/>
          <w:sz w:val="28"/>
          <w:szCs w:val="28"/>
        </w:rPr>
        <w:t>万元，</w:t>
      </w:r>
      <w:r>
        <w:rPr>
          <w:rFonts w:hint="eastAsia" w:ascii="新宋体" w:hAnsi="新宋体" w:eastAsia="新宋体" w:cs="新宋体"/>
          <w:sz w:val="28"/>
          <w:szCs w:val="28"/>
        </w:rPr>
        <w:t>其中：基本支出</w:t>
      </w:r>
      <w:r>
        <w:rPr>
          <w:rFonts w:ascii="新宋体" w:hAnsi="新宋体" w:eastAsia="新宋体" w:cs="新宋体"/>
          <w:sz w:val="28"/>
          <w:szCs w:val="28"/>
        </w:rPr>
        <w:t>269.62</w:t>
      </w:r>
      <w:r>
        <w:rPr>
          <w:rFonts w:hint="eastAsia" w:ascii="新宋体" w:hAnsi="新宋体" w:eastAsia="新宋体" w:cs="新宋体"/>
          <w:sz w:val="28"/>
          <w:szCs w:val="28"/>
        </w:rPr>
        <w:t>万元，占</w:t>
      </w:r>
      <w:r>
        <w:rPr>
          <w:rFonts w:ascii="新宋体" w:hAnsi="新宋体" w:eastAsia="新宋体" w:cs="新宋体"/>
          <w:sz w:val="28"/>
          <w:szCs w:val="28"/>
        </w:rPr>
        <w:t>51.07</w:t>
      </w:r>
      <w:r>
        <w:rPr>
          <w:rFonts w:hint="eastAsia" w:ascii="新宋体" w:hAnsi="新宋体" w:eastAsia="新宋体" w:cs="新宋体"/>
          <w:sz w:val="28"/>
          <w:szCs w:val="28"/>
        </w:rPr>
        <w:t>%；项目支出</w:t>
      </w:r>
      <w:r>
        <w:rPr>
          <w:rFonts w:ascii="新宋体" w:hAnsi="新宋体" w:eastAsia="新宋体" w:cs="新宋体"/>
          <w:sz w:val="28"/>
          <w:szCs w:val="28"/>
        </w:rPr>
        <w:t>258.30</w:t>
      </w:r>
      <w:r>
        <w:rPr>
          <w:rFonts w:hint="eastAsia" w:ascii="新宋体" w:hAnsi="新宋体" w:eastAsia="新宋体" w:cs="新宋体"/>
          <w:sz w:val="28"/>
          <w:szCs w:val="28"/>
        </w:rPr>
        <w:t>万元，占</w:t>
      </w:r>
      <w:r>
        <w:rPr>
          <w:rFonts w:ascii="新宋体" w:hAnsi="新宋体" w:eastAsia="新宋体" w:cs="新宋体"/>
          <w:sz w:val="28"/>
          <w:szCs w:val="28"/>
        </w:rPr>
        <w:t>48.93</w:t>
      </w:r>
      <w:r>
        <w:rPr>
          <w:rFonts w:hint="eastAsia" w:ascii="新宋体" w:hAnsi="新宋体" w:eastAsia="新宋体" w:cs="新宋体"/>
          <w:sz w:val="28"/>
          <w:szCs w:val="28"/>
        </w:rPr>
        <w:t>%.</w:t>
      </w:r>
    </w:p>
    <w:p>
      <w:pPr>
        <w:widowControl/>
        <w:adjustRightInd w:val="0"/>
        <w:snapToGrid w:val="0"/>
        <w:spacing w:line="580" w:lineRule="exact"/>
        <w:ind w:firstLine="640" w:firstLineChars="200"/>
        <w:contextualSpacing/>
        <w:jc w:val="left"/>
        <w:rPr>
          <w:rFonts w:hint="eastAsia" w:ascii="仿宋_GB2312" w:hAnsi="宋体" w:eastAsia="仿宋_GB2312" w:cs="宋体"/>
          <w:color w:val="000000"/>
          <w:kern w:val="0"/>
          <w:sz w:val="32"/>
          <w:szCs w:val="32"/>
          <w:shd w:val="clear" w:color="auto" w:fill="FFFFFF"/>
        </w:rPr>
      </w:pPr>
    </w:p>
    <w:p>
      <w:pPr>
        <w:widowControl/>
        <w:adjustRightInd w:val="0"/>
        <w:snapToGrid w:val="0"/>
        <w:spacing w:line="580" w:lineRule="exact"/>
        <w:ind w:firstLine="640" w:firstLineChars="200"/>
        <w:contextualSpacing/>
        <w:jc w:val="left"/>
        <w:rPr>
          <w:rFonts w:ascii="黑体" w:hAnsi="宋体" w:eastAsia="黑体" w:cs="宋体"/>
          <w:color w:val="000000"/>
          <w:kern w:val="0"/>
          <w:sz w:val="32"/>
          <w:szCs w:val="32"/>
          <w:shd w:val="clear" w:color="auto" w:fill="FFFFFF"/>
        </w:rPr>
      </w:pPr>
      <w:r>
        <w:rPr>
          <w:rFonts w:hint="eastAsia" w:ascii="黑体" w:hAnsi="宋体" w:eastAsia="黑体" w:cs="宋体"/>
          <w:color w:val="000000"/>
          <w:kern w:val="0"/>
          <w:sz w:val="32"/>
          <w:szCs w:val="32"/>
          <w:shd w:val="clear" w:color="auto" w:fill="FFFFFF"/>
        </w:rPr>
        <w:t>三、部门整体预算绩效管理情况</w:t>
      </w:r>
    </w:p>
    <w:p>
      <w:pPr>
        <w:widowControl/>
        <w:adjustRightInd w:val="0"/>
        <w:snapToGrid w:val="0"/>
        <w:spacing w:line="580" w:lineRule="exact"/>
        <w:ind w:firstLine="640" w:firstLineChars="200"/>
        <w:contextualSpacing/>
        <w:jc w:val="left"/>
        <w:rPr>
          <w:rFonts w:ascii="仿宋_GB2312" w:hAnsi="宋体" w:eastAsia="仿宋_GB2312" w:cs="宋体"/>
          <w:color w:val="000000"/>
          <w:kern w:val="0"/>
          <w:sz w:val="32"/>
          <w:szCs w:val="32"/>
          <w:shd w:val="clear" w:color="auto" w:fill="FFFFFF"/>
          <w:lang w:val="zh-CN"/>
        </w:rPr>
      </w:pPr>
      <w:r>
        <w:rPr>
          <w:rFonts w:hint="eastAsia" w:ascii="仿宋_GB2312" w:hAnsi="宋体" w:eastAsia="仿宋_GB2312" w:cs="宋体"/>
          <w:color w:val="000000"/>
          <w:kern w:val="0"/>
          <w:sz w:val="32"/>
          <w:szCs w:val="32"/>
          <w:shd w:val="clear" w:color="auto" w:fill="FFFFFF"/>
          <w:lang w:val="zh-CN"/>
        </w:rPr>
        <w:t>（一）部门预算管理。</w:t>
      </w:r>
    </w:p>
    <w:p>
      <w:pPr>
        <w:spacing w:line="580" w:lineRule="exact"/>
        <w:ind w:firstLine="560" w:firstLineChars="200"/>
        <w:rPr>
          <w:rFonts w:hint="eastAsia" w:ascii="新宋体" w:hAnsi="新宋体" w:eastAsia="新宋体" w:cs="新宋体"/>
          <w:sz w:val="28"/>
          <w:szCs w:val="28"/>
        </w:rPr>
      </w:pPr>
      <w:r>
        <w:rPr>
          <w:rFonts w:hint="eastAsia" w:ascii="新宋体" w:hAnsi="新宋体" w:eastAsia="新宋体" w:cs="新宋体"/>
          <w:sz w:val="28"/>
          <w:szCs w:val="28"/>
          <w:lang w:val="zh-CN"/>
        </w:rPr>
        <w:t>年初预算由单位按照“合法、规范、节俭”的原则，统筹安排，综合管理；精打细算，量入为出；结合上年资金使用情况和本年度实际需要编制年度财务收支预算；</w:t>
      </w:r>
      <w:r>
        <w:rPr>
          <w:rFonts w:hint="eastAsia" w:ascii="新宋体" w:hAnsi="新宋体" w:eastAsia="新宋体" w:cs="新宋体"/>
          <w:sz w:val="28"/>
          <w:szCs w:val="28"/>
        </w:rPr>
        <w:t>建立健全理事长统筹、分管领导主抓、相关科室配合的工作机制，</w:t>
      </w:r>
      <w:r>
        <w:rPr>
          <w:rFonts w:hint="eastAsia" w:ascii="新宋体" w:hAnsi="新宋体" w:eastAsia="新宋体" w:cs="新宋体"/>
          <w:sz w:val="28"/>
          <w:szCs w:val="28"/>
          <w:lang w:val="zh-CN"/>
        </w:rPr>
        <w:t>严格按照财政批复的预算执行预算</w:t>
      </w:r>
      <w:r>
        <w:rPr>
          <w:rFonts w:hint="eastAsia" w:ascii="宋体" w:hAnsi="宋体" w:cs="宋体"/>
          <w:sz w:val="28"/>
          <w:szCs w:val="28"/>
          <w:shd w:val="clear" w:color="auto" w:fill="FFFFFF"/>
        </w:rPr>
        <w:t>，支出总额控制在预算总额以内，</w:t>
      </w:r>
      <w:r>
        <w:rPr>
          <w:rFonts w:hint="eastAsia" w:ascii="新宋体" w:hAnsi="新宋体" w:eastAsia="新宋体" w:cs="新宋体"/>
          <w:sz w:val="28"/>
          <w:szCs w:val="28"/>
        </w:rPr>
        <w:t>确保预算执行有效实施。</w:t>
      </w:r>
    </w:p>
    <w:p>
      <w:pPr>
        <w:widowControl/>
        <w:adjustRightInd w:val="0"/>
        <w:snapToGrid w:val="0"/>
        <w:spacing w:line="580" w:lineRule="exact"/>
        <w:ind w:firstLine="640" w:firstLineChars="200"/>
        <w:contextualSpacing/>
        <w:jc w:val="left"/>
        <w:rPr>
          <w:rFonts w:ascii="仿宋_GB2312" w:hAnsi="宋体" w:eastAsia="仿宋_GB2312" w:cs="宋体"/>
          <w:color w:val="000000"/>
          <w:kern w:val="0"/>
          <w:sz w:val="32"/>
          <w:szCs w:val="32"/>
          <w:shd w:val="clear" w:color="auto" w:fill="FFFFFF"/>
          <w:lang w:val="zh-CN"/>
        </w:rPr>
      </w:pPr>
      <w:r>
        <w:rPr>
          <w:rFonts w:hint="eastAsia" w:ascii="仿宋_GB2312" w:hAnsi="宋体" w:eastAsia="仿宋_GB2312" w:cs="宋体"/>
          <w:color w:val="000000"/>
          <w:kern w:val="0"/>
          <w:sz w:val="32"/>
          <w:szCs w:val="32"/>
          <w:shd w:val="clear" w:color="auto" w:fill="FFFFFF"/>
          <w:lang w:val="zh-CN"/>
        </w:rPr>
        <w:t>（二）结果应用情况。</w:t>
      </w:r>
    </w:p>
    <w:p>
      <w:pPr>
        <w:spacing w:line="620" w:lineRule="exact"/>
        <w:ind w:firstLine="840" w:firstLineChars="300"/>
        <w:rPr>
          <w:rFonts w:ascii="新宋体" w:hAnsi="新宋体" w:eastAsia="新宋体"/>
          <w:sz w:val="28"/>
          <w:szCs w:val="28"/>
        </w:rPr>
      </w:pPr>
      <w:r>
        <w:rPr>
          <w:rFonts w:hint="eastAsia" w:ascii="新宋体" w:hAnsi="新宋体" w:eastAsia="新宋体"/>
          <w:sz w:val="28"/>
          <w:szCs w:val="28"/>
        </w:rPr>
        <w:t>1、提高残疾人生活水平和质量，</w:t>
      </w:r>
      <w:r>
        <w:rPr>
          <w:rFonts w:ascii="新宋体" w:hAnsi="新宋体" w:eastAsia="新宋体"/>
          <w:sz w:val="28"/>
          <w:szCs w:val="28"/>
        </w:rPr>
        <w:t>全面完成各项涉残民生工程任务。为贫困残疾人适配亟需的基本辅助器具已完成1074人，占任务数104.98%；救助贫困脑瘫儿童项目已完成26例，占任务数101.22%；救助贫困家庭重度听力残疾儿童项目已完成79人，占任务数100%。</w:t>
      </w:r>
      <w:r>
        <w:rPr>
          <w:rFonts w:hint="eastAsia" w:ascii="新宋体" w:hAnsi="新宋体" w:eastAsia="新宋体"/>
          <w:sz w:val="28"/>
          <w:szCs w:val="28"/>
        </w:rPr>
        <w:t>增加残疾人收入，提升了残疾人参与社会生活能力。</w:t>
      </w:r>
    </w:p>
    <w:p>
      <w:pPr>
        <w:spacing w:line="580" w:lineRule="exact"/>
        <w:ind w:firstLine="560" w:firstLineChars="200"/>
        <w:rPr>
          <w:rFonts w:ascii="新宋体" w:hAnsi="新宋体" w:eastAsia="新宋体"/>
          <w:sz w:val="28"/>
          <w:szCs w:val="28"/>
        </w:rPr>
      </w:pPr>
      <w:r>
        <w:rPr>
          <w:rFonts w:hint="eastAsia" w:ascii="新宋体" w:hAnsi="新宋体" w:eastAsia="新宋体"/>
          <w:sz w:val="28"/>
          <w:szCs w:val="28"/>
        </w:rPr>
        <w:t>2、营造扶残助残氛围。通过项目实施，在全县范围内增强扶残助残氛围。</w:t>
      </w:r>
    </w:p>
    <w:p>
      <w:pPr>
        <w:widowControl/>
        <w:adjustRightInd w:val="0"/>
        <w:snapToGrid w:val="0"/>
        <w:spacing w:line="580" w:lineRule="exact"/>
        <w:ind w:firstLine="640" w:firstLineChars="200"/>
        <w:contextualSpacing/>
        <w:jc w:val="left"/>
        <w:rPr>
          <w:rFonts w:ascii="黑体" w:hAnsi="宋体" w:eastAsia="黑体" w:cs="宋体"/>
          <w:color w:val="000000"/>
          <w:kern w:val="0"/>
          <w:sz w:val="32"/>
          <w:szCs w:val="32"/>
          <w:shd w:val="clear" w:color="auto" w:fill="FFFFFF"/>
        </w:rPr>
      </w:pPr>
      <w:r>
        <w:rPr>
          <w:rFonts w:hint="eastAsia" w:ascii="黑体" w:hAnsi="宋体" w:eastAsia="黑体" w:cs="宋体"/>
          <w:color w:val="000000"/>
          <w:kern w:val="0"/>
          <w:sz w:val="32"/>
          <w:szCs w:val="32"/>
          <w:shd w:val="clear" w:color="auto" w:fill="FFFFFF"/>
        </w:rPr>
        <w:t>四、评价结论及建议</w:t>
      </w:r>
    </w:p>
    <w:p>
      <w:pPr>
        <w:widowControl/>
        <w:adjustRightInd w:val="0"/>
        <w:snapToGrid w:val="0"/>
        <w:spacing w:line="580" w:lineRule="exact"/>
        <w:ind w:firstLine="640" w:firstLineChars="200"/>
        <w:contextualSpacing/>
        <w:jc w:val="left"/>
        <w:rPr>
          <w:rFonts w:ascii="仿宋_GB2312" w:hAnsi="宋体" w:eastAsia="仿宋_GB2312" w:cs="宋体"/>
          <w:color w:val="000000"/>
          <w:kern w:val="0"/>
          <w:sz w:val="32"/>
          <w:szCs w:val="32"/>
          <w:shd w:val="clear" w:color="auto" w:fill="FFFFFF"/>
          <w:lang w:val="zh-CN"/>
        </w:rPr>
      </w:pPr>
      <w:r>
        <w:rPr>
          <w:rFonts w:hint="eastAsia" w:ascii="仿宋_GB2312" w:hAnsi="宋体" w:eastAsia="仿宋_GB2312" w:cs="宋体"/>
          <w:color w:val="000000"/>
          <w:kern w:val="0"/>
          <w:sz w:val="32"/>
          <w:szCs w:val="32"/>
          <w:shd w:val="clear" w:color="auto" w:fill="FFFFFF"/>
          <w:lang w:val="zh-CN"/>
        </w:rPr>
        <w:t>（一）评价结论。</w:t>
      </w:r>
    </w:p>
    <w:p>
      <w:pPr>
        <w:widowControl/>
        <w:adjustRightInd w:val="0"/>
        <w:snapToGrid w:val="0"/>
        <w:spacing w:line="580" w:lineRule="exact"/>
        <w:ind w:firstLine="560" w:firstLineChars="200"/>
        <w:contextualSpacing/>
        <w:jc w:val="left"/>
        <w:rPr>
          <w:rFonts w:hint="eastAsia" w:ascii="仿宋_GB2312" w:hAnsi="宋体" w:eastAsia="仿宋_GB2312" w:cs="宋体"/>
          <w:color w:val="000000"/>
          <w:kern w:val="0"/>
          <w:sz w:val="32"/>
          <w:szCs w:val="32"/>
          <w:shd w:val="clear" w:color="auto" w:fill="FFFFFF"/>
          <w:lang w:val="zh-CN"/>
        </w:rPr>
      </w:pPr>
      <w:r>
        <w:rPr>
          <w:rFonts w:hint="eastAsia" w:ascii="新宋体" w:hAnsi="新宋体" w:eastAsia="新宋体"/>
          <w:sz w:val="28"/>
          <w:szCs w:val="28"/>
        </w:rPr>
        <w:t>乐至县残联残疾人事业资金投入合理、政策执行有力、资金落实到位、资金使用规范透明、对项目的监督及时、准确。提高了残疾人的生活质量</w:t>
      </w:r>
    </w:p>
    <w:p>
      <w:pPr>
        <w:widowControl/>
        <w:adjustRightInd w:val="0"/>
        <w:snapToGrid w:val="0"/>
        <w:spacing w:line="580" w:lineRule="exact"/>
        <w:ind w:firstLine="640" w:firstLineChars="200"/>
        <w:contextualSpacing/>
        <w:jc w:val="left"/>
        <w:rPr>
          <w:rFonts w:ascii="仿宋_GB2312" w:hAnsi="宋体" w:eastAsia="仿宋_GB2312" w:cs="宋体"/>
          <w:color w:val="000000"/>
          <w:kern w:val="0"/>
          <w:sz w:val="32"/>
          <w:szCs w:val="32"/>
          <w:shd w:val="clear" w:color="auto" w:fill="FFFFFF"/>
          <w:lang w:val="zh-CN"/>
        </w:rPr>
      </w:pPr>
      <w:r>
        <w:rPr>
          <w:rFonts w:hint="eastAsia" w:ascii="仿宋_GB2312" w:hAnsi="宋体" w:eastAsia="仿宋_GB2312" w:cs="宋体"/>
          <w:color w:val="000000"/>
          <w:kern w:val="0"/>
          <w:sz w:val="32"/>
          <w:szCs w:val="32"/>
          <w:shd w:val="clear" w:color="auto" w:fill="FFFFFF"/>
          <w:lang w:val="zh-CN"/>
        </w:rPr>
        <w:t>（二）存在问题。</w:t>
      </w:r>
    </w:p>
    <w:p>
      <w:pPr>
        <w:spacing w:line="580" w:lineRule="exact"/>
        <w:ind w:firstLine="560" w:firstLineChars="200"/>
        <w:rPr>
          <w:rFonts w:hint="eastAsia" w:ascii="新宋体" w:hAnsi="新宋体" w:eastAsia="新宋体"/>
          <w:sz w:val="28"/>
          <w:szCs w:val="28"/>
        </w:rPr>
      </w:pPr>
      <w:r>
        <w:rPr>
          <w:rFonts w:hint="eastAsia" w:ascii="新宋体" w:hAnsi="新宋体" w:eastAsia="新宋体"/>
          <w:sz w:val="28"/>
          <w:szCs w:val="28"/>
        </w:rPr>
        <w:t>资金有限。我县残疾人事业补助资金主要靠中省下拨，本级政府投入十分有限，</w:t>
      </w:r>
      <w:r>
        <w:rPr>
          <w:rFonts w:ascii="新宋体" w:hAnsi="新宋体" w:eastAsia="新宋体"/>
          <w:sz w:val="28"/>
          <w:szCs w:val="28"/>
        </w:rPr>
        <w:t>资金缺口大</w:t>
      </w:r>
      <w:r>
        <w:rPr>
          <w:rFonts w:hint="eastAsia" w:ascii="新宋体" w:hAnsi="新宋体" w:eastAsia="新宋体"/>
          <w:sz w:val="28"/>
          <w:szCs w:val="28"/>
        </w:rPr>
        <w:t>。</w:t>
      </w:r>
    </w:p>
    <w:p>
      <w:pPr>
        <w:widowControl/>
        <w:adjustRightInd w:val="0"/>
        <w:snapToGrid w:val="0"/>
        <w:spacing w:line="580" w:lineRule="exact"/>
        <w:ind w:firstLine="640" w:firstLineChars="200"/>
        <w:contextualSpacing/>
        <w:jc w:val="left"/>
        <w:rPr>
          <w:rFonts w:ascii="仿宋_GB2312" w:hAnsi="宋体" w:eastAsia="仿宋_GB2312" w:cs="宋体"/>
          <w:color w:val="000000"/>
          <w:kern w:val="0"/>
          <w:sz w:val="32"/>
          <w:szCs w:val="32"/>
          <w:shd w:val="clear" w:color="auto" w:fill="FFFFFF"/>
          <w:lang w:val="zh-CN"/>
        </w:rPr>
      </w:pPr>
      <w:r>
        <w:rPr>
          <w:rFonts w:hint="eastAsia" w:ascii="仿宋_GB2312" w:hAnsi="宋体" w:eastAsia="仿宋_GB2312" w:cs="宋体"/>
          <w:color w:val="000000"/>
          <w:kern w:val="0"/>
          <w:sz w:val="32"/>
          <w:szCs w:val="32"/>
          <w:shd w:val="clear" w:color="auto" w:fill="FFFFFF"/>
          <w:lang w:val="zh-CN"/>
        </w:rPr>
        <w:t>（三）改进建议。</w:t>
      </w:r>
    </w:p>
    <w:p>
      <w:pPr>
        <w:spacing w:line="580" w:lineRule="exact"/>
        <w:ind w:firstLine="560" w:firstLineChars="200"/>
        <w:rPr>
          <w:rFonts w:ascii="新宋体" w:hAnsi="新宋体" w:eastAsia="新宋体"/>
          <w:sz w:val="28"/>
          <w:szCs w:val="28"/>
        </w:rPr>
      </w:pPr>
      <w:r>
        <w:rPr>
          <w:rFonts w:hint="eastAsia" w:ascii="新宋体" w:hAnsi="新宋体" w:eastAsia="新宋体"/>
          <w:sz w:val="28"/>
          <w:szCs w:val="28"/>
        </w:rPr>
        <w:t>1、建议继续建立健全和完善规章制度；</w:t>
      </w:r>
    </w:p>
    <w:p>
      <w:pPr>
        <w:spacing w:line="580" w:lineRule="exact"/>
        <w:ind w:firstLine="560" w:firstLineChars="200"/>
        <w:rPr>
          <w:rFonts w:ascii="新宋体" w:hAnsi="新宋体" w:eastAsia="新宋体"/>
          <w:sz w:val="28"/>
          <w:szCs w:val="28"/>
        </w:rPr>
      </w:pPr>
      <w:r>
        <w:rPr>
          <w:rFonts w:hint="eastAsia" w:ascii="新宋体" w:hAnsi="新宋体" w:eastAsia="新宋体"/>
          <w:sz w:val="28"/>
          <w:szCs w:val="28"/>
        </w:rPr>
        <w:t>2、科学测算资金，制定合理有效的资金收支方案，提高资金使用率。</w:t>
      </w:r>
    </w:p>
    <w:p>
      <w:pPr>
        <w:spacing w:line="580" w:lineRule="exact"/>
        <w:rPr>
          <w:rFonts w:ascii="仿宋_GB2312" w:hAnsi="仿宋_GB2312" w:eastAsia="仿宋_GB2312" w:cs="仿宋_GB2312"/>
          <w:sz w:val="32"/>
          <w:szCs w:val="32"/>
        </w:rPr>
      </w:pPr>
    </w:p>
    <w:p>
      <w:pPr>
        <w:spacing w:line="580" w:lineRule="exact"/>
        <w:rPr>
          <w:rFonts w:ascii="仿宋_GB2312" w:hAnsi="仿宋_GB2312" w:eastAsia="仿宋_GB2312" w:cs="仿宋_GB2312"/>
          <w:sz w:val="32"/>
          <w:szCs w:val="32"/>
        </w:rPr>
      </w:pPr>
    </w:p>
    <w:p>
      <w:pPr>
        <w:spacing w:line="580" w:lineRule="exact"/>
        <w:rPr>
          <w:rFonts w:ascii="仿宋_GB2312" w:hAnsi="仿宋_GB2312" w:eastAsia="仿宋_GB2312" w:cs="仿宋_GB2312"/>
          <w:sz w:val="32"/>
          <w:szCs w:val="32"/>
        </w:rPr>
      </w:pPr>
    </w:p>
    <w:p>
      <w:pPr>
        <w:spacing w:line="580" w:lineRule="exact"/>
        <w:rPr>
          <w:rFonts w:ascii="仿宋_GB2312" w:hAnsi="仿宋_GB2312" w:eastAsia="仿宋_GB2312" w:cs="仿宋_GB2312"/>
          <w:sz w:val="32"/>
          <w:szCs w:val="32"/>
        </w:rPr>
      </w:pPr>
    </w:p>
    <w:p>
      <w:pPr>
        <w:spacing w:line="580" w:lineRule="exact"/>
        <w:rPr>
          <w:rFonts w:ascii="仿宋_GB2312" w:hAnsi="仿宋_GB2312" w:eastAsia="仿宋_GB2312" w:cs="仿宋_GB2312"/>
          <w:sz w:val="32"/>
          <w:szCs w:val="32"/>
        </w:rPr>
      </w:pPr>
    </w:p>
    <w:p>
      <w:pPr>
        <w:spacing w:line="580" w:lineRule="exact"/>
        <w:rPr>
          <w:rFonts w:ascii="仿宋_GB2312" w:hAnsi="仿宋_GB2312" w:eastAsia="仿宋_GB2312" w:cs="仿宋_GB2312"/>
          <w:sz w:val="32"/>
          <w:szCs w:val="32"/>
        </w:rPr>
      </w:pPr>
    </w:p>
    <w:p>
      <w:pPr>
        <w:spacing w:line="580" w:lineRule="exact"/>
        <w:rPr>
          <w:rFonts w:ascii="仿宋_GB2312" w:hAnsi="仿宋_GB2312" w:eastAsia="仿宋_GB2312" w:cs="仿宋_GB2312"/>
          <w:sz w:val="32"/>
          <w:szCs w:val="32"/>
        </w:rPr>
      </w:pPr>
    </w:p>
    <w:p>
      <w:pPr>
        <w:spacing w:line="580" w:lineRule="exact"/>
        <w:rPr>
          <w:rFonts w:ascii="仿宋_GB2312" w:hAnsi="仿宋_GB2312" w:eastAsia="仿宋_GB2312" w:cs="仿宋_GB2312"/>
          <w:sz w:val="32"/>
          <w:szCs w:val="32"/>
        </w:rPr>
      </w:pPr>
    </w:p>
    <w:p>
      <w:pPr>
        <w:spacing w:line="580" w:lineRule="exact"/>
        <w:rPr>
          <w:rFonts w:ascii="仿宋_GB2312" w:hAnsi="仿宋_GB2312" w:eastAsia="仿宋_GB2312" w:cs="仿宋_GB2312"/>
          <w:sz w:val="32"/>
          <w:szCs w:val="32"/>
        </w:rPr>
      </w:pPr>
    </w:p>
    <w:p>
      <w:pPr>
        <w:spacing w:line="580" w:lineRule="exact"/>
        <w:rPr>
          <w:rFonts w:ascii="仿宋_GB2312" w:hAnsi="仿宋_GB2312" w:eastAsia="仿宋_GB2312" w:cs="仿宋_GB2312"/>
          <w:sz w:val="32"/>
          <w:szCs w:val="32"/>
        </w:rPr>
      </w:pPr>
    </w:p>
    <w:p>
      <w:pPr>
        <w:spacing w:line="580" w:lineRule="exact"/>
        <w:rPr>
          <w:rFonts w:ascii="仿宋_GB2312" w:hAnsi="仿宋_GB2312" w:eastAsia="仿宋_GB2312" w:cs="仿宋_GB2312"/>
          <w:sz w:val="32"/>
          <w:szCs w:val="32"/>
        </w:rPr>
      </w:pPr>
    </w:p>
    <w:p>
      <w:pPr>
        <w:spacing w:line="580" w:lineRule="exact"/>
        <w:rPr>
          <w:rFonts w:ascii="仿宋_GB2312" w:hAnsi="仿宋_GB2312" w:eastAsia="仿宋_GB2312" w:cs="仿宋_GB2312"/>
          <w:sz w:val="32"/>
          <w:szCs w:val="32"/>
        </w:rPr>
      </w:pPr>
    </w:p>
    <w:p>
      <w:pPr>
        <w:spacing w:line="580" w:lineRule="exact"/>
        <w:rPr>
          <w:rFonts w:hint="eastAsia" w:ascii="仿宋_GB2312" w:hAnsi="仿宋_GB2312" w:eastAsia="仿宋_GB2312" w:cs="仿宋_GB2312"/>
          <w:sz w:val="32"/>
          <w:szCs w:val="32"/>
        </w:rPr>
      </w:pPr>
    </w:p>
    <w:p>
      <w:pPr>
        <w:spacing w:line="580" w:lineRule="exact"/>
        <w:rPr>
          <w:rFonts w:ascii="仿宋_GB2312" w:hAnsi="仿宋_GB2312" w:eastAsia="仿宋_GB2312" w:cs="仿宋_GB2312"/>
          <w:sz w:val="32"/>
          <w:szCs w:val="32"/>
        </w:rPr>
      </w:pPr>
      <w:r>
        <w:rPr>
          <w:rFonts w:hint="eastAsia" w:ascii="黑体" w:hAnsi="黑体" w:eastAsia="黑体" w:cs="黑体"/>
          <w:sz w:val="32"/>
          <w:szCs w:val="32"/>
        </w:rPr>
        <w:t>附件2</w:t>
      </w:r>
    </w:p>
    <w:p>
      <w:pPr>
        <w:spacing w:line="580" w:lineRule="exact"/>
        <w:ind w:firstLine="640" w:firstLineChars="200"/>
        <w:rPr>
          <w:rFonts w:ascii="仿宋_GB2312" w:hAnsi="仿宋_GB2312" w:eastAsia="仿宋_GB2312" w:cs="仿宋_GB2312"/>
          <w:sz w:val="32"/>
          <w:szCs w:val="32"/>
        </w:rPr>
      </w:pPr>
    </w:p>
    <w:p>
      <w:pPr>
        <w:spacing w:line="600" w:lineRule="exact"/>
        <w:jc w:val="center"/>
        <w:outlineLvl w:val="0"/>
        <w:rPr>
          <w:rFonts w:ascii="黑体" w:hAnsi="黑体" w:eastAsia="黑体" w:cs="方正小标宋简体"/>
          <w:sz w:val="32"/>
          <w:szCs w:val="36"/>
        </w:rPr>
      </w:pPr>
      <w:r>
        <w:rPr>
          <w:rFonts w:hint="eastAsia" w:ascii="黑体" w:hAnsi="黑体" w:eastAsia="黑体" w:cs="方正小标宋简体"/>
          <w:sz w:val="32"/>
          <w:szCs w:val="36"/>
        </w:rPr>
        <w:t>乐至县残疾人联合会</w:t>
      </w:r>
    </w:p>
    <w:p>
      <w:pPr>
        <w:spacing w:line="600" w:lineRule="exact"/>
        <w:jc w:val="center"/>
        <w:outlineLvl w:val="0"/>
        <w:rPr>
          <w:rFonts w:ascii="黑体" w:hAnsi="黑体" w:eastAsia="黑体" w:cs="方正小标宋简体"/>
          <w:sz w:val="32"/>
          <w:szCs w:val="36"/>
        </w:rPr>
      </w:pPr>
      <w:r>
        <w:rPr>
          <w:rFonts w:hint="eastAsia" w:ascii="黑体" w:hAnsi="黑体" w:eastAsia="黑体" w:cs="方正小标宋简体"/>
          <w:sz w:val="32"/>
          <w:szCs w:val="36"/>
        </w:rPr>
        <w:t>201</w:t>
      </w:r>
      <w:r>
        <w:rPr>
          <w:rFonts w:ascii="黑体" w:hAnsi="黑体" w:eastAsia="黑体" w:cs="方正小标宋简体"/>
          <w:sz w:val="32"/>
          <w:szCs w:val="36"/>
        </w:rPr>
        <w:t>9</w:t>
      </w:r>
      <w:r>
        <w:rPr>
          <w:rFonts w:hint="eastAsia" w:ascii="黑体" w:hAnsi="黑体" w:eastAsia="黑体" w:cs="方正小标宋简体"/>
          <w:sz w:val="32"/>
          <w:szCs w:val="36"/>
        </w:rPr>
        <w:t>年残疾人康复训练项目支出绩效评价报告</w:t>
      </w:r>
    </w:p>
    <w:p>
      <w:pPr>
        <w:spacing w:line="600" w:lineRule="exact"/>
        <w:rPr>
          <w:rFonts w:ascii="宋体" w:hAnsi="宋体"/>
          <w:sz w:val="32"/>
          <w:szCs w:val="32"/>
        </w:rPr>
      </w:pPr>
    </w:p>
    <w:p>
      <w:pPr>
        <w:adjustRightInd w:val="0"/>
        <w:snapToGrid w:val="0"/>
        <w:spacing w:line="600" w:lineRule="exact"/>
        <w:ind w:firstLine="720"/>
        <w:rPr>
          <w:rFonts w:ascii="黑体" w:hAnsi="宋体" w:eastAsia="黑体"/>
          <w:sz w:val="32"/>
          <w:szCs w:val="32"/>
          <w:lang w:val="zh-CN"/>
        </w:rPr>
      </w:pPr>
      <w:r>
        <w:rPr>
          <w:rFonts w:hint="eastAsia" w:ascii="黑体" w:hAnsi="宋体" w:eastAsia="黑体"/>
          <w:sz w:val="32"/>
          <w:szCs w:val="32"/>
        </w:rPr>
        <w:t>一、</w:t>
      </w:r>
      <w:r>
        <w:rPr>
          <w:rFonts w:hint="eastAsia" w:ascii="黑体" w:hAnsi="宋体" w:eastAsia="黑体"/>
          <w:sz w:val="32"/>
          <w:szCs w:val="32"/>
          <w:lang w:val="zh-CN"/>
        </w:rPr>
        <w:t>项目概况</w:t>
      </w:r>
    </w:p>
    <w:p>
      <w:pPr>
        <w:adjustRightInd w:val="0"/>
        <w:snapToGrid w:val="0"/>
        <w:spacing w:line="60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（一）项目基本情况。</w:t>
      </w:r>
    </w:p>
    <w:p>
      <w:pPr>
        <w:spacing w:line="580" w:lineRule="exact"/>
        <w:ind w:firstLine="560" w:firstLineChars="200"/>
        <w:rPr>
          <w:rFonts w:ascii="新宋体" w:hAnsi="新宋体" w:eastAsia="新宋体" w:cs="新宋体"/>
          <w:sz w:val="28"/>
          <w:szCs w:val="28"/>
        </w:rPr>
      </w:pPr>
      <w:r>
        <w:rPr>
          <w:rFonts w:hint="eastAsia" w:ascii="新宋体" w:hAnsi="新宋体" w:eastAsia="新宋体" w:cs="新宋体"/>
          <w:sz w:val="28"/>
          <w:szCs w:val="28"/>
        </w:rPr>
        <w:t>成立领导小组，县残联成立了以理事长任组长，分管副理事长任副组长的项目绩效评价领导小组，安排专人进行绩效自评。201</w:t>
      </w:r>
      <w:r>
        <w:rPr>
          <w:rFonts w:ascii="新宋体" w:hAnsi="新宋体" w:eastAsia="新宋体" w:cs="新宋体"/>
          <w:sz w:val="28"/>
          <w:szCs w:val="28"/>
        </w:rPr>
        <w:t>9</w:t>
      </w:r>
      <w:r>
        <w:rPr>
          <w:rFonts w:hint="eastAsia" w:ascii="新宋体" w:hAnsi="新宋体" w:eastAsia="新宋体" w:cs="新宋体"/>
          <w:sz w:val="28"/>
          <w:szCs w:val="28"/>
        </w:rPr>
        <w:t>年残疾人康复训练专项资金</w:t>
      </w:r>
      <w:r>
        <w:rPr>
          <w:rFonts w:ascii="新宋体" w:hAnsi="新宋体" w:eastAsia="新宋体" w:cs="新宋体"/>
          <w:sz w:val="28"/>
          <w:szCs w:val="28"/>
        </w:rPr>
        <w:t>61.32</w:t>
      </w:r>
      <w:r>
        <w:rPr>
          <w:rFonts w:hint="eastAsia" w:ascii="新宋体" w:hAnsi="新宋体" w:eastAsia="新宋体" w:cs="新宋体"/>
          <w:sz w:val="28"/>
          <w:szCs w:val="28"/>
        </w:rPr>
        <w:t>万元，完成残疾人康复训练培训1</w:t>
      </w:r>
      <w:r>
        <w:rPr>
          <w:rFonts w:ascii="新宋体" w:hAnsi="新宋体" w:eastAsia="新宋体" w:cs="新宋体"/>
          <w:sz w:val="28"/>
          <w:szCs w:val="28"/>
        </w:rPr>
        <w:t>0</w:t>
      </w:r>
      <w:r>
        <w:rPr>
          <w:rFonts w:hint="eastAsia" w:ascii="新宋体" w:hAnsi="新宋体" w:eastAsia="新宋体" w:cs="新宋体"/>
          <w:sz w:val="28"/>
          <w:szCs w:val="28"/>
        </w:rPr>
        <w:t>5人。</w:t>
      </w:r>
    </w:p>
    <w:p>
      <w:pPr>
        <w:adjustRightInd w:val="0"/>
        <w:snapToGrid w:val="0"/>
        <w:spacing w:line="60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（二）项目绩效目标。</w:t>
      </w:r>
    </w:p>
    <w:p>
      <w:pPr>
        <w:spacing w:line="580" w:lineRule="exact"/>
        <w:ind w:firstLine="560" w:firstLineChars="200"/>
        <w:rPr>
          <w:rFonts w:ascii="新宋体" w:hAnsi="新宋体" w:eastAsia="新宋体" w:cs="新宋体"/>
          <w:sz w:val="28"/>
          <w:szCs w:val="28"/>
        </w:rPr>
      </w:pPr>
      <w:r>
        <w:rPr>
          <w:rFonts w:hint="eastAsia" w:ascii="新宋体" w:hAnsi="新宋体" w:eastAsia="新宋体" w:cs="新宋体"/>
          <w:sz w:val="28"/>
          <w:szCs w:val="28"/>
        </w:rPr>
        <w:t>一是加强组织领导。建立健全理事长统筹、分管领导主抓、相关科室配合的工作机制，确保流程有序实施。二是加强资金监管。认真贯彻落实相关规定，从专项经费的申请、批准、拨付到投入使用过程中，没有出现任何违纪违规的问题。并且纳入单位财务部门统一管理，按照专款专用原则，统筹分配使用，无截留、挪用专项资金请况，拨付的专项资金及时、足额到位，并将专项建设安排的配套资金纳入每年部门预算安排。三是完善各项规章制度。建立健全规范化、细致化的管理制度，严格按照财务管理制度的要求，加大制度规范管理的力度，确保专项工作高效开展。</w:t>
      </w:r>
    </w:p>
    <w:p>
      <w:pPr>
        <w:spacing w:line="580" w:lineRule="exact"/>
        <w:ind w:firstLine="560" w:firstLineChars="200"/>
        <w:rPr>
          <w:rFonts w:hint="eastAsia" w:ascii="新宋体" w:hAnsi="新宋体" w:eastAsia="新宋体" w:cs="新宋体"/>
          <w:sz w:val="28"/>
          <w:szCs w:val="28"/>
        </w:rPr>
      </w:pPr>
      <w:r>
        <w:rPr>
          <w:rFonts w:hint="eastAsia" w:ascii="新宋体" w:hAnsi="新宋体" w:eastAsia="新宋体" w:cs="新宋体"/>
          <w:sz w:val="28"/>
          <w:szCs w:val="28"/>
        </w:rPr>
        <w:t>项目进展顺利，至2018年底预期目标已100%完成。</w:t>
      </w:r>
    </w:p>
    <w:p>
      <w:pPr>
        <w:tabs>
          <w:tab w:val="left" w:pos="1905"/>
        </w:tabs>
        <w:rPr>
          <w:rFonts w:ascii="新宋体" w:hAnsi="新宋体" w:eastAsia="新宋体" w:cs="新宋体"/>
          <w:sz w:val="28"/>
          <w:szCs w:val="28"/>
        </w:rPr>
      </w:pPr>
      <w:r>
        <w:rPr>
          <w:rFonts w:ascii="新宋体" w:hAnsi="新宋体" w:eastAsia="新宋体" w:cs="新宋体"/>
          <w:sz w:val="28"/>
          <w:szCs w:val="28"/>
        </w:rPr>
        <w:tab/>
      </w:r>
    </w:p>
    <w:p>
      <w:pPr>
        <w:spacing w:line="580" w:lineRule="exact"/>
        <w:ind w:firstLine="560" w:firstLineChars="200"/>
        <w:rPr>
          <w:rFonts w:ascii="新宋体" w:hAnsi="新宋体" w:eastAsia="新宋体" w:cs="新宋体"/>
          <w:sz w:val="28"/>
          <w:szCs w:val="28"/>
        </w:rPr>
      </w:pPr>
      <w:r>
        <w:rPr>
          <w:rFonts w:hint="eastAsia" w:ascii="新宋体" w:hAnsi="新宋体" w:eastAsia="新宋体" w:cs="新宋体"/>
          <w:sz w:val="28"/>
          <w:szCs w:val="28"/>
        </w:rPr>
        <w:t>2018年财政拨付残疾人残疾人康复训练专项资金</w:t>
      </w:r>
      <w:r>
        <w:rPr>
          <w:rFonts w:ascii="新宋体" w:hAnsi="新宋体" w:eastAsia="新宋体" w:cs="新宋体"/>
          <w:sz w:val="28"/>
          <w:szCs w:val="28"/>
        </w:rPr>
        <w:t>61.32</w:t>
      </w:r>
      <w:r>
        <w:rPr>
          <w:rFonts w:hint="eastAsia" w:ascii="新宋体" w:hAnsi="新宋体" w:eastAsia="新宋体" w:cs="新宋体"/>
          <w:sz w:val="28"/>
          <w:szCs w:val="28"/>
        </w:rPr>
        <w:t>万元，共使用专项资金</w:t>
      </w:r>
      <w:r>
        <w:rPr>
          <w:rFonts w:ascii="新宋体" w:hAnsi="新宋体" w:eastAsia="新宋体" w:cs="新宋体"/>
          <w:sz w:val="28"/>
          <w:szCs w:val="28"/>
        </w:rPr>
        <w:t>61.32</w:t>
      </w:r>
      <w:r>
        <w:rPr>
          <w:rFonts w:hint="eastAsia" w:ascii="新宋体" w:hAnsi="新宋体" w:eastAsia="新宋体" w:cs="新宋体"/>
          <w:sz w:val="28"/>
          <w:szCs w:val="28"/>
        </w:rPr>
        <w:t>万元。专项资金的使用严格按照相关文件精神及财经制度纪律执行。</w:t>
      </w:r>
    </w:p>
    <w:p>
      <w:pPr>
        <w:adjustRightInd w:val="0"/>
        <w:snapToGrid w:val="0"/>
        <w:spacing w:line="60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（三）项目自评步骤及方法。</w:t>
      </w:r>
    </w:p>
    <w:p>
      <w:pPr>
        <w:adjustRightInd w:val="0"/>
        <w:snapToGrid w:val="0"/>
        <w:spacing w:line="600" w:lineRule="exact"/>
        <w:ind w:firstLine="720"/>
        <w:rPr>
          <w:rFonts w:ascii="新宋体" w:hAnsi="新宋体" w:eastAsia="新宋体" w:cs="新宋体"/>
          <w:sz w:val="28"/>
          <w:szCs w:val="28"/>
        </w:rPr>
      </w:pPr>
      <w:r>
        <w:rPr>
          <w:rFonts w:hint="eastAsia" w:ascii="新宋体" w:hAnsi="新宋体" w:eastAsia="新宋体" w:cs="新宋体"/>
          <w:sz w:val="28"/>
          <w:szCs w:val="28"/>
        </w:rPr>
        <w:t>成立领导小组，县残联成立了以理事长任组长，分管副理事长任副组长的项目绩效评价领导小组，安排专人进行绩效自评。</w:t>
      </w:r>
    </w:p>
    <w:p>
      <w:pPr>
        <w:adjustRightInd w:val="0"/>
        <w:snapToGrid w:val="0"/>
        <w:spacing w:line="600" w:lineRule="exact"/>
        <w:ind w:firstLine="720"/>
        <w:rPr>
          <w:rFonts w:ascii="黑体" w:hAnsi="宋体" w:eastAsia="黑体"/>
          <w:sz w:val="32"/>
          <w:szCs w:val="32"/>
        </w:rPr>
      </w:pPr>
      <w:r>
        <w:rPr>
          <w:rFonts w:hint="eastAsia" w:ascii="黑体" w:hAnsi="宋体" w:eastAsia="黑体"/>
          <w:sz w:val="32"/>
          <w:szCs w:val="32"/>
        </w:rPr>
        <w:t>二、项目资金申报及使用情况</w:t>
      </w:r>
    </w:p>
    <w:p>
      <w:pPr>
        <w:adjustRightInd w:val="0"/>
        <w:snapToGrid w:val="0"/>
        <w:spacing w:line="60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（一）项目资金申报及批复情况。</w:t>
      </w:r>
    </w:p>
    <w:p>
      <w:pPr>
        <w:adjustRightInd w:val="0"/>
        <w:snapToGrid w:val="0"/>
        <w:spacing w:line="600" w:lineRule="exact"/>
        <w:ind w:firstLine="720"/>
        <w:rPr>
          <w:rFonts w:ascii="新宋体" w:hAnsi="新宋体" w:eastAsia="新宋体"/>
          <w:sz w:val="28"/>
          <w:szCs w:val="28"/>
        </w:rPr>
      </w:pPr>
      <w:r>
        <w:rPr>
          <w:rFonts w:hint="eastAsia" w:ascii="新宋体" w:hAnsi="新宋体" w:eastAsia="新宋体"/>
          <w:sz w:val="28"/>
          <w:szCs w:val="28"/>
        </w:rPr>
        <w:t>我县残疾人事业补助资金主要靠中省下拨</w:t>
      </w:r>
    </w:p>
    <w:p>
      <w:pPr>
        <w:adjustRightInd w:val="0"/>
        <w:snapToGrid w:val="0"/>
        <w:spacing w:line="600" w:lineRule="exact"/>
        <w:ind w:firstLine="720"/>
        <w:rPr>
          <w:rFonts w:ascii="仿宋_GB2312" w:hAnsi="宋体" w:eastAsia="仿宋_GB2312"/>
          <w:sz w:val="32"/>
          <w:szCs w:val="32"/>
          <w:lang w:val="zh-CN"/>
        </w:rPr>
      </w:pPr>
      <w:r>
        <w:rPr>
          <w:rFonts w:hint="eastAsia" w:ascii="楷体_GB2312" w:hAnsi="宋体" w:eastAsia="楷体_GB2312"/>
          <w:b/>
          <w:sz w:val="32"/>
          <w:szCs w:val="32"/>
          <w:lang w:val="zh-CN"/>
        </w:rPr>
        <w:t>（二）资金计划、到位及使用情况（可用表格形式反映）。</w:t>
      </w:r>
    </w:p>
    <w:p>
      <w:pPr>
        <w:spacing w:line="580" w:lineRule="exact"/>
        <w:ind w:firstLine="560" w:firstLineChars="200"/>
        <w:rPr>
          <w:rFonts w:ascii="新宋体" w:hAnsi="新宋体" w:eastAsia="新宋体"/>
          <w:sz w:val="28"/>
          <w:szCs w:val="28"/>
        </w:rPr>
      </w:pPr>
      <w:r>
        <w:rPr>
          <w:rFonts w:hint="eastAsia" w:ascii="新宋体" w:hAnsi="新宋体" w:eastAsia="新宋体"/>
          <w:sz w:val="28"/>
          <w:szCs w:val="28"/>
        </w:rPr>
        <w:t>我县残疾人事业补助资金主要靠中省下拨，本级政府投入十分有限，</w:t>
      </w:r>
      <w:r>
        <w:rPr>
          <w:rFonts w:ascii="新宋体" w:hAnsi="新宋体" w:eastAsia="新宋体"/>
          <w:sz w:val="28"/>
          <w:szCs w:val="28"/>
        </w:rPr>
        <w:t>资金缺口大</w:t>
      </w:r>
      <w:r>
        <w:rPr>
          <w:rFonts w:hint="eastAsia" w:ascii="新宋体" w:hAnsi="新宋体" w:eastAsia="新宋体"/>
          <w:sz w:val="28"/>
          <w:szCs w:val="28"/>
        </w:rPr>
        <w:t>。</w:t>
      </w:r>
    </w:p>
    <w:p>
      <w:pPr>
        <w:adjustRightInd w:val="0"/>
        <w:snapToGrid w:val="0"/>
        <w:spacing w:line="60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（三）项目财务管理情况。</w:t>
      </w:r>
    </w:p>
    <w:p>
      <w:pPr>
        <w:adjustRightInd w:val="0"/>
        <w:snapToGrid w:val="0"/>
        <w:spacing w:line="600" w:lineRule="exact"/>
        <w:ind w:firstLine="720"/>
        <w:rPr>
          <w:rFonts w:ascii="仿宋_GB2312" w:hAnsi="宋体" w:eastAsia="仿宋_GB2312"/>
          <w:sz w:val="32"/>
          <w:szCs w:val="32"/>
          <w:lang w:val="zh-CN"/>
        </w:rPr>
      </w:pPr>
      <w:r>
        <w:rPr>
          <w:rFonts w:hint="eastAsia" w:ascii="仿宋_GB2312" w:hAnsi="宋体" w:eastAsia="仿宋_GB2312"/>
          <w:sz w:val="32"/>
          <w:szCs w:val="32"/>
          <w:lang w:val="zh-CN"/>
        </w:rPr>
        <w:t>总体评价各项目实施单位财务管理制度健全，严格执行财务管理制度，账务处理及时，会计核算规范。</w:t>
      </w:r>
    </w:p>
    <w:p>
      <w:pPr>
        <w:adjustRightInd w:val="0"/>
        <w:snapToGrid w:val="0"/>
        <w:spacing w:line="600" w:lineRule="exact"/>
        <w:ind w:firstLine="720"/>
        <w:rPr>
          <w:rFonts w:ascii="黑体" w:hAnsi="宋体" w:eastAsia="黑体"/>
          <w:sz w:val="32"/>
          <w:szCs w:val="32"/>
        </w:rPr>
      </w:pPr>
      <w:r>
        <w:rPr>
          <w:rFonts w:hint="eastAsia" w:ascii="黑体" w:hAnsi="宋体" w:eastAsia="黑体"/>
          <w:sz w:val="32"/>
          <w:szCs w:val="32"/>
        </w:rPr>
        <w:t>三、项目实施及管理情况</w:t>
      </w:r>
    </w:p>
    <w:p>
      <w:pPr>
        <w:spacing w:line="580" w:lineRule="exact"/>
        <w:ind w:firstLine="560" w:firstLineChars="200"/>
        <w:rPr>
          <w:rFonts w:hint="eastAsia" w:ascii="新宋体" w:hAnsi="新宋体" w:eastAsia="新宋体"/>
          <w:sz w:val="28"/>
          <w:szCs w:val="28"/>
        </w:rPr>
      </w:pPr>
      <w:r>
        <w:rPr>
          <w:rFonts w:hint="eastAsia" w:ascii="新宋体" w:hAnsi="新宋体" w:eastAsia="新宋体"/>
          <w:sz w:val="28"/>
          <w:szCs w:val="28"/>
        </w:rPr>
        <w:t>科学测算资金，制定合理有效的资金收支方案，提高资金使用率。</w:t>
      </w:r>
    </w:p>
    <w:p>
      <w:pPr>
        <w:adjustRightInd w:val="0"/>
        <w:snapToGrid w:val="0"/>
        <w:spacing w:line="60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（一）项目组织架构及实施流程。</w:t>
      </w:r>
    </w:p>
    <w:p>
      <w:pPr>
        <w:adjustRightInd w:val="0"/>
        <w:snapToGrid w:val="0"/>
        <w:spacing w:line="600" w:lineRule="exact"/>
        <w:ind w:firstLine="720"/>
        <w:rPr>
          <w:rFonts w:ascii="仿宋_GB2312" w:hAnsi="宋体" w:eastAsia="仿宋_GB2312"/>
          <w:sz w:val="32"/>
          <w:szCs w:val="32"/>
          <w:lang w:val="zh-CN"/>
        </w:rPr>
      </w:pPr>
      <w:r>
        <w:rPr>
          <w:rFonts w:hint="eastAsia" w:ascii="楷体_GB2312" w:hAnsi="宋体" w:eastAsia="楷体_GB2312"/>
          <w:b/>
          <w:sz w:val="32"/>
          <w:szCs w:val="32"/>
          <w:lang w:val="zh-CN"/>
        </w:rPr>
        <w:t>（二）项目管理情况。</w:t>
      </w:r>
      <w:r>
        <w:rPr>
          <w:rFonts w:hint="eastAsia" w:ascii="仿宋_GB2312" w:hAnsi="宋体" w:eastAsia="仿宋_GB2312"/>
          <w:sz w:val="32"/>
          <w:szCs w:val="32"/>
          <w:lang w:val="zh-CN"/>
        </w:rPr>
        <w:t>结合项目特点，总体评价各项目实施单位执行相关法律法规及项目管理制度等情况，如招投标、政府采购、项目公示制等相关规定。</w:t>
      </w:r>
    </w:p>
    <w:p>
      <w:pPr>
        <w:adjustRightInd w:val="0"/>
        <w:snapToGrid w:val="0"/>
        <w:spacing w:line="600" w:lineRule="exact"/>
        <w:ind w:firstLine="720"/>
        <w:rPr>
          <w:rFonts w:ascii="仿宋_GB2312" w:hAnsi="宋体" w:eastAsia="仿宋_GB2312"/>
          <w:sz w:val="32"/>
          <w:szCs w:val="32"/>
          <w:lang w:val="zh-CN"/>
        </w:rPr>
      </w:pPr>
      <w:r>
        <w:rPr>
          <w:rFonts w:hint="eastAsia" w:ascii="楷体_GB2312" w:hAnsi="宋体" w:eastAsia="楷体_GB2312"/>
          <w:b/>
          <w:sz w:val="32"/>
          <w:szCs w:val="32"/>
          <w:lang w:val="zh-CN"/>
        </w:rPr>
        <w:t>（三）项目监管情况。</w:t>
      </w:r>
      <w:r>
        <w:rPr>
          <w:rFonts w:hint="eastAsia" w:ascii="仿宋_GB2312" w:hAnsi="宋体" w:eastAsia="仿宋_GB2312"/>
          <w:sz w:val="32"/>
          <w:szCs w:val="32"/>
          <w:lang w:val="zh-CN"/>
        </w:rPr>
        <w:t>说明项目主管部门为加强项目管理所采取的监管手段、监管程序、监管工作开展情况及实现的效果等。</w:t>
      </w:r>
    </w:p>
    <w:p>
      <w:pPr>
        <w:adjustRightInd w:val="0"/>
        <w:snapToGrid w:val="0"/>
        <w:spacing w:line="600" w:lineRule="exact"/>
        <w:ind w:firstLine="720"/>
        <w:rPr>
          <w:rFonts w:ascii="仿宋_GB2312" w:hAnsi="宋体" w:eastAsia="仿宋_GB2312"/>
          <w:sz w:val="32"/>
          <w:szCs w:val="32"/>
          <w:lang w:val="zh-CN"/>
        </w:rPr>
      </w:pPr>
      <w:r>
        <w:rPr>
          <w:rFonts w:hint="eastAsia" w:ascii="黑体" w:hAnsi="宋体" w:eastAsia="黑体"/>
          <w:sz w:val="32"/>
          <w:szCs w:val="32"/>
        </w:rPr>
        <w:t>四、项目绩效情况</w:t>
      </w:r>
      <w:r>
        <w:rPr>
          <w:rFonts w:hint="eastAsia" w:ascii="仿宋_GB2312" w:hAnsi="宋体" w:eastAsia="仿宋_GB2312"/>
          <w:sz w:val="32"/>
          <w:szCs w:val="32"/>
          <w:lang w:val="zh-CN"/>
        </w:rPr>
        <w:tab/>
      </w:r>
    </w:p>
    <w:p>
      <w:pPr>
        <w:adjustRightInd w:val="0"/>
        <w:snapToGrid w:val="0"/>
        <w:spacing w:line="60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（一）项目完成情况。</w:t>
      </w:r>
    </w:p>
    <w:p>
      <w:pPr>
        <w:adjustRightInd w:val="0"/>
        <w:snapToGrid w:val="0"/>
        <w:spacing w:line="600" w:lineRule="exact"/>
        <w:ind w:firstLine="720"/>
        <w:rPr>
          <w:rFonts w:ascii="楷体_GB2312" w:hAnsi="宋体" w:eastAsia="楷体_GB2312"/>
          <w:b/>
          <w:sz w:val="32"/>
          <w:szCs w:val="32"/>
          <w:lang w:val="zh-CN"/>
        </w:rPr>
      </w:pPr>
      <w:r>
        <w:rPr>
          <w:rFonts w:hint="eastAsia" w:ascii="仿宋_GB2312" w:hAnsi="宋体" w:eastAsia="仿宋_GB2312"/>
          <w:sz w:val="32"/>
          <w:szCs w:val="32"/>
          <w:lang w:val="zh-CN"/>
        </w:rPr>
        <w:t>包括项目完成数量、质量、时效、成本等情况，对照项目计划完成目标，对截止评价时点的任务量完成、质量标准、进度计划、成本控制目标的实现程度进行评价，并进行分析说明。</w:t>
      </w:r>
    </w:p>
    <w:p>
      <w:pPr>
        <w:adjustRightInd w:val="0"/>
        <w:snapToGrid w:val="0"/>
        <w:spacing w:line="60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（二）项目效益情况。</w:t>
      </w:r>
    </w:p>
    <w:p>
      <w:pPr>
        <w:adjustRightInd w:val="0"/>
        <w:snapToGrid w:val="0"/>
        <w:spacing w:line="600" w:lineRule="exact"/>
        <w:ind w:firstLine="720"/>
        <w:rPr>
          <w:rFonts w:ascii="仿宋_GB2312" w:hAnsi="宋体" w:eastAsia="仿宋_GB2312"/>
          <w:sz w:val="32"/>
          <w:szCs w:val="32"/>
          <w:lang w:val="zh-CN"/>
        </w:rPr>
      </w:pPr>
      <w:r>
        <w:rPr>
          <w:rFonts w:hint="eastAsia" w:ascii="仿宋_GB2312" w:hAnsi="宋体" w:eastAsia="仿宋_GB2312"/>
          <w:sz w:val="32"/>
          <w:szCs w:val="32"/>
          <w:lang w:val="zh-CN"/>
        </w:rPr>
        <w:t>从项目经济效益、社会效益、生态效益、可持续效益以及服务对象满意度等方面对项目效益进行全面分析评价。</w:t>
      </w:r>
    </w:p>
    <w:p>
      <w:pPr>
        <w:adjustRightInd w:val="0"/>
        <w:snapToGrid w:val="0"/>
        <w:spacing w:line="600" w:lineRule="exact"/>
        <w:ind w:firstLine="720"/>
        <w:rPr>
          <w:rFonts w:ascii="黑体" w:hAnsi="宋体" w:eastAsia="黑体"/>
          <w:sz w:val="32"/>
          <w:szCs w:val="32"/>
        </w:rPr>
      </w:pPr>
      <w:r>
        <w:rPr>
          <w:rFonts w:hint="eastAsia" w:ascii="黑体" w:hAnsi="宋体" w:eastAsia="黑体"/>
          <w:sz w:val="32"/>
          <w:szCs w:val="32"/>
        </w:rPr>
        <w:t>五、评价结论及建议</w:t>
      </w:r>
    </w:p>
    <w:p>
      <w:pPr>
        <w:adjustRightInd w:val="0"/>
        <w:snapToGrid w:val="0"/>
        <w:spacing w:line="60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（一）评价结论。</w:t>
      </w:r>
    </w:p>
    <w:p>
      <w:pPr>
        <w:adjustRightInd w:val="0"/>
        <w:snapToGrid w:val="0"/>
        <w:spacing w:line="600" w:lineRule="exact"/>
        <w:ind w:firstLine="640" w:firstLineChars="200"/>
        <w:rPr>
          <w:rFonts w:ascii="仿宋_GB2312" w:hAnsi="宋体" w:eastAsia="仿宋_GB2312"/>
          <w:sz w:val="32"/>
          <w:szCs w:val="32"/>
          <w:bdr w:val="single" w:color="auto" w:sz="4" w:space="0"/>
          <w:lang w:val="zh-CN"/>
        </w:rPr>
      </w:pPr>
      <w:r>
        <w:rPr>
          <w:rFonts w:hint="eastAsia" w:ascii="仿宋_GB2312" w:hAnsi="宋体" w:eastAsia="仿宋_GB2312"/>
          <w:sz w:val="32"/>
          <w:szCs w:val="32"/>
          <w:lang w:val="zh-CN"/>
        </w:rPr>
        <w:t>结合项目自身特点、评价重点及管理办法等要求，围绕专项项目支出绩效评价指标体系对项目进行总体评价。</w:t>
      </w:r>
    </w:p>
    <w:p>
      <w:pPr>
        <w:adjustRightInd w:val="0"/>
        <w:snapToGrid w:val="0"/>
        <w:spacing w:line="60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（二）存在的问题。</w:t>
      </w:r>
    </w:p>
    <w:p>
      <w:pPr>
        <w:adjustRightInd w:val="0"/>
        <w:snapToGrid w:val="0"/>
        <w:spacing w:line="600" w:lineRule="exact"/>
        <w:ind w:firstLine="640" w:firstLineChars="200"/>
        <w:rPr>
          <w:rFonts w:ascii="仿宋_GB2312" w:hAnsi="宋体" w:eastAsia="仿宋_GB2312"/>
          <w:sz w:val="32"/>
          <w:szCs w:val="32"/>
          <w:lang w:val="zh-CN"/>
        </w:rPr>
      </w:pPr>
      <w:r>
        <w:rPr>
          <w:rFonts w:hint="eastAsia" w:ascii="仿宋_GB2312" w:hAnsi="宋体" w:eastAsia="仿宋_GB2312"/>
          <w:sz w:val="32"/>
          <w:szCs w:val="32"/>
          <w:lang w:val="zh-CN"/>
        </w:rPr>
        <w:t>结合自评情况，分析存在的问题及原因。</w:t>
      </w:r>
      <w:r>
        <w:rPr>
          <w:rFonts w:hint="eastAsia" w:ascii="仿宋_GB2312" w:hAnsi="宋体" w:eastAsia="仿宋_GB2312"/>
          <w:sz w:val="32"/>
          <w:szCs w:val="32"/>
          <w:lang w:val="zh-CN"/>
        </w:rPr>
        <w:tab/>
      </w:r>
    </w:p>
    <w:p>
      <w:pPr>
        <w:adjustRightInd w:val="0"/>
        <w:snapToGrid w:val="0"/>
        <w:spacing w:line="600" w:lineRule="exact"/>
        <w:ind w:firstLine="720"/>
        <w:rPr>
          <w:rFonts w:ascii="楷体_GB2312" w:hAnsi="宋体" w:eastAsia="楷体_GB2312"/>
          <w:b/>
          <w:sz w:val="32"/>
          <w:szCs w:val="32"/>
          <w:lang w:val="zh-CN"/>
        </w:rPr>
      </w:pPr>
      <w:r>
        <w:rPr>
          <w:rFonts w:hint="eastAsia" w:ascii="楷体_GB2312" w:hAnsi="宋体" w:eastAsia="楷体_GB2312"/>
          <w:b/>
          <w:sz w:val="32"/>
          <w:szCs w:val="32"/>
          <w:lang w:val="zh-CN"/>
        </w:rPr>
        <w:t>（三）相关建议。</w:t>
      </w:r>
    </w:p>
    <w:p>
      <w:pPr>
        <w:adjustRightInd w:val="0"/>
        <w:snapToGrid w:val="0"/>
        <w:spacing w:line="600" w:lineRule="exact"/>
        <w:ind w:firstLine="640" w:firstLineChars="200"/>
        <w:rPr>
          <w:rFonts w:ascii="仿宋_GB2312" w:hAnsi="宋体" w:eastAsia="仿宋_GB2312"/>
          <w:sz w:val="32"/>
          <w:szCs w:val="32"/>
          <w:lang w:val="zh-CN"/>
        </w:rPr>
      </w:pPr>
      <w:r>
        <w:rPr>
          <w:rFonts w:hint="eastAsia" w:ascii="仿宋_GB2312" w:hAnsi="宋体" w:eastAsia="仿宋_GB2312"/>
          <w:sz w:val="32"/>
          <w:szCs w:val="32"/>
          <w:lang w:val="zh-CN"/>
        </w:rPr>
        <w:t>针对项目自评中发现的问题，提出下一步改进完善的意见及有关政策性建议。</w:t>
      </w:r>
    </w:p>
    <w:p>
      <w:pPr>
        <w:spacing w:line="580" w:lineRule="exact"/>
        <w:ind w:firstLine="640"/>
        <w:rPr>
          <w:rFonts w:ascii="仿宋_GB2312" w:hAnsi="仿宋_GB2312" w:eastAsia="仿宋_GB2312" w:cs="仿宋_GB2312"/>
          <w:sz w:val="32"/>
          <w:szCs w:val="32"/>
        </w:rPr>
      </w:pPr>
    </w:p>
    <w:p>
      <w:pPr>
        <w:spacing w:line="580" w:lineRule="exact"/>
        <w:ind w:firstLine="640"/>
        <w:rPr>
          <w:rFonts w:ascii="仿宋_GB2312" w:hAnsi="仿宋_GB2312" w:eastAsia="仿宋_GB2312" w:cs="仿宋_GB2312"/>
          <w:sz w:val="32"/>
          <w:szCs w:val="32"/>
        </w:rPr>
      </w:pPr>
    </w:p>
    <w:p>
      <w:pPr>
        <w:widowControl/>
        <w:jc w:val="left"/>
        <w:rPr>
          <w:rStyle w:val="27"/>
          <w:rFonts w:ascii="黑体" w:hAnsi="黑体" w:eastAsia="黑体"/>
          <w:b w:val="0"/>
        </w:rPr>
      </w:pPr>
    </w:p>
    <w:p>
      <w:pPr>
        <w:widowControl/>
        <w:jc w:val="left"/>
        <w:rPr>
          <w:rStyle w:val="27"/>
          <w:rFonts w:ascii="黑体" w:hAnsi="黑体" w:eastAsia="黑体"/>
          <w:b w:val="0"/>
        </w:rPr>
      </w:pPr>
      <w:r>
        <w:rPr>
          <w:rStyle w:val="27"/>
          <w:rFonts w:ascii="黑体" w:hAnsi="黑体" w:eastAsia="黑体"/>
          <w:b w:val="0"/>
        </w:rPr>
        <w:br w:type="page"/>
      </w:r>
    </w:p>
    <w:p>
      <w:pPr>
        <w:spacing w:line="600" w:lineRule="exact"/>
        <w:jc w:val="center"/>
        <w:outlineLvl w:val="0"/>
        <w:rPr>
          <w:rStyle w:val="27"/>
          <w:rFonts w:ascii="黑体" w:hAnsi="黑体" w:eastAsia="黑体"/>
          <w:b w:val="0"/>
        </w:rPr>
      </w:pPr>
    </w:p>
    <w:p>
      <w:pPr>
        <w:spacing w:line="600" w:lineRule="exact"/>
        <w:jc w:val="center"/>
        <w:outlineLvl w:val="0"/>
        <w:rPr>
          <w:rStyle w:val="27"/>
          <w:rFonts w:ascii="黑体" w:hAnsi="黑体" w:eastAsia="黑体"/>
          <w:b w:val="0"/>
        </w:rPr>
      </w:pPr>
      <w:bookmarkStart w:id="52" w:name="_Toc15396618"/>
      <w:r>
        <w:rPr>
          <w:rFonts w:hint="eastAsia" w:ascii="黑体" w:hAnsi="黑体" w:eastAsia="黑体"/>
          <w:color w:val="000000"/>
          <w:sz w:val="44"/>
          <w:szCs w:val="44"/>
        </w:rPr>
        <w:t>第</w:t>
      </w:r>
      <w:r>
        <w:rPr>
          <w:rStyle w:val="27"/>
          <w:rFonts w:hint="eastAsia" w:ascii="黑体" w:hAnsi="黑体" w:eastAsia="黑体"/>
          <w:b w:val="0"/>
        </w:rPr>
        <w:t>五部分 附表</w:t>
      </w:r>
      <w:bookmarkEnd w:id="49"/>
      <w:bookmarkEnd w:id="52"/>
    </w:p>
    <w:p>
      <w:pPr>
        <w:spacing w:line="600" w:lineRule="exact"/>
        <w:jc w:val="center"/>
        <w:outlineLvl w:val="0"/>
        <w:rPr>
          <w:rFonts w:ascii="仿宋" w:hAnsi="仿宋" w:eastAsia="仿宋"/>
          <w:b/>
          <w:color w:val="000000"/>
          <w:sz w:val="44"/>
          <w:szCs w:val="44"/>
        </w:rPr>
      </w:pPr>
    </w:p>
    <w:p>
      <w:pPr>
        <w:pStyle w:val="3"/>
        <w:rPr>
          <w:rFonts w:ascii="仿宋" w:hAnsi="仿宋" w:eastAsia="仿宋"/>
          <w:color w:val="000000"/>
        </w:rPr>
      </w:pPr>
      <w:bookmarkStart w:id="53" w:name="_Toc15396619"/>
      <w:r>
        <w:rPr>
          <w:rFonts w:hint="eastAsia" w:ascii="仿宋" w:hAnsi="仿宋" w:eastAsia="仿宋"/>
          <w:b w:val="0"/>
          <w:color w:val="000000"/>
        </w:rPr>
        <w:t>一、收</w:t>
      </w:r>
      <w:r>
        <w:rPr>
          <w:rStyle w:val="28"/>
          <w:rFonts w:hint="eastAsia" w:ascii="仿宋" w:hAnsi="仿宋" w:eastAsia="仿宋"/>
          <w:b w:val="0"/>
          <w:bCs w:val="0"/>
        </w:rPr>
        <w:t>入支出决算总表</w:t>
      </w:r>
      <w:bookmarkEnd w:id="53"/>
    </w:p>
    <w:p>
      <w:pPr>
        <w:pStyle w:val="3"/>
        <w:rPr>
          <w:rFonts w:ascii="仿宋" w:hAnsi="仿宋" w:eastAsia="仿宋"/>
          <w:color w:val="000000"/>
        </w:rPr>
      </w:pPr>
      <w:bookmarkStart w:id="54" w:name="_Toc15396620"/>
      <w:r>
        <w:rPr>
          <w:rFonts w:hint="eastAsia" w:ascii="仿宋" w:hAnsi="仿宋" w:eastAsia="仿宋"/>
          <w:b w:val="0"/>
          <w:color w:val="000000"/>
        </w:rPr>
        <w:t>二、收</w:t>
      </w:r>
      <w:r>
        <w:rPr>
          <w:rStyle w:val="28"/>
          <w:rFonts w:hint="eastAsia" w:ascii="仿宋" w:hAnsi="仿宋" w:eastAsia="仿宋"/>
          <w:b w:val="0"/>
          <w:bCs w:val="0"/>
        </w:rPr>
        <w:t>入决算表</w:t>
      </w:r>
      <w:bookmarkEnd w:id="54"/>
    </w:p>
    <w:p>
      <w:pPr>
        <w:pStyle w:val="3"/>
        <w:rPr>
          <w:rFonts w:ascii="仿宋" w:hAnsi="仿宋" w:eastAsia="仿宋"/>
          <w:color w:val="000000"/>
        </w:rPr>
      </w:pPr>
      <w:bookmarkStart w:id="55" w:name="_Toc15396621"/>
      <w:r>
        <w:rPr>
          <w:rStyle w:val="28"/>
          <w:rFonts w:hint="eastAsia" w:ascii="仿宋" w:hAnsi="仿宋" w:eastAsia="仿宋"/>
          <w:b w:val="0"/>
          <w:bCs w:val="0"/>
        </w:rPr>
        <w:t>三、</w:t>
      </w:r>
      <w:r>
        <w:rPr>
          <w:rFonts w:hint="eastAsia" w:ascii="仿宋" w:hAnsi="仿宋" w:eastAsia="仿宋"/>
          <w:b w:val="0"/>
          <w:color w:val="000000"/>
        </w:rPr>
        <w:t>支</w:t>
      </w:r>
      <w:r>
        <w:rPr>
          <w:rStyle w:val="28"/>
          <w:rFonts w:hint="eastAsia" w:ascii="仿宋" w:hAnsi="仿宋" w:eastAsia="仿宋"/>
          <w:b w:val="0"/>
          <w:bCs w:val="0"/>
        </w:rPr>
        <w:t>出决算表</w:t>
      </w:r>
      <w:bookmarkEnd w:id="55"/>
    </w:p>
    <w:p>
      <w:pPr>
        <w:pStyle w:val="3"/>
        <w:rPr>
          <w:rFonts w:ascii="仿宋" w:hAnsi="仿宋" w:eastAsia="仿宋"/>
          <w:b w:val="0"/>
          <w:color w:val="000000"/>
        </w:rPr>
      </w:pPr>
      <w:bookmarkStart w:id="56" w:name="_Toc15396622"/>
      <w:r>
        <w:rPr>
          <w:rStyle w:val="28"/>
          <w:rFonts w:hint="eastAsia" w:ascii="仿宋" w:hAnsi="仿宋" w:eastAsia="仿宋"/>
          <w:b w:val="0"/>
          <w:bCs w:val="0"/>
        </w:rPr>
        <w:t>四、</w:t>
      </w:r>
      <w:r>
        <w:rPr>
          <w:rFonts w:hint="eastAsia" w:ascii="仿宋" w:hAnsi="仿宋" w:eastAsia="仿宋"/>
          <w:b w:val="0"/>
          <w:color w:val="000000"/>
        </w:rPr>
        <w:t>财</w:t>
      </w:r>
      <w:r>
        <w:rPr>
          <w:rStyle w:val="28"/>
          <w:rFonts w:hint="eastAsia" w:ascii="仿宋" w:hAnsi="仿宋" w:eastAsia="仿宋"/>
          <w:b w:val="0"/>
          <w:bCs w:val="0"/>
        </w:rPr>
        <w:t>政拨款收入支出决算总表</w:t>
      </w:r>
      <w:bookmarkEnd w:id="56"/>
    </w:p>
    <w:p>
      <w:pPr>
        <w:pStyle w:val="3"/>
        <w:rPr>
          <w:rStyle w:val="28"/>
          <w:rFonts w:ascii="仿宋" w:hAnsi="仿宋" w:eastAsia="仿宋"/>
          <w:b w:val="0"/>
          <w:bCs w:val="0"/>
        </w:rPr>
      </w:pPr>
      <w:bookmarkStart w:id="57" w:name="_Toc15396623"/>
      <w:r>
        <w:rPr>
          <w:rStyle w:val="28"/>
          <w:rFonts w:hint="eastAsia" w:ascii="仿宋" w:hAnsi="仿宋" w:eastAsia="仿宋"/>
          <w:b w:val="0"/>
          <w:bCs w:val="0"/>
        </w:rPr>
        <w:t>五、</w:t>
      </w:r>
      <w:r>
        <w:rPr>
          <w:rFonts w:hint="eastAsia" w:ascii="仿宋" w:hAnsi="仿宋" w:eastAsia="仿宋"/>
          <w:b w:val="0"/>
          <w:color w:val="000000"/>
        </w:rPr>
        <w:t>财</w:t>
      </w:r>
      <w:r>
        <w:rPr>
          <w:rStyle w:val="28"/>
          <w:rFonts w:hint="eastAsia" w:ascii="仿宋" w:hAnsi="仿宋" w:eastAsia="仿宋"/>
          <w:b w:val="0"/>
          <w:bCs w:val="0"/>
        </w:rPr>
        <w:t>政拨款支出决算明细表</w:t>
      </w:r>
      <w:bookmarkEnd w:id="57"/>
      <w:bookmarkStart w:id="58" w:name="_Toc15396624"/>
    </w:p>
    <w:p>
      <w:pPr>
        <w:pStyle w:val="3"/>
        <w:rPr>
          <w:rFonts w:ascii="仿宋" w:hAnsi="仿宋" w:eastAsia="仿宋"/>
          <w:color w:val="000000"/>
        </w:rPr>
      </w:pPr>
      <w:r>
        <w:rPr>
          <w:rStyle w:val="28"/>
          <w:rFonts w:hint="eastAsia" w:ascii="仿宋" w:hAnsi="仿宋" w:eastAsia="仿宋"/>
          <w:b w:val="0"/>
          <w:bCs w:val="0"/>
        </w:rPr>
        <w:t>六、</w:t>
      </w:r>
      <w:r>
        <w:rPr>
          <w:rFonts w:hint="eastAsia" w:ascii="仿宋" w:hAnsi="仿宋" w:eastAsia="仿宋"/>
          <w:b w:val="0"/>
          <w:color w:val="000000"/>
        </w:rPr>
        <w:t>一</w:t>
      </w:r>
      <w:r>
        <w:rPr>
          <w:rStyle w:val="28"/>
          <w:rFonts w:hint="eastAsia" w:ascii="仿宋" w:hAnsi="仿宋" w:eastAsia="仿宋"/>
          <w:b w:val="0"/>
          <w:bCs w:val="0"/>
        </w:rPr>
        <w:t>般公共预算财政拨款支出决算表</w:t>
      </w:r>
      <w:bookmarkEnd w:id="58"/>
    </w:p>
    <w:p>
      <w:pPr>
        <w:pStyle w:val="3"/>
        <w:rPr>
          <w:rFonts w:ascii="仿宋" w:hAnsi="仿宋" w:eastAsia="仿宋"/>
          <w:color w:val="000000"/>
        </w:rPr>
      </w:pPr>
      <w:bookmarkStart w:id="59" w:name="_Toc15396625"/>
      <w:r>
        <w:rPr>
          <w:rStyle w:val="28"/>
          <w:rFonts w:hint="eastAsia" w:ascii="仿宋" w:hAnsi="仿宋" w:eastAsia="仿宋"/>
          <w:b w:val="0"/>
          <w:bCs w:val="0"/>
        </w:rPr>
        <w:t>七、</w:t>
      </w:r>
      <w:r>
        <w:rPr>
          <w:rFonts w:hint="eastAsia" w:ascii="仿宋" w:hAnsi="仿宋" w:eastAsia="仿宋"/>
          <w:b w:val="0"/>
          <w:color w:val="000000"/>
        </w:rPr>
        <w:t>一</w:t>
      </w:r>
      <w:r>
        <w:rPr>
          <w:rStyle w:val="28"/>
          <w:rFonts w:hint="eastAsia" w:ascii="仿宋" w:hAnsi="仿宋" w:eastAsia="仿宋"/>
          <w:b w:val="0"/>
          <w:bCs w:val="0"/>
        </w:rPr>
        <w:t>般公共预算财政拨款支出决算明细表</w:t>
      </w:r>
      <w:bookmarkEnd w:id="59"/>
    </w:p>
    <w:p>
      <w:pPr>
        <w:pStyle w:val="3"/>
        <w:rPr>
          <w:rFonts w:ascii="仿宋" w:hAnsi="仿宋" w:eastAsia="仿宋"/>
          <w:color w:val="000000"/>
        </w:rPr>
      </w:pPr>
      <w:bookmarkStart w:id="60" w:name="_Toc15396626"/>
      <w:r>
        <w:rPr>
          <w:rStyle w:val="28"/>
          <w:rFonts w:hint="eastAsia" w:ascii="仿宋" w:hAnsi="仿宋" w:eastAsia="仿宋"/>
          <w:b w:val="0"/>
          <w:bCs w:val="0"/>
        </w:rPr>
        <w:t>八、</w:t>
      </w:r>
      <w:r>
        <w:rPr>
          <w:rFonts w:hint="eastAsia" w:ascii="仿宋" w:hAnsi="仿宋" w:eastAsia="仿宋"/>
          <w:b w:val="0"/>
          <w:color w:val="000000"/>
        </w:rPr>
        <w:t>一</w:t>
      </w:r>
      <w:r>
        <w:rPr>
          <w:rStyle w:val="28"/>
          <w:rFonts w:hint="eastAsia" w:ascii="仿宋" w:hAnsi="仿宋" w:eastAsia="仿宋"/>
          <w:b w:val="0"/>
          <w:bCs w:val="0"/>
        </w:rPr>
        <w:t>般公共预算财政拨款基本支出决算表</w:t>
      </w:r>
      <w:bookmarkEnd w:id="60"/>
    </w:p>
    <w:p>
      <w:pPr>
        <w:pStyle w:val="3"/>
        <w:rPr>
          <w:rFonts w:ascii="仿宋" w:hAnsi="仿宋" w:eastAsia="仿宋"/>
          <w:color w:val="000000"/>
        </w:rPr>
      </w:pPr>
      <w:bookmarkStart w:id="61" w:name="_Toc15396627"/>
      <w:r>
        <w:rPr>
          <w:rStyle w:val="28"/>
          <w:rFonts w:hint="eastAsia" w:ascii="仿宋" w:hAnsi="仿宋" w:eastAsia="仿宋"/>
          <w:b w:val="0"/>
          <w:bCs w:val="0"/>
        </w:rPr>
        <w:t>九、</w:t>
      </w:r>
      <w:r>
        <w:rPr>
          <w:rFonts w:hint="eastAsia" w:ascii="仿宋" w:hAnsi="仿宋" w:eastAsia="仿宋"/>
          <w:b w:val="0"/>
          <w:color w:val="000000"/>
        </w:rPr>
        <w:t>一</w:t>
      </w:r>
      <w:r>
        <w:rPr>
          <w:rStyle w:val="28"/>
          <w:rFonts w:hint="eastAsia" w:ascii="仿宋" w:hAnsi="仿宋" w:eastAsia="仿宋"/>
          <w:b w:val="0"/>
          <w:bCs w:val="0"/>
        </w:rPr>
        <w:t>般公共预算财政拨款项目支出决算表</w:t>
      </w:r>
      <w:bookmarkEnd w:id="61"/>
    </w:p>
    <w:p>
      <w:pPr>
        <w:pStyle w:val="3"/>
        <w:rPr>
          <w:rFonts w:ascii="仿宋" w:hAnsi="仿宋" w:eastAsia="仿宋"/>
          <w:color w:val="000000"/>
        </w:rPr>
      </w:pPr>
      <w:bookmarkStart w:id="62" w:name="_Toc15396628"/>
      <w:r>
        <w:rPr>
          <w:rStyle w:val="28"/>
          <w:rFonts w:hint="eastAsia" w:ascii="仿宋" w:hAnsi="仿宋" w:eastAsia="仿宋"/>
          <w:b w:val="0"/>
          <w:bCs w:val="0"/>
        </w:rPr>
        <w:t>十、</w:t>
      </w:r>
      <w:r>
        <w:rPr>
          <w:rFonts w:hint="eastAsia" w:ascii="仿宋" w:hAnsi="仿宋" w:eastAsia="仿宋"/>
          <w:b w:val="0"/>
          <w:color w:val="000000"/>
        </w:rPr>
        <w:t>一</w:t>
      </w:r>
      <w:r>
        <w:rPr>
          <w:rStyle w:val="28"/>
          <w:rFonts w:hint="eastAsia" w:ascii="仿宋" w:hAnsi="仿宋" w:eastAsia="仿宋"/>
          <w:b w:val="0"/>
          <w:bCs w:val="0"/>
        </w:rPr>
        <w:t>般公共预算财政拨款“三公”经费支出决算表</w:t>
      </w:r>
      <w:bookmarkEnd w:id="62"/>
    </w:p>
    <w:p>
      <w:pPr>
        <w:pStyle w:val="3"/>
        <w:rPr>
          <w:rFonts w:ascii="仿宋" w:hAnsi="仿宋" w:eastAsia="仿宋"/>
          <w:color w:val="000000"/>
        </w:rPr>
      </w:pPr>
      <w:bookmarkStart w:id="63" w:name="_Toc15396629"/>
      <w:r>
        <w:rPr>
          <w:rStyle w:val="28"/>
          <w:rFonts w:hint="eastAsia" w:ascii="仿宋" w:hAnsi="仿宋" w:eastAsia="仿宋"/>
          <w:b w:val="0"/>
          <w:bCs w:val="0"/>
        </w:rPr>
        <w:t>十一、</w:t>
      </w:r>
      <w:r>
        <w:rPr>
          <w:rFonts w:hint="eastAsia" w:ascii="仿宋" w:hAnsi="仿宋" w:eastAsia="仿宋"/>
          <w:b w:val="0"/>
          <w:color w:val="000000"/>
        </w:rPr>
        <w:t>政</w:t>
      </w:r>
      <w:r>
        <w:rPr>
          <w:rStyle w:val="28"/>
          <w:rFonts w:hint="eastAsia" w:ascii="仿宋" w:hAnsi="仿宋" w:eastAsia="仿宋"/>
          <w:b w:val="0"/>
          <w:bCs w:val="0"/>
        </w:rPr>
        <w:t>府性基金预算财政拨款收入支出决算表</w:t>
      </w:r>
      <w:bookmarkEnd w:id="63"/>
    </w:p>
    <w:p>
      <w:pPr>
        <w:pStyle w:val="3"/>
        <w:rPr>
          <w:rFonts w:ascii="仿宋" w:hAnsi="仿宋" w:eastAsia="仿宋"/>
          <w:color w:val="000000"/>
        </w:rPr>
      </w:pPr>
      <w:bookmarkStart w:id="64" w:name="_Toc15396630"/>
      <w:r>
        <w:rPr>
          <w:rStyle w:val="28"/>
          <w:rFonts w:hint="eastAsia" w:ascii="仿宋" w:hAnsi="仿宋" w:eastAsia="仿宋"/>
          <w:b w:val="0"/>
          <w:bCs w:val="0"/>
        </w:rPr>
        <w:t>十二、</w:t>
      </w:r>
      <w:r>
        <w:rPr>
          <w:rFonts w:hint="eastAsia" w:ascii="仿宋" w:hAnsi="仿宋" w:eastAsia="仿宋"/>
          <w:b w:val="0"/>
          <w:color w:val="000000"/>
        </w:rPr>
        <w:t>政</w:t>
      </w:r>
      <w:r>
        <w:rPr>
          <w:rStyle w:val="28"/>
          <w:rFonts w:hint="eastAsia" w:ascii="仿宋" w:hAnsi="仿宋" w:eastAsia="仿宋"/>
          <w:b w:val="0"/>
          <w:bCs w:val="0"/>
        </w:rPr>
        <w:t>府性基金预算财政拨款“三公”经费支出决算表</w:t>
      </w:r>
      <w:bookmarkEnd w:id="64"/>
    </w:p>
    <w:p>
      <w:pPr>
        <w:pStyle w:val="3"/>
        <w:rPr>
          <w:rFonts w:ascii="仿宋" w:hAnsi="仿宋" w:eastAsia="仿宋"/>
          <w:color w:val="000000" w:themeColor="text1"/>
        </w:rPr>
      </w:pPr>
      <w:bookmarkStart w:id="65" w:name="_Toc15396631"/>
      <w:r>
        <w:rPr>
          <w:rStyle w:val="28"/>
          <w:rFonts w:hint="eastAsia" w:ascii="仿宋" w:hAnsi="仿宋" w:eastAsia="仿宋"/>
          <w:b w:val="0"/>
          <w:bCs w:val="0"/>
        </w:rPr>
        <w:t>十三、</w:t>
      </w:r>
      <w:r>
        <w:rPr>
          <w:rFonts w:hint="eastAsia" w:ascii="仿宋" w:hAnsi="仿宋" w:eastAsia="仿宋"/>
          <w:b w:val="0"/>
          <w:color w:val="000000"/>
        </w:rPr>
        <w:t>国</w:t>
      </w:r>
      <w:r>
        <w:rPr>
          <w:rStyle w:val="28"/>
          <w:rFonts w:hint="eastAsia" w:ascii="仿宋" w:hAnsi="仿宋" w:eastAsia="仿宋"/>
          <w:b w:val="0"/>
          <w:bCs w:val="0"/>
        </w:rPr>
        <w:t>有资本经营预算支出决算表</w:t>
      </w:r>
      <w:bookmarkEnd w:id="65"/>
    </w:p>
    <w:sectPr>
      <w:headerReference r:id="rId3" w:type="default"/>
      <w:footerReference r:id="rId4" w:type="default"/>
      <w:pgSz w:w="11906" w:h="16838"/>
      <w:pgMar w:top="1440" w:right="1800" w:bottom="1440" w:left="1800" w:header="851" w:footer="992" w:gutter="0"/>
      <w:pgNumType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方正小标宋简体">
    <w:altName w:val="黑体"/>
    <w:panose1 w:val="00000000000000000000"/>
    <w:charset w:val="86"/>
    <w:family w:val="script"/>
    <w:pitch w:val="default"/>
    <w:sig w:usb0="00000000" w:usb1="00000000" w:usb2="00000010" w:usb3="00000000" w:csb0="00040000" w:csb1="00000000"/>
  </w:font>
  <w:font w:name="新宋体">
    <w:panose1 w:val="02010609030101010101"/>
    <w:charset w:val="86"/>
    <w:family w:val="modern"/>
    <w:pitch w:val="default"/>
    <w:sig w:usb0="00000283" w:usb1="288F0000" w:usb2="0000000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94781956"/>
    </w:sdtPr>
    <w:sdtContent>
      <w:p>
        <w:pPr>
          <w:pStyle w:val="9"/>
          <w:jc w:val="center"/>
        </w:pPr>
        <w:r>
          <w:fldChar w:fldCharType="begin"/>
        </w:r>
        <w:r>
          <w:instrText xml:space="preserve">PAGE   \* MERGEFORMAT</w:instrText>
        </w:r>
        <w:r>
          <w:fldChar w:fldCharType="separate"/>
        </w:r>
        <w:r>
          <w:rPr>
            <w:lang w:val="zh-CN"/>
          </w:rPr>
          <w:t>29</w:t>
        </w:r>
        <w:r>
          <w:fldChar w:fldCharType="end"/>
        </w:r>
      </w:p>
    </w:sdtContent>
  </w:sdt>
  <w:p>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652CEC"/>
    <w:multiLevelType w:val="singleLevel"/>
    <w:tmpl w:val="CF652CEC"/>
    <w:lvl w:ilvl="0" w:tentative="0">
      <w:start w:val="9"/>
      <w:numFmt w:val="chineseCounting"/>
      <w:suff w:val="nothing"/>
      <w:lvlText w:val="%1、"/>
      <w:lvlJc w:val="left"/>
      <w:rPr>
        <w:rFonts w:hint="eastAsia"/>
      </w:rPr>
    </w:lvl>
  </w:abstractNum>
  <w:abstractNum w:abstractNumId="1">
    <w:nsid w:val="1272550B"/>
    <w:multiLevelType w:val="multilevel"/>
    <w:tmpl w:val="1272550B"/>
    <w:lvl w:ilvl="0" w:tentative="0">
      <w:start w:val="1"/>
      <w:numFmt w:val="japaneseCounting"/>
      <w:lvlText w:val="%1、"/>
      <w:lvlJc w:val="left"/>
      <w:pPr>
        <w:ind w:left="1360" w:hanging="720"/>
      </w:pPr>
      <w:rPr>
        <w:rFonts w:hint="default"/>
        <w:b w:val="0"/>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F1361C"/>
    <w:rsid w:val="000222C6"/>
    <w:rsid w:val="0002549F"/>
    <w:rsid w:val="000468DB"/>
    <w:rsid w:val="000609F0"/>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42216"/>
    <w:rsid w:val="00144D6A"/>
    <w:rsid w:val="0014729F"/>
    <w:rsid w:val="00157BAB"/>
    <w:rsid w:val="001654D1"/>
    <w:rsid w:val="00174518"/>
    <w:rsid w:val="0018106D"/>
    <w:rsid w:val="001877A7"/>
    <w:rsid w:val="00191536"/>
    <w:rsid w:val="00196687"/>
    <w:rsid w:val="001C0962"/>
    <w:rsid w:val="001D7531"/>
    <w:rsid w:val="001E737D"/>
    <w:rsid w:val="001F0592"/>
    <w:rsid w:val="001F7506"/>
    <w:rsid w:val="002006CD"/>
    <w:rsid w:val="00202B36"/>
    <w:rsid w:val="00204B7A"/>
    <w:rsid w:val="00204CDE"/>
    <w:rsid w:val="0021101A"/>
    <w:rsid w:val="00220536"/>
    <w:rsid w:val="00235629"/>
    <w:rsid w:val="00260C38"/>
    <w:rsid w:val="002616C0"/>
    <w:rsid w:val="00265372"/>
    <w:rsid w:val="002662AA"/>
    <w:rsid w:val="00280496"/>
    <w:rsid w:val="00294DC9"/>
    <w:rsid w:val="00295495"/>
    <w:rsid w:val="002A31DE"/>
    <w:rsid w:val="002B2613"/>
    <w:rsid w:val="002D19B0"/>
    <w:rsid w:val="002D6D05"/>
    <w:rsid w:val="002F1818"/>
    <w:rsid w:val="002F2027"/>
    <w:rsid w:val="002F567B"/>
    <w:rsid w:val="003216A9"/>
    <w:rsid w:val="00335A74"/>
    <w:rsid w:val="0036561B"/>
    <w:rsid w:val="0037013F"/>
    <w:rsid w:val="0038073D"/>
    <w:rsid w:val="00380C92"/>
    <w:rsid w:val="003A484F"/>
    <w:rsid w:val="003A4883"/>
    <w:rsid w:val="003B0BE0"/>
    <w:rsid w:val="003B0C1B"/>
    <w:rsid w:val="003B688C"/>
    <w:rsid w:val="003C0291"/>
    <w:rsid w:val="003C39AE"/>
    <w:rsid w:val="003C7B60"/>
    <w:rsid w:val="003D0C0F"/>
    <w:rsid w:val="003D1FB2"/>
    <w:rsid w:val="003D66DA"/>
    <w:rsid w:val="003E1310"/>
    <w:rsid w:val="003E6F55"/>
    <w:rsid w:val="00406254"/>
    <w:rsid w:val="00416CD4"/>
    <w:rsid w:val="004223DE"/>
    <w:rsid w:val="00434489"/>
    <w:rsid w:val="00437085"/>
    <w:rsid w:val="00443880"/>
    <w:rsid w:val="004464F4"/>
    <w:rsid w:val="00450EAF"/>
    <w:rsid w:val="00471401"/>
    <w:rsid w:val="00473F31"/>
    <w:rsid w:val="0048263A"/>
    <w:rsid w:val="00487E5D"/>
    <w:rsid w:val="004A711F"/>
    <w:rsid w:val="004B199D"/>
    <w:rsid w:val="004B4690"/>
    <w:rsid w:val="004E0A2D"/>
    <w:rsid w:val="004E206B"/>
    <w:rsid w:val="004E6DF7"/>
    <w:rsid w:val="004F0FBD"/>
    <w:rsid w:val="004F403E"/>
    <w:rsid w:val="00505A47"/>
    <w:rsid w:val="00512FDA"/>
    <w:rsid w:val="00520DA0"/>
    <w:rsid w:val="005236DD"/>
    <w:rsid w:val="005664BB"/>
    <w:rsid w:val="00566FFA"/>
    <w:rsid w:val="0057481D"/>
    <w:rsid w:val="00575F0B"/>
    <w:rsid w:val="0058486E"/>
    <w:rsid w:val="00585B33"/>
    <w:rsid w:val="0059014D"/>
    <w:rsid w:val="005B5C64"/>
    <w:rsid w:val="005C6BD0"/>
    <w:rsid w:val="005C6C4C"/>
    <w:rsid w:val="005D1C8B"/>
    <w:rsid w:val="005D468D"/>
    <w:rsid w:val="005D5CED"/>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6343B"/>
    <w:rsid w:val="00664777"/>
    <w:rsid w:val="006748A4"/>
    <w:rsid w:val="00681A31"/>
    <w:rsid w:val="00683E73"/>
    <w:rsid w:val="00696BB7"/>
    <w:rsid w:val="006A3141"/>
    <w:rsid w:val="006A5E34"/>
    <w:rsid w:val="006B2422"/>
    <w:rsid w:val="006B2B9A"/>
    <w:rsid w:val="006C1937"/>
    <w:rsid w:val="006F020C"/>
    <w:rsid w:val="006F2F1F"/>
    <w:rsid w:val="007127B7"/>
    <w:rsid w:val="0071798E"/>
    <w:rsid w:val="00727533"/>
    <w:rsid w:val="007416B6"/>
    <w:rsid w:val="00746F48"/>
    <w:rsid w:val="0075404D"/>
    <w:rsid w:val="0076182A"/>
    <w:rsid w:val="00767B7E"/>
    <w:rsid w:val="007770C3"/>
    <w:rsid w:val="00784D24"/>
    <w:rsid w:val="00785FBA"/>
    <w:rsid w:val="00786E4A"/>
    <w:rsid w:val="007875EB"/>
    <w:rsid w:val="0079426B"/>
    <w:rsid w:val="007A0281"/>
    <w:rsid w:val="007D1682"/>
    <w:rsid w:val="007D312A"/>
    <w:rsid w:val="007D3F19"/>
    <w:rsid w:val="007E23B0"/>
    <w:rsid w:val="007F1991"/>
    <w:rsid w:val="007F2C2F"/>
    <w:rsid w:val="007F55FC"/>
    <w:rsid w:val="007F5665"/>
    <w:rsid w:val="00800112"/>
    <w:rsid w:val="00813348"/>
    <w:rsid w:val="008253BB"/>
    <w:rsid w:val="00833962"/>
    <w:rsid w:val="0083706E"/>
    <w:rsid w:val="008408F6"/>
    <w:rsid w:val="008423A5"/>
    <w:rsid w:val="00850625"/>
    <w:rsid w:val="00853718"/>
    <w:rsid w:val="00855221"/>
    <w:rsid w:val="00860645"/>
    <w:rsid w:val="00871F71"/>
    <w:rsid w:val="00872FD8"/>
    <w:rsid w:val="00885AF4"/>
    <w:rsid w:val="0089266F"/>
    <w:rsid w:val="008939CD"/>
    <w:rsid w:val="008B768C"/>
    <w:rsid w:val="008C4DB1"/>
    <w:rsid w:val="008C4EAF"/>
    <w:rsid w:val="008C5176"/>
    <w:rsid w:val="008C7FD0"/>
    <w:rsid w:val="008E1DE7"/>
    <w:rsid w:val="008E707C"/>
    <w:rsid w:val="00900B08"/>
    <w:rsid w:val="00902155"/>
    <w:rsid w:val="00902FA3"/>
    <w:rsid w:val="00923564"/>
    <w:rsid w:val="0092392E"/>
    <w:rsid w:val="009315F9"/>
    <w:rsid w:val="00933499"/>
    <w:rsid w:val="00935C98"/>
    <w:rsid w:val="00946945"/>
    <w:rsid w:val="00951248"/>
    <w:rsid w:val="0095152F"/>
    <w:rsid w:val="00954C49"/>
    <w:rsid w:val="00955E37"/>
    <w:rsid w:val="0097099F"/>
    <w:rsid w:val="00971997"/>
    <w:rsid w:val="00971FFC"/>
    <w:rsid w:val="0098660A"/>
    <w:rsid w:val="009931C3"/>
    <w:rsid w:val="009B2C43"/>
    <w:rsid w:val="009B4EAE"/>
    <w:rsid w:val="009B7573"/>
    <w:rsid w:val="009C22F4"/>
    <w:rsid w:val="009C2E98"/>
    <w:rsid w:val="009C37FB"/>
    <w:rsid w:val="009D3447"/>
    <w:rsid w:val="009D4711"/>
    <w:rsid w:val="009F1185"/>
    <w:rsid w:val="009F18CD"/>
    <w:rsid w:val="009F2A13"/>
    <w:rsid w:val="009F7527"/>
    <w:rsid w:val="00A039ED"/>
    <w:rsid w:val="00A04EB0"/>
    <w:rsid w:val="00A13CC1"/>
    <w:rsid w:val="00A16847"/>
    <w:rsid w:val="00A237D8"/>
    <w:rsid w:val="00A268C4"/>
    <w:rsid w:val="00A307CD"/>
    <w:rsid w:val="00A331C8"/>
    <w:rsid w:val="00A35117"/>
    <w:rsid w:val="00A40A00"/>
    <w:rsid w:val="00A4142F"/>
    <w:rsid w:val="00A422EB"/>
    <w:rsid w:val="00A45BB7"/>
    <w:rsid w:val="00A56DF2"/>
    <w:rsid w:val="00A56E6E"/>
    <w:rsid w:val="00A67AB5"/>
    <w:rsid w:val="00A733B2"/>
    <w:rsid w:val="00A741C2"/>
    <w:rsid w:val="00A91760"/>
    <w:rsid w:val="00A93B00"/>
    <w:rsid w:val="00A93C21"/>
    <w:rsid w:val="00AA17A6"/>
    <w:rsid w:val="00AB64C9"/>
    <w:rsid w:val="00AC3C6A"/>
    <w:rsid w:val="00AD0F83"/>
    <w:rsid w:val="00AD5620"/>
    <w:rsid w:val="00AD656B"/>
    <w:rsid w:val="00AD7C1B"/>
    <w:rsid w:val="00AE16BA"/>
    <w:rsid w:val="00AE1EBE"/>
    <w:rsid w:val="00B03C9D"/>
    <w:rsid w:val="00B060AE"/>
    <w:rsid w:val="00B10517"/>
    <w:rsid w:val="00B14E76"/>
    <w:rsid w:val="00B161B8"/>
    <w:rsid w:val="00B2048C"/>
    <w:rsid w:val="00B2740E"/>
    <w:rsid w:val="00B310B9"/>
    <w:rsid w:val="00B35F3F"/>
    <w:rsid w:val="00B36CBB"/>
    <w:rsid w:val="00B425E0"/>
    <w:rsid w:val="00B440AA"/>
    <w:rsid w:val="00B44B70"/>
    <w:rsid w:val="00B53C56"/>
    <w:rsid w:val="00B57DAF"/>
    <w:rsid w:val="00B77EA6"/>
    <w:rsid w:val="00B81598"/>
    <w:rsid w:val="00B841F1"/>
    <w:rsid w:val="00B944D6"/>
    <w:rsid w:val="00BA14FA"/>
    <w:rsid w:val="00BB4DF0"/>
    <w:rsid w:val="00BC289F"/>
    <w:rsid w:val="00BC2D50"/>
    <w:rsid w:val="00BC2FA4"/>
    <w:rsid w:val="00BC5361"/>
    <w:rsid w:val="00BC5460"/>
    <w:rsid w:val="00BC6B50"/>
    <w:rsid w:val="00BD0E25"/>
    <w:rsid w:val="00BF5BD6"/>
    <w:rsid w:val="00C03E31"/>
    <w:rsid w:val="00C30E69"/>
    <w:rsid w:val="00C33E72"/>
    <w:rsid w:val="00C354B2"/>
    <w:rsid w:val="00C35554"/>
    <w:rsid w:val="00C42709"/>
    <w:rsid w:val="00C47917"/>
    <w:rsid w:val="00C533CC"/>
    <w:rsid w:val="00C5751C"/>
    <w:rsid w:val="00C61BFC"/>
    <w:rsid w:val="00C62B85"/>
    <w:rsid w:val="00C65438"/>
    <w:rsid w:val="00C91CBB"/>
    <w:rsid w:val="00CB4E70"/>
    <w:rsid w:val="00CC09B6"/>
    <w:rsid w:val="00CC666F"/>
    <w:rsid w:val="00CD1E3F"/>
    <w:rsid w:val="00CE44F6"/>
    <w:rsid w:val="00CE49DA"/>
    <w:rsid w:val="00CE7B61"/>
    <w:rsid w:val="00CF3A51"/>
    <w:rsid w:val="00D00095"/>
    <w:rsid w:val="00D114F0"/>
    <w:rsid w:val="00D20620"/>
    <w:rsid w:val="00D254F7"/>
    <w:rsid w:val="00D26091"/>
    <w:rsid w:val="00D2685C"/>
    <w:rsid w:val="00D34E7C"/>
    <w:rsid w:val="00D35489"/>
    <w:rsid w:val="00D36AFE"/>
    <w:rsid w:val="00D51276"/>
    <w:rsid w:val="00D7035F"/>
    <w:rsid w:val="00DA634F"/>
    <w:rsid w:val="00DA65AC"/>
    <w:rsid w:val="00DB1913"/>
    <w:rsid w:val="00DC410D"/>
    <w:rsid w:val="00DC5A81"/>
    <w:rsid w:val="00DC68CA"/>
    <w:rsid w:val="00DC7CBA"/>
    <w:rsid w:val="00DD73B7"/>
    <w:rsid w:val="00DF28BC"/>
    <w:rsid w:val="00DF34B9"/>
    <w:rsid w:val="00E01053"/>
    <w:rsid w:val="00E07ACF"/>
    <w:rsid w:val="00E331A1"/>
    <w:rsid w:val="00E33202"/>
    <w:rsid w:val="00E336A9"/>
    <w:rsid w:val="00E472B1"/>
    <w:rsid w:val="00E50624"/>
    <w:rsid w:val="00E568DF"/>
    <w:rsid w:val="00E629F7"/>
    <w:rsid w:val="00E64269"/>
    <w:rsid w:val="00E66797"/>
    <w:rsid w:val="00E82267"/>
    <w:rsid w:val="00E853CE"/>
    <w:rsid w:val="00E867B6"/>
    <w:rsid w:val="00E87F08"/>
    <w:rsid w:val="00EA010F"/>
    <w:rsid w:val="00EA7F9F"/>
    <w:rsid w:val="00ED1B63"/>
    <w:rsid w:val="00ED3C1F"/>
    <w:rsid w:val="00ED4085"/>
    <w:rsid w:val="00ED420E"/>
    <w:rsid w:val="00ED6FBE"/>
    <w:rsid w:val="00EE2F57"/>
    <w:rsid w:val="00EF4C34"/>
    <w:rsid w:val="00EF77C6"/>
    <w:rsid w:val="00F05438"/>
    <w:rsid w:val="00F1361C"/>
    <w:rsid w:val="00F156F0"/>
    <w:rsid w:val="00F160C7"/>
    <w:rsid w:val="00F2408F"/>
    <w:rsid w:val="00F240E9"/>
    <w:rsid w:val="00F3284D"/>
    <w:rsid w:val="00F36D8F"/>
    <w:rsid w:val="00F417B1"/>
    <w:rsid w:val="00F45853"/>
    <w:rsid w:val="00F602DF"/>
    <w:rsid w:val="00F754A1"/>
    <w:rsid w:val="00F81FD9"/>
    <w:rsid w:val="00F841AA"/>
    <w:rsid w:val="00F84A94"/>
    <w:rsid w:val="00F87E96"/>
    <w:rsid w:val="00FA23E8"/>
    <w:rsid w:val="00FD3CC1"/>
    <w:rsid w:val="00FE39E8"/>
    <w:rsid w:val="00FF1E02"/>
    <w:rsid w:val="00FF30B4"/>
    <w:rsid w:val="10C055FF"/>
    <w:rsid w:val="16BB723D"/>
    <w:rsid w:val="240371BF"/>
    <w:rsid w:val="29FD04D3"/>
    <w:rsid w:val="2C314572"/>
    <w:rsid w:val="319F7F4E"/>
    <w:rsid w:val="4ECE2238"/>
    <w:rsid w:val="6DD62209"/>
    <w:rsid w:val="72734D90"/>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7"/>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8"/>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1"/>
    <w:unhideWhenUsed/>
    <w:qFormat/>
    <w:uiPriority w:val="9"/>
    <w:pPr>
      <w:keepNext/>
      <w:keepLines/>
      <w:spacing w:before="260" w:after="260" w:line="416" w:lineRule="auto"/>
      <w:outlineLvl w:val="2"/>
    </w:pPr>
    <w:rPr>
      <w:b/>
      <w:bCs/>
      <w:sz w:val="32"/>
      <w:szCs w:val="32"/>
    </w:rPr>
  </w:style>
  <w:style w:type="character" w:default="1" w:styleId="15">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33"/>
    <w:semiHidden/>
    <w:unhideWhenUsed/>
    <w:qFormat/>
    <w:uiPriority w:val="99"/>
    <w:pPr>
      <w:jc w:val="left"/>
    </w:pPr>
  </w:style>
  <w:style w:type="paragraph" w:styleId="6">
    <w:name w:val="Body Text"/>
    <w:basedOn w:val="1"/>
    <w:link w:val="24"/>
    <w:qFormat/>
    <w:uiPriority w:val="99"/>
    <w:pPr>
      <w:spacing w:beforeLines="30"/>
    </w:pPr>
    <w:rPr>
      <w:rFonts w:ascii="仿宋_GB2312" w:eastAsia="仿宋_GB2312"/>
      <w:kern w:val="0"/>
      <w:sz w:val="30"/>
    </w:rPr>
  </w:style>
  <w:style w:type="paragraph" w:styleId="7">
    <w:name w:val="toc 3"/>
    <w:basedOn w:val="1"/>
    <w:next w:val="1"/>
    <w:unhideWhenUsed/>
    <w:qFormat/>
    <w:uiPriority w:val="39"/>
    <w:pPr>
      <w:tabs>
        <w:tab w:val="right" w:leader="dot" w:pos="8296"/>
      </w:tabs>
      <w:ind w:left="840" w:leftChars="400"/>
    </w:pPr>
  </w:style>
  <w:style w:type="paragraph" w:styleId="8">
    <w:name w:val="Balloon Text"/>
    <w:basedOn w:val="1"/>
    <w:link w:val="30"/>
    <w:semiHidden/>
    <w:unhideWhenUsed/>
    <w:qFormat/>
    <w:uiPriority w:val="99"/>
    <w:rPr>
      <w:sz w:val="18"/>
      <w:szCs w:val="18"/>
    </w:rPr>
  </w:style>
  <w:style w:type="paragraph" w:styleId="9">
    <w:name w:val="footer"/>
    <w:basedOn w:val="1"/>
    <w:link w:val="22"/>
    <w:qFormat/>
    <w:uiPriority w:val="99"/>
    <w:pPr>
      <w:tabs>
        <w:tab w:val="center" w:pos="4153"/>
        <w:tab w:val="right" w:pos="8306"/>
      </w:tabs>
      <w:snapToGrid w:val="0"/>
      <w:jc w:val="left"/>
    </w:pPr>
    <w:rPr>
      <w:rFonts w:ascii="Calibri" w:hAnsi="Calibri"/>
      <w:kern w:val="0"/>
      <w:sz w:val="18"/>
      <w:szCs w:val="18"/>
    </w:rPr>
  </w:style>
  <w:style w:type="paragraph" w:styleId="10">
    <w:name w:val="header"/>
    <w:basedOn w:val="1"/>
    <w:link w:val="20"/>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1">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2">
    <w:name w:val="toc 2"/>
    <w:basedOn w:val="1"/>
    <w:next w:val="1"/>
    <w:unhideWhenUsed/>
    <w:qFormat/>
    <w:uiPriority w:val="39"/>
    <w:pPr>
      <w:tabs>
        <w:tab w:val="right" w:leader="dot" w:pos="8296"/>
      </w:tabs>
      <w:ind w:left="420" w:leftChars="200"/>
    </w:pPr>
  </w:style>
  <w:style w:type="paragraph" w:styleId="13">
    <w:name w:val="annotation subject"/>
    <w:basedOn w:val="5"/>
    <w:next w:val="5"/>
    <w:link w:val="34"/>
    <w:semiHidden/>
    <w:unhideWhenUsed/>
    <w:uiPriority w:val="99"/>
    <w:rPr>
      <w:b/>
      <w:bCs/>
    </w:rPr>
  </w:style>
  <w:style w:type="character" w:styleId="16">
    <w:name w:val="Strong"/>
    <w:basedOn w:val="15"/>
    <w:qFormat/>
    <w:uiPriority w:val="99"/>
    <w:rPr>
      <w:b/>
    </w:rPr>
  </w:style>
  <w:style w:type="character" w:styleId="17">
    <w:name w:val="Hyperlink"/>
    <w:basedOn w:val="15"/>
    <w:unhideWhenUsed/>
    <w:qFormat/>
    <w:uiPriority w:val="99"/>
    <w:rPr>
      <w:color w:val="0000FF" w:themeColor="hyperlink"/>
      <w:u w:val="single"/>
    </w:rPr>
  </w:style>
  <w:style w:type="character" w:styleId="18">
    <w:name w:val="annotation reference"/>
    <w:basedOn w:val="15"/>
    <w:semiHidden/>
    <w:unhideWhenUsed/>
    <w:uiPriority w:val="99"/>
    <w:rPr>
      <w:sz w:val="21"/>
      <w:szCs w:val="21"/>
    </w:rPr>
  </w:style>
  <w:style w:type="character" w:customStyle="1" w:styleId="19">
    <w:name w:val="Header Char"/>
    <w:basedOn w:val="15"/>
    <w:semiHidden/>
    <w:qFormat/>
    <w:uiPriority w:val="99"/>
    <w:rPr>
      <w:rFonts w:ascii="Times New Roman" w:hAnsi="Times New Roman"/>
      <w:sz w:val="18"/>
      <w:szCs w:val="18"/>
    </w:rPr>
  </w:style>
  <w:style w:type="character" w:customStyle="1" w:styleId="20">
    <w:name w:val="页眉 Char"/>
    <w:link w:val="10"/>
    <w:semiHidden/>
    <w:qFormat/>
    <w:locked/>
    <w:uiPriority w:val="99"/>
    <w:rPr>
      <w:sz w:val="18"/>
    </w:rPr>
  </w:style>
  <w:style w:type="character" w:customStyle="1" w:styleId="21">
    <w:name w:val="Footer Char"/>
    <w:basedOn w:val="15"/>
    <w:semiHidden/>
    <w:qFormat/>
    <w:uiPriority w:val="99"/>
    <w:rPr>
      <w:rFonts w:ascii="Times New Roman" w:hAnsi="Times New Roman"/>
      <w:sz w:val="18"/>
      <w:szCs w:val="18"/>
    </w:rPr>
  </w:style>
  <w:style w:type="character" w:customStyle="1" w:styleId="22">
    <w:name w:val="页脚 Char"/>
    <w:link w:val="9"/>
    <w:qFormat/>
    <w:locked/>
    <w:uiPriority w:val="99"/>
    <w:rPr>
      <w:sz w:val="18"/>
    </w:rPr>
  </w:style>
  <w:style w:type="character" w:customStyle="1" w:styleId="23">
    <w:name w:val="Body Text Char"/>
    <w:basedOn w:val="15"/>
    <w:semiHidden/>
    <w:qFormat/>
    <w:uiPriority w:val="99"/>
    <w:rPr>
      <w:rFonts w:ascii="Times New Roman" w:hAnsi="Times New Roman"/>
      <w:szCs w:val="24"/>
    </w:rPr>
  </w:style>
  <w:style w:type="character" w:customStyle="1" w:styleId="24">
    <w:name w:val="正文文本 Char"/>
    <w:link w:val="6"/>
    <w:qFormat/>
    <w:locked/>
    <w:uiPriority w:val="99"/>
    <w:rPr>
      <w:rFonts w:ascii="仿宋_GB2312" w:hAnsi="Times New Roman" w:eastAsia="仿宋_GB2312"/>
      <w:sz w:val="24"/>
    </w:rPr>
  </w:style>
  <w:style w:type="paragraph" w:customStyle="1" w:styleId="25">
    <w:name w:val="Defaul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26">
    <w:name w:val="List Paragraph"/>
    <w:basedOn w:val="1"/>
    <w:qFormat/>
    <w:uiPriority w:val="34"/>
    <w:pPr>
      <w:ind w:firstLine="420" w:firstLineChars="200"/>
    </w:pPr>
  </w:style>
  <w:style w:type="character" w:customStyle="1" w:styleId="27">
    <w:name w:val="标题 1 Char"/>
    <w:basedOn w:val="15"/>
    <w:link w:val="2"/>
    <w:qFormat/>
    <w:uiPriority w:val="9"/>
    <w:rPr>
      <w:rFonts w:ascii="Times New Roman" w:hAnsi="Times New Roman"/>
      <w:b/>
      <w:bCs/>
      <w:kern w:val="44"/>
      <w:sz w:val="44"/>
      <w:szCs w:val="44"/>
    </w:rPr>
  </w:style>
  <w:style w:type="character" w:customStyle="1" w:styleId="28">
    <w:name w:val="标题 2 Char"/>
    <w:basedOn w:val="15"/>
    <w:link w:val="3"/>
    <w:qFormat/>
    <w:uiPriority w:val="9"/>
    <w:rPr>
      <w:rFonts w:asciiTheme="majorHAnsi" w:hAnsiTheme="majorHAnsi" w:eastAsiaTheme="majorEastAsia" w:cstheme="majorBidi"/>
      <w:b/>
      <w:bCs/>
      <w:kern w:val="2"/>
      <w:sz w:val="32"/>
      <w:szCs w:val="32"/>
    </w:rPr>
  </w:style>
  <w:style w:type="paragraph" w:customStyle="1" w:styleId="29">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character" w:customStyle="1" w:styleId="30">
    <w:name w:val="批注框文本 Char"/>
    <w:basedOn w:val="15"/>
    <w:link w:val="8"/>
    <w:semiHidden/>
    <w:qFormat/>
    <w:uiPriority w:val="99"/>
    <w:rPr>
      <w:rFonts w:ascii="Times New Roman" w:hAnsi="Times New Roman"/>
      <w:kern w:val="2"/>
      <w:sz w:val="18"/>
      <w:szCs w:val="18"/>
    </w:rPr>
  </w:style>
  <w:style w:type="character" w:customStyle="1" w:styleId="31">
    <w:name w:val="标题 3 Char"/>
    <w:basedOn w:val="15"/>
    <w:link w:val="4"/>
    <w:qFormat/>
    <w:uiPriority w:val="9"/>
    <w:rPr>
      <w:rFonts w:ascii="Times New Roman" w:hAnsi="Times New Roman"/>
      <w:b/>
      <w:bCs/>
      <w:kern w:val="2"/>
      <w:sz w:val="32"/>
      <w:szCs w:val="32"/>
    </w:rPr>
  </w:style>
  <w:style w:type="paragraph" w:customStyle="1" w:styleId="32">
    <w:name w:val="TOC Heading"/>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character" w:customStyle="1" w:styleId="33">
    <w:name w:val="批注文字 Char"/>
    <w:basedOn w:val="15"/>
    <w:link w:val="5"/>
    <w:semiHidden/>
    <w:uiPriority w:val="99"/>
    <w:rPr>
      <w:rFonts w:ascii="Times New Roman" w:hAnsi="Times New Roman"/>
      <w:kern w:val="2"/>
      <w:sz w:val="21"/>
      <w:szCs w:val="24"/>
    </w:rPr>
  </w:style>
  <w:style w:type="character" w:customStyle="1" w:styleId="34">
    <w:name w:val="批注主题 Char"/>
    <w:basedOn w:val="33"/>
    <w:link w:val="13"/>
    <w:semiHidden/>
    <w:uiPriority w:val="99"/>
    <w:rPr>
      <w:rFonts w:ascii="Times New Roman" w:hAnsi="Times New Roman"/>
      <w:b/>
      <w:bCs/>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oleObject" Target="embeddings/Workbook1.xls"/><Relationship Id="rId7" Type="http://schemas.openxmlformats.org/officeDocument/2006/relationships/chart" Target="charts/chart2.xml"/><Relationship Id="rId6" Type="http://schemas.openxmlformats.org/officeDocument/2006/relationships/chart" Target="charts/chart1.xml"/><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2.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2.emf"/><Relationship Id="rId13" Type="http://schemas.openxmlformats.org/officeDocument/2006/relationships/oleObject" Target="embeddings/Workbook2.xls"/><Relationship Id="rId12" Type="http://schemas.openxmlformats.org/officeDocument/2006/relationships/chart" Target="charts/chart5.xml"/><Relationship Id="rId11" Type="http://schemas.openxmlformats.org/officeDocument/2006/relationships/chart" Target="charts/chart4.xml"/><Relationship Id="rId10" Type="http://schemas.openxmlformats.org/officeDocument/2006/relationships/chart" Target="charts/chart3.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Workbook3.xlsx"/></Relationships>
</file>

<file path=word/charts/_rels/chart2.xml.rels><?xml version="1.0" encoding="UTF-8" standalone="yes"?>
<Relationships xmlns="http://schemas.openxmlformats.org/package/2006/relationships"><Relationship Id="rId1" Type="http://schemas.openxmlformats.org/officeDocument/2006/relationships/package" Target="../embeddings/Workbook4.xlsx"/></Relationships>
</file>

<file path=word/charts/_rels/chart3.xml.rels><?xml version="1.0" encoding="UTF-8" standalone="yes"?>
<Relationships xmlns="http://schemas.openxmlformats.org/package/2006/relationships"><Relationship Id="rId1" Type="http://schemas.openxmlformats.org/officeDocument/2006/relationships/package" Target="../embeddings/Workbook5.xlsx"/></Relationships>
</file>

<file path=word/charts/_rels/chart4.xml.rels><?xml version="1.0" encoding="UTF-8" standalone="yes"?>
<Relationships xmlns="http://schemas.openxmlformats.org/package/2006/relationships"><Relationship Id="rId1" Type="http://schemas.openxmlformats.org/officeDocument/2006/relationships/package" Target="../embeddings/Workbook6.xlsx"/></Relationships>
</file>

<file path=word/charts/_rels/chart5.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package" Target="../embeddings/Workbook7.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0552147239263804"/>
          <c:y val="0.00793650793650794"/>
          <c:w val="0.94478527607362"/>
          <c:h val="0.888888888888889"/>
        </c:manualLayout>
      </c:layout>
      <c:barChart>
        <c:barDir val="col"/>
        <c:grouping val="clustered"/>
        <c:varyColors val="0"/>
        <c:ser>
          <c:idx val="0"/>
          <c:order val="0"/>
          <c:tx>
            <c:strRef>
              <c:f>Sheet1!$A$2</c:f>
              <c:strCache>
                <c:ptCount val="1"/>
                <c:pt idx="0">
                  <c:v>2018年</c:v>
                </c:pt>
              </c:strCache>
            </c:strRef>
          </c:tx>
          <c:spPr>
            <a:solidFill>
              <a:srgbClr val="9999FF"/>
            </a:solidFill>
            <a:ln w="13560">
              <a:solidFill>
                <a:srgbClr val="000000"/>
              </a:solidFill>
              <a:prstDash val="solid"/>
            </a:ln>
          </c:spPr>
          <c:invertIfNegative val="0"/>
          <c:dLbls>
            <c:spPr>
              <a:noFill/>
              <a:ln w="27119">
                <a:noFill/>
              </a:ln>
              <a:effectLst/>
            </c:spPr>
            <c:txPr>
              <a:bodyPr rot="0" spcFirstLastPara="0" vertOverflow="ellipsis" vert="horz" wrap="square" lIns="38100" tIns="19050" rIns="38100" bIns="19050" anchor="ctr" anchorCtr="1">
                <a:spAutoFit/>
              </a:bodyPr>
              <a:lstStyle/>
              <a:p>
                <a:pPr>
                  <a:defRPr lang="zh-CN" sz="1280"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dLblPos val="outEnd"/>
            <c:showLegendKey val="1"/>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Sheet1!$B$1:$E$1</c:f>
              <c:strCache>
                <c:ptCount val="3"/>
                <c:pt idx="0">
                  <c:v>决算收入</c:v>
                </c:pt>
                <c:pt idx="2">
                  <c:v>决算支出</c:v>
                </c:pt>
              </c:strCache>
            </c:strRef>
          </c:cat>
          <c:val>
            <c:numRef>
              <c:f>Sheet1!$B$2:$E$2</c:f>
              <c:numCache>
                <c:formatCode>General</c:formatCode>
                <c:ptCount val="4"/>
                <c:pt idx="0">
                  <c:v>495.94</c:v>
                </c:pt>
                <c:pt idx="2">
                  <c:v>495.94</c:v>
                </c:pt>
              </c:numCache>
            </c:numRef>
          </c:val>
        </c:ser>
        <c:ser>
          <c:idx val="1"/>
          <c:order val="1"/>
          <c:tx>
            <c:strRef>
              <c:f>Sheet1!$A$3</c:f>
              <c:strCache>
                <c:ptCount val="1"/>
                <c:pt idx="0">
                  <c:v>2019年</c:v>
                </c:pt>
              </c:strCache>
            </c:strRef>
          </c:tx>
          <c:spPr>
            <a:solidFill>
              <a:srgbClr val="993366"/>
            </a:solidFill>
            <a:ln w="13560">
              <a:solidFill>
                <a:srgbClr val="000000"/>
              </a:solidFill>
              <a:prstDash val="solid"/>
            </a:ln>
          </c:spPr>
          <c:invertIfNegative val="0"/>
          <c:dLbls>
            <c:spPr>
              <a:noFill/>
              <a:ln w="27119">
                <a:noFill/>
              </a:ln>
              <a:effectLst/>
            </c:spPr>
            <c:txPr>
              <a:bodyPr rot="0" spcFirstLastPara="0" vertOverflow="ellipsis" vert="horz" wrap="square" lIns="38100" tIns="19050" rIns="38100" bIns="19050" anchor="ctr" anchorCtr="1">
                <a:spAutoFit/>
              </a:bodyPr>
              <a:lstStyle/>
              <a:p>
                <a:pPr>
                  <a:defRPr lang="zh-CN" sz="1280"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dLblPos val="outEnd"/>
            <c:showLegendKey val="1"/>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Sheet1!$B$1:$E$1</c:f>
              <c:strCache>
                <c:ptCount val="3"/>
                <c:pt idx="0">
                  <c:v>决算收入</c:v>
                </c:pt>
                <c:pt idx="2">
                  <c:v>决算支出</c:v>
                </c:pt>
              </c:strCache>
            </c:strRef>
          </c:cat>
          <c:val>
            <c:numRef>
              <c:f>Sheet1!$B$3:$E$3</c:f>
              <c:numCache>
                <c:formatCode>General</c:formatCode>
                <c:ptCount val="4"/>
                <c:pt idx="0">
                  <c:v>527.92</c:v>
                </c:pt>
                <c:pt idx="2">
                  <c:v>527.92</c:v>
                </c:pt>
              </c:numCache>
            </c:numRef>
          </c:val>
        </c:ser>
        <c:dLbls>
          <c:showLegendKey val="0"/>
          <c:showVal val="0"/>
          <c:showCatName val="0"/>
          <c:showSerName val="0"/>
          <c:showPercent val="0"/>
          <c:showBubbleSize val="0"/>
        </c:dLbls>
        <c:gapWidth val="150"/>
        <c:axId val="786602360"/>
        <c:axId val="786604320"/>
      </c:barChart>
      <c:catAx>
        <c:axId val="786602360"/>
        <c:scaling>
          <c:orientation val="minMax"/>
        </c:scaling>
        <c:delete val="0"/>
        <c:axPos val="b"/>
        <c:numFmt formatCode="General" sourceLinked="1"/>
        <c:majorTickMark val="in"/>
        <c:minorTickMark val="none"/>
        <c:tickLblPos val="low"/>
        <c:spPr>
          <a:ln w="3390" cap="flat" cmpd="sng" algn="ctr">
            <a:solidFill>
              <a:srgbClr val="000000"/>
            </a:solidFill>
            <a:prstDash val="solid"/>
            <a:round/>
          </a:ln>
        </c:spPr>
        <c:txPr>
          <a:bodyPr rot="0" spcFirstLastPara="0" vertOverflow="ellipsis" vert="horz" wrap="square" anchor="ctr" anchorCtr="1"/>
          <a:lstStyle/>
          <a:p>
            <a:pPr>
              <a:defRPr lang="zh-CN" sz="1280"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crossAx val="786604320"/>
        <c:crosses val="autoZero"/>
        <c:auto val="1"/>
        <c:lblAlgn val="ctr"/>
        <c:lblOffset val="100"/>
        <c:tickLblSkip val="1"/>
        <c:noMultiLvlLbl val="0"/>
      </c:catAx>
      <c:valAx>
        <c:axId val="786604320"/>
        <c:scaling>
          <c:orientation val="minMax"/>
        </c:scaling>
        <c:delete val="0"/>
        <c:axPos val="l"/>
        <c:majorGridlines>
          <c:spPr>
            <a:ln w="3390" cap="flat" cmpd="sng" algn="ctr">
              <a:solidFill>
                <a:srgbClr val="000000"/>
              </a:solidFill>
              <a:prstDash val="solid"/>
              <a:round/>
            </a:ln>
          </c:spPr>
        </c:majorGridlines>
        <c:numFmt formatCode="General" sourceLinked="1"/>
        <c:majorTickMark val="in"/>
        <c:minorTickMark val="none"/>
        <c:tickLblPos val="nextTo"/>
        <c:spPr>
          <a:ln w="3390" cap="flat" cmpd="sng" algn="ctr">
            <a:solidFill>
              <a:srgbClr val="000000"/>
            </a:solidFill>
            <a:prstDash val="solid"/>
            <a:round/>
          </a:ln>
        </c:spPr>
        <c:txPr>
          <a:bodyPr rot="0" spcFirstLastPara="0" vertOverflow="ellipsis" vert="horz" wrap="square" anchor="ctr" anchorCtr="1"/>
          <a:lstStyle/>
          <a:p>
            <a:pPr>
              <a:defRPr lang="zh-CN" sz="1280"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crossAx val="786602360"/>
        <c:crosses val="autoZero"/>
        <c:crossBetween val="between"/>
      </c:valAx>
      <c:spPr>
        <a:noFill/>
        <a:ln w="25400">
          <a:noFill/>
        </a:ln>
        <a:effectLst/>
      </c:spPr>
    </c:plotArea>
    <c:legend>
      <c:legendPos val="r"/>
      <c:layout>
        <c:manualLayout>
          <c:xMode val="edge"/>
          <c:yMode val="edge"/>
          <c:x val="0.844580777096115"/>
          <c:y val="0.416666666666667"/>
          <c:w val="0.147239263803681"/>
          <c:h val="0.170634920634921"/>
        </c:manualLayout>
      </c:layout>
      <c:overlay val="0"/>
      <c:spPr>
        <a:noFill/>
        <a:ln w="3390">
          <a:solidFill>
            <a:srgbClr val="000000"/>
          </a:solidFill>
          <a:prstDash val="solid"/>
        </a:ln>
      </c:spPr>
      <c:txPr>
        <a:bodyPr rot="0" spcFirstLastPara="0" vertOverflow="ellipsis" vert="horz" wrap="square" anchor="ctr" anchorCtr="1"/>
        <a:lstStyle/>
        <a:p>
          <a:pPr>
            <a:defRPr lang="zh-CN" sz="1175"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legend>
    <c:plotVisOnly val="1"/>
    <c:dispBlanksAs val="gap"/>
    <c:showDLblsOverMax val="0"/>
  </c:chart>
  <c:spPr>
    <a:noFill/>
    <a:ln w="9525" cap="flat" cmpd="sng" algn="ctr">
      <a:noFill/>
      <a:prstDash val="solid"/>
      <a:round/>
    </a:ln>
  </c:spPr>
  <c:txPr>
    <a:bodyPr/>
    <a:lstStyle/>
    <a:p>
      <a:pPr>
        <a:defRPr lang="zh-CN" sz="1280" b="0" i="0" u="none" strike="noStrike" baseline="0">
          <a:solidFill>
            <a:srgbClr val="000000"/>
          </a:solidFill>
          <a:latin typeface="宋体" panose="02010600030101010101" charset="-122"/>
          <a:ea typeface="宋体" panose="02010600030101010101" charset="-122"/>
          <a:cs typeface="宋体" panose="02010600030101010101" charset="-122"/>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9674796747967"/>
          <c:y val="0.236263736263736"/>
          <c:w val="0.199186991869919"/>
          <c:h val="0.538461538461538"/>
        </c:manualLayout>
      </c:layout>
      <c:pieChart>
        <c:varyColors val="1"/>
        <c:ser>
          <c:idx val="0"/>
          <c:order val="0"/>
          <c:tx>
            <c:strRef>
              <c:f>Sheet1!$A$2</c:f>
              <c:strCache>
                <c:ptCount val="1"/>
                <c:pt idx="0">
                  <c:v>收入</c:v>
                </c:pt>
              </c:strCache>
            </c:strRef>
          </c:tx>
          <c:spPr>
            <a:solidFill>
              <a:srgbClr val="9999FF"/>
            </a:solidFill>
            <a:ln w="20259">
              <a:solidFill>
                <a:srgbClr val="000000"/>
              </a:solidFill>
              <a:prstDash val="solid"/>
            </a:ln>
          </c:spPr>
          <c:explosion val="0"/>
          <c:dPt>
            <c:idx val="0"/>
            <c:bubble3D val="0"/>
            <c:spPr>
              <a:solidFill>
                <a:srgbClr val="9999FF"/>
              </a:solidFill>
              <a:ln w="20259">
                <a:solidFill>
                  <a:srgbClr val="000000"/>
                </a:solidFill>
                <a:prstDash val="solid"/>
              </a:ln>
            </c:spPr>
          </c:dPt>
          <c:dPt>
            <c:idx val="1"/>
            <c:bubble3D val="0"/>
            <c:spPr>
              <a:solidFill>
                <a:srgbClr val="993366"/>
              </a:solidFill>
              <a:ln w="20259">
                <a:solidFill>
                  <a:srgbClr val="000000"/>
                </a:solidFill>
                <a:prstDash val="solid"/>
              </a:ln>
            </c:spPr>
          </c:dPt>
          <c:dLbls>
            <c:spPr>
              <a:noFill/>
              <a:ln w="40517">
                <a:noFill/>
              </a:ln>
              <a:effectLst/>
            </c:spPr>
            <c:txPr>
              <a:bodyPr rot="0" spcFirstLastPara="0" vertOverflow="ellipsis" vert="horz" wrap="square" lIns="38100" tIns="19050" rIns="38100" bIns="19050" anchor="ctr" anchorCtr="1">
                <a:spAutoFit/>
              </a:bodyPr>
              <a:lstStyle/>
              <a:p>
                <a:pPr>
                  <a:defRPr lang="zh-CN" sz="1435"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dLblPos val="bestFit"/>
            <c:showLegendKey val="1"/>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Sheet1!$B$1:$E$1</c:f>
              <c:strCache>
                <c:ptCount val="2"/>
                <c:pt idx="0">
                  <c:v>一般公共预算财政拨款收入</c:v>
                </c:pt>
                <c:pt idx="1">
                  <c:v>政府基金预算财政拨款收入</c:v>
                </c:pt>
              </c:strCache>
            </c:strRef>
          </c:cat>
          <c:val>
            <c:numRef>
              <c:f>Sheet1!$B$2:$E$2</c:f>
              <c:numCache>
                <c:formatCode>General</c:formatCode>
                <c:ptCount val="2"/>
                <c:pt idx="0">
                  <c:v>427.56</c:v>
                </c:pt>
                <c:pt idx="1">
                  <c:v>100.36</c:v>
                </c:pt>
              </c:numCache>
            </c:numRef>
          </c:val>
        </c:ser>
        <c:ser>
          <c:idx val="1"/>
          <c:order val="1"/>
          <c:tx>
            <c:strRef>
              <c:f>Sheet1!$A$3</c:f>
              <c:strCache>
                <c:ptCount val="1"/>
                <c:pt idx="0">
                  <c:v/>
                </c:pt>
              </c:strCache>
            </c:strRef>
          </c:tx>
          <c:spPr>
            <a:solidFill>
              <a:srgbClr val="993366"/>
            </a:solidFill>
            <a:ln w="20259">
              <a:solidFill>
                <a:srgbClr val="000000"/>
              </a:solidFill>
              <a:prstDash val="solid"/>
            </a:ln>
          </c:spPr>
          <c:explosion val="0"/>
          <c:dPt>
            <c:idx val="0"/>
            <c:bubble3D val="0"/>
            <c:spPr>
              <a:solidFill>
                <a:srgbClr val="9999FF"/>
              </a:solidFill>
              <a:ln w="20259">
                <a:solidFill>
                  <a:srgbClr val="000000"/>
                </a:solidFill>
                <a:prstDash val="solid"/>
              </a:ln>
            </c:spPr>
          </c:dPt>
          <c:dPt>
            <c:idx val="1"/>
            <c:bubble3D val="0"/>
            <c:spPr>
              <a:solidFill>
                <a:srgbClr val="993366"/>
              </a:solidFill>
              <a:ln w="20259">
                <a:solidFill>
                  <a:srgbClr val="000000"/>
                </a:solidFill>
                <a:prstDash val="solid"/>
              </a:ln>
            </c:spPr>
          </c:dPt>
          <c:dLbls>
            <c:delete val="1"/>
          </c:dLbls>
          <c:cat>
            <c:strRef>
              <c:f>Sheet1!$B$1:$E$1</c:f>
              <c:strCache>
                <c:ptCount val="2"/>
                <c:pt idx="0">
                  <c:v>一般公共预算财政拨款收入</c:v>
                </c:pt>
                <c:pt idx="1">
                  <c:v>政府基金预算财政拨款收入</c:v>
                </c:pt>
              </c:strCache>
            </c:strRef>
          </c:cat>
          <c:val>
            <c:numRef>
              <c:f>Sheet1!$B$3:$E$3</c:f>
              <c:numCache>
                <c:formatCode>General</c:formatCode>
                <c:ptCount val="2"/>
              </c:numCache>
            </c:numRef>
          </c:val>
        </c:ser>
        <c:ser>
          <c:idx val="2"/>
          <c:order val="2"/>
          <c:tx>
            <c:strRef>
              <c:f>Sheet1!$A$4</c:f>
              <c:strCache>
                <c:ptCount val="1"/>
                <c:pt idx="0">
                  <c:v/>
                </c:pt>
              </c:strCache>
            </c:strRef>
          </c:tx>
          <c:spPr>
            <a:solidFill>
              <a:srgbClr val="FFFFCC"/>
            </a:solidFill>
            <a:ln w="20259">
              <a:solidFill>
                <a:srgbClr val="000000"/>
              </a:solidFill>
              <a:prstDash val="solid"/>
            </a:ln>
          </c:spPr>
          <c:explosion val="0"/>
          <c:dPt>
            <c:idx val="0"/>
            <c:bubble3D val="0"/>
            <c:spPr>
              <a:solidFill>
                <a:srgbClr val="9999FF"/>
              </a:solidFill>
              <a:ln w="20259">
                <a:solidFill>
                  <a:srgbClr val="000000"/>
                </a:solidFill>
                <a:prstDash val="solid"/>
              </a:ln>
            </c:spPr>
          </c:dPt>
          <c:dPt>
            <c:idx val="1"/>
            <c:bubble3D val="0"/>
            <c:spPr>
              <a:solidFill>
                <a:srgbClr val="993366"/>
              </a:solidFill>
              <a:ln w="20259">
                <a:solidFill>
                  <a:srgbClr val="000000"/>
                </a:solidFill>
                <a:prstDash val="solid"/>
              </a:ln>
            </c:spPr>
          </c:dPt>
          <c:dLbls>
            <c:delete val="1"/>
          </c:dLbls>
          <c:cat>
            <c:strRef>
              <c:f>Sheet1!$B$1:$E$1</c:f>
              <c:strCache>
                <c:ptCount val="2"/>
                <c:pt idx="0">
                  <c:v>一般公共预算财政拨款收入</c:v>
                </c:pt>
                <c:pt idx="1">
                  <c:v>政府基金预算财政拨款收入</c:v>
                </c:pt>
              </c:strCache>
            </c:strRef>
          </c:cat>
          <c:val>
            <c:numRef>
              <c:f>Sheet1!$B$4:$E$4</c:f>
              <c:numCache>
                <c:formatCode>General</c:formatCode>
                <c:ptCount val="2"/>
              </c:numCache>
            </c:numRef>
          </c:val>
        </c:ser>
        <c:dLbls>
          <c:showLegendKey val="0"/>
          <c:showVal val="0"/>
          <c:showCatName val="0"/>
          <c:showSerName val="0"/>
          <c:showPercent val="0"/>
          <c:showBubbleSize val="0"/>
          <c:showLeaderLines val="1"/>
        </c:dLbls>
        <c:firstSliceAng val="0"/>
      </c:pieChart>
      <c:spPr>
        <a:solidFill>
          <a:srgbClr val="C0C0C0"/>
        </a:solidFill>
        <a:ln w="20259">
          <a:solidFill>
            <a:srgbClr val="808080"/>
          </a:solidFill>
          <a:prstDash val="solid"/>
        </a:ln>
      </c:spPr>
    </c:plotArea>
    <c:legend>
      <c:legendPos val="r"/>
      <c:layout>
        <c:manualLayout>
          <c:xMode val="edge"/>
          <c:yMode val="edge"/>
          <c:x val="0.658536585365854"/>
          <c:y val="0.406593406593407"/>
          <c:w val="0.333333333333333"/>
          <c:h val="0.192307692307692"/>
        </c:manualLayout>
      </c:layout>
      <c:overlay val="0"/>
      <c:spPr>
        <a:noFill/>
        <a:ln w="5065">
          <a:solidFill>
            <a:srgbClr val="000000"/>
          </a:solidFill>
          <a:prstDash val="solid"/>
        </a:ln>
      </c:spPr>
      <c:txPr>
        <a:bodyPr rot="0" spcFirstLastPara="0" vertOverflow="ellipsis" vert="horz" wrap="square" anchor="ctr" anchorCtr="1"/>
        <a:lstStyle/>
        <a:p>
          <a:pPr>
            <a:defRPr lang="zh-CN" sz="1315"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legend>
    <c:plotVisOnly val="1"/>
    <c:dispBlanksAs val="zero"/>
    <c:showDLblsOverMax val="0"/>
  </c:chart>
  <c:spPr>
    <a:noFill/>
    <a:ln w="9525" cap="flat" cmpd="sng" algn="ctr">
      <a:noFill/>
      <a:prstDash val="solid"/>
      <a:round/>
    </a:ln>
  </c:spPr>
  <c:txPr>
    <a:bodyPr/>
    <a:lstStyle/>
    <a:p>
      <a:pPr>
        <a:defRPr lang="zh-CN" sz="1435" b="0" i="0" u="none" strike="noStrike" baseline="0">
          <a:solidFill>
            <a:srgbClr val="000000"/>
          </a:solidFill>
          <a:latin typeface="宋体" panose="02010600030101010101" charset="-122"/>
          <a:ea typeface="宋体" panose="02010600030101010101" charset="-122"/>
          <a:cs typeface="宋体" panose="02010600030101010101" charset="-122"/>
        </a:defRPr>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0695296523517382"/>
          <c:y val="0.0729166666666667"/>
          <c:w val="0.775051124744376"/>
          <c:h val="0.755208333333333"/>
        </c:manualLayout>
      </c:layout>
      <c:barChart>
        <c:barDir val="col"/>
        <c:grouping val="clustered"/>
        <c:varyColors val="0"/>
        <c:ser>
          <c:idx val="1"/>
          <c:order val="0"/>
          <c:tx>
            <c:strRef>
              <c:f>Sheet1!$A$3</c:f>
              <c:strCache>
                <c:ptCount val="1"/>
                <c:pt idx="0">
                  <c:v>2018年</c:v>
                </c:pt>
              </c:strCache>
            </c:strRef>
          </c:tx>
          <c:spPr>
            <a:solidFill>
              <a:srgbClr val="993366"/>
            </a:solidFill>
            <a:ln w="13560">
              <a:solidFill>
                <a:srgbClr val="000000"/>
              </a:solidFill>
              <a:prstDash val="solid"/>
            </a:ln>
          </c:spPr>
          <c:invertIfNegative val="0"/>
          <c:dLbls>
            <c:spPr>
              <a:noFill/>
              <a:ln w="27119">
                <a:noFill/>
              </a:ln>
              <a:effectLst/>
            </c:spPr>
            <c:txPr>
              <a:bodyPr rot="0" spcFirstLastPara="0" vertOverflow="ellipsis" vert="horz" wrap="square" lIns="38100" tIns="19050" rIns="38100" bIns="19050" anchor="ctr" anchorCtr="1">
                <a:spAutoFit/>
              </a:bodyPr>
              <a:lstStyle/>
              <a:p>
                <a:pPr>
                  <a:defRPr lang="zh-CN" sz="1015"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Sheet1!$B$1:$E$1</c:f>
              <c:strCache>
                <c:ptCount val="3"/>
                <c:pt idx="0">
                  <c:v>财政拨款收入</c:v>
                </c:pt>
                <c:pt idx="2">
                  <c:v>财政拨款支出</c:v>
                </c:pt>
              </c:strCache>
            </c:strRef>
          </c:cat>
          <c:val>
            <c:numRef>
              <c:f>Sheet1!$B$3:$E$3</c:f>
              <c:numCache>
                <c:formatCode>General</c:formatCode>
                <c:ptCount val="4"/>
                <c:pt idx="0">
                  <c:v>495.94</c:v>
                </c:pt>
                <c:pt idx="2">
                  <c:v>495.94</c:v>
                </c:pt>
              </c:numCache>
            </c:numRef>
          </c:val>
        </c:ser>
        <c:ser>
          <c:idx val="2"/>
          <c:order val="1"/>
          <c:tx>
            <c:strRef>
              <c:f>Sheet1!$A$4</c:f>
              <c:strCache>
                <c:ptCount val="1"/>
                <c:pt idx="0">
                  <c:v>2019年</c:v>
                </c:pt>
              </c:strCache>
            </c:strRef>
          </c:tx>
          <c:spPr>
            <a:solidFill>
              <a:srgbClr val="FFFFCC"/>
            </a:solidFill>
            <a:ln w="13560">
              <a:solidFill>
                <a:srgbClr val="000000"/>
              </a:solidFill>
              <a:prstDash val="solid"/>
            </a:ln>
          </c:spPr>
          <c:invertIfNegative val="0"/>
          <c:dLbls>
            <c:spPr>
              <a:noFill/>
              <a:ln w="27119">
                <a:noFill/>
              </a:ln>
              <a:effectLst/>
            </c:spPr>
            <c:txPr>
              <a:bodyPr rot="0" spcFirstLastPara="0" vertOverflow="ellipsis" vert="horz" wrap="square" lIns="38100" tIns="19050" rIns="38100" bIns="19050" anchor="ctr" anchorCtr="1">
                <a:spAutoFit/>
              </a:bodyPr>
              <a:lstStyle/>
              <a:p>
                <a:pPr>
                  <a:defRPr lang="zh-CN" sz="1015"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Sheet1!$B$1:$E$1</c:f>
              <c:strCache>
                <c:ptCount val="3"/>
                <c:pt idx="0">
                  <c:v>财政拨款收入</c:v>
                </c:pt>
                <c:pt idx="2">
                  <c:v>财政拨款支出</c:v>
                </c:pt>
              </c:strCache>
            </c:strRef>
          </c:cat>
          <c:val>
            <c:numRef>
              <c:f>Sheet1!$B$4:$E$4</c:f>
              <c:numCache>
                <c:formatCode>General</c:formatCode>
                <c:ptCount val="4"/>
                <c:pt idx="0">
                  <c:v>527.92</c:v>
                </c:pt>
                <c:pt idx="2">
                  <c:v>527.92</c:v>
                </c:pt>
              </c:numCache>
            </c:numRef>
          </c:val>
        </c:ser>
        <c:dLbls>
          <c:showLegendKey val="0"/>
          <c:showVal val="0"/>
          <c:showCatName val="0"/>
          <c:showSerName val="0"/>
          <c:showPercent val="0"/>
          <c:showBubbleSize val="0"/>
        </c:dLbls>
        <c:gapWidth val="150"/>
        <c:axId val="786604712"/>
        <c:axId val="786600792"/>
      </c:barChart>
      <c:catAx>
        <c:axId val="786604712"/>
        <c:scaling>
          <c:orientation val="minMax"/>
        </c:scaling>
        <c:delete val="0"/>
        <c:axPos val="b"/>
        <c:numFmt formatCode="General" sourceLinked="1"/>
        <c:majorTickMark val="in"/>
        <c:minorTickMark val="none"/>
        <c:tickLblPos val="low"/>
        <c:spPr>
          <a:ln w="3390" cap="flat" cmpd="sng" algn="ctr">
            <a:solidFill>
              <a:srgbClr val="000000"/>
            </a:solidFill>
            <a:prstDash val="solid"/>
            <a:round/>
          </a:ln>
        </c:spPr>
        <c:txPr>
          <a:bodyPr rot="0" spcFirstLastPara="0" vertOverflow="ellipsis" vert="horz" wrap="square" anchor="ctr" anchorCtr="1"/>
          <a:lstStyle/>
          <a:p>
            <a:pPr>
              <a:defRPr lang="zh-CN" sz="1015"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crossAx val="786600792"/>
        <c:crosses val="autoZero"/>
        <c:auto val="1"/>
        <c:lblAlgn val="ctr"/>
        <c:lblOffset val="100"/>
        <c:tickLblSkip val="2"/>
        <c:noMultiLvlLbl val="0"/>
      </c:catAx>
      <c:valAx>
        <c:axId val="786600792"/>
        <c:scaling>
          <c:orientation val="minMax"/>
        </c:scaling>
        <c:delete val="0"/>
        <c:axPos val="l"/>
        <c:majorGridlines>
          <c:spPr>
            <a:ln w="3390" cap="flat" cmpd="sng" algn="ctr">
              <a:solidFill>
                <a:srgbClr val="000000"/>
              </a:solidFill>
              <a:prstDash val="solid"/>
              <a:round/>
            </a:ln>
          </c:spPr>
        </c:majorGridlines>
        <c:numFmt formatCode="General" sourceLinked="1"/>
        <c:majorTickMark val="in"/>
        <c:minorTickMark val="none"/>
        <c:tickLblPos val="nextTo"/>
        <c:spPr>
          <a:ln w="3390" cap="flat" cmpd="sng" algn="ctr">
            <a:solidFill>
              <a:srgbClr val="000000"/>
            </a:solidFill>
            <a:prstDash val="solid"/>
            <a:round/>
          </a:ln>
        </c:spPr>
        <c:txPr>
          <a:bodyPr rot="0" spcFirstLastPara="0" vertOverflow="ellipsis" vert="horz" wrap="square" anchor="ctr" anchorCtr="1"/>
          <a:lstStyle/>
          <a:p>
            <a:pPr>
              <a:defRPr lang="zh-CN" sz="1015"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crossAx val="786604712"/>
        <c:crosses val="autoZero"/>
        <c:crossBetween val="between"/>
        <c:majorUnit val="100"/>
      </c:valAx>
      <c:spPr>
        <a:solidFill>
          <a:srgbClr val="C0C0C0"/>
        </a:solidFill>
        <a:ln w="12700">
          <a:solidFill>
            <a:srgbClr val="808080"/>
          </a:solidFill>
          <a:prstDash val="solid"/>
        </a:ln>
        <a:effectLst/>
      </c:spPr>
    </c:plotArea>
    <c:legend>
      <c:legendPos val="r"/>
      <c:layout>
        <c:manualLayout>
          <c:xMode val="edge"/>
          <c:yMode val="edge"/>
          <c:x val="0.867075664621677"/>
          <c:y val="0.40625"/>
          <c:w val="0.124744376278119"/>
          <c:h val="0.192708333333333"/>
        </c:manualLayout>
      </c:layout>
      <c:overlay val="0"/>
      <c:spPr>
        <a:noFill/>
        <a:ln w="3390">
          <a:solidFill>
            <a:srgbClr val="000000"/>
          </a:solidFill>
          <a:prstDash val="solid"/>
        </a:ln>
      </c:spPr>
      <c:txPr>
        <a:bodyPr rot="0" spcFirstLastPara="0" vertOverflow="ellipsis" vert="horz" wrap="square" anchor="ctr" anchorCtr="1"/>
        <a:lstStyle/>
        <a:p>
          <a:pPr>
            <a:defRPr lang="zh-CN" sz="930"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legend>
    <c:plotVisOnly val="1"/>
    <c:dispBlanksAs val="gap"/>
    <c:showDLblsOverMax val="0"/>
  </c:chart>
  <c:spPr>
    <a:noFill/>
    <a:ln w="9525" cap="flat" cmpd="sng" algn="ctr">
      <a:noFill/>
      <a:prstDash val="solid"/>
      <a:round/>
    </a:ln>
  </c:spPr>
  <c:txPr>
    <a:bodyPr/>
    <a:lstStyle/>
    <a:p>
      <a:pPr>
        <a:defRPr lang="zh-CN" sz="1015" b="0" i="0" u="none" strike="noStrike" baseline="0">
          <a:solidFill>
            <a:srgbClr val="000000"/>
          </a:solidFill>
          <a:latin typeface="宋体" panose="02010600030101010101" charset="-122"/>
          <a:ea typeface="宋体" panose="02010600030101010101" charset="-122"/>
          <a:cs typeface="宋体" panose="02010600030101010101" charset="-122"/>
        </a:defRPr>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0695296523517382"/>
          <c:y val="0.0729166666666667"/>
          <c:w val="0.775051124744376"/>
          <c:h val="0.755208333333333"/>
        </c:manualLayout>
      </c:layout>
      <c:barChart>
        <c:barDir val="col"/>
        <c:grouping val="clustered"/>
        <c:varyColors val="0"/>
        <c:ser>
          <c:idx val="1"/>
          <c:order val="0"/>
          <c:tx>
            <c:strRef>
              <c:f>Sheet1!$A$3</c:f>
              <c:strCache>
                <c:ptCount val="1"/>
                <c:pt idx="0">
                  <c:v>2018年</c:v>
                </c:pt>
              </c:strCache>
            </c:strRef>
          </c:tx>
          <c:spPr>
            <a:solidFill>
              <a:srgbClr val="993366"/>
            </a:solidFill>
            <a:ln w="13560">
              <a:solidFill>
                <a:srgbClr val="000000"/>
              </a:solidFill>
              <a:prstDash val="solid"/>
            </a:ln>
          </c:spPr>
          <c:invertIfNegative val="0"/>
          <c:dLbls>
            <c:spPr>
              <a:noFill/>
              <a:ln w="27119">
                <a:noFill/>
              </a:ln>
              <a:effectLst/>
            </c:spPr>
            <c:txPr>
              <a:bodyPr rot="0" spcFirstLastPara="0" vertOverflow="ellipsis" vert="horz" wrap="square" lIns="38100" tIns="19050" rIns="38100" bIns="19050" anchor="ctr" anchorCtr="1">
                <a:spAutoFit/>
              </a:bodyPr>
              <a:lstStyle/>
              <a:p>
                <a:pPr>
                  <a:defRPr lang="zh-CN" sz="1015"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Sheet1!$B$1:$E$1</c:f>
              <c:strCache>
                <c:ptCount val="1"/>
                <c:pt idx="0">
                  <c:v>财政拨款支出</c:v>
                </c:pt>
              </c:strCache>
            </c:strRef>
          </c:cat>
          <c:val>
            <c:numRef>
              <c:f>Sheet1!$B$3:$E$3</c:f>
              <c:numCache>
                <c:formatCode>General</c:formatCode>
                <c:ptCount val="4"/>
                <c:pt idx="0">
                  <c:v>494.94</c:v>
                </c:pt>
              </c:numCache>
            </c:numRef>
          </c:val>
        </c:ser>
        <c:ser>
          <c:idx val="2"/>
          <c:order val="1"/>
          <c:tx>
            <c:strRef>
              <c:f>Sheet1!$A$4</c:f>
              <c:strCache>
                <c:ptCount val="1"/>
                <c:pt idx="0">
                  <c:v>2019年</c:v>
                </c:pt>
              </c:strCache>
            </c:strRef>
          </c:tx>
          <c:spPr>
            <a:solidFill>
              <a:srgbClr val="FFFFCC"/>
            </a:solidFill>
            <a:ln w="13560">
              <a:solidFill>
                <a:srgbClr val="000000"/>
              </a:solidFill>
              <a:prstDash val="solid"/>
            </a:ln>
          </c:spPr>
          <c:invertIfNegative val="0"/>
          <c:dLbls>
            <c:spPr>
              <a:noFill/>
              <a:ln w="27119">
                <a:noFill/>
              </a:ln>
              <a:effectLst/>
            </c:spPr>
            <c:txPr>
              <a:bodyPr rot="0" spcFirstLastPara="0" vertOverflow="ellipsis" vert="horz" wrap="square" lIns="38100" tIns="19050" rIns="38100" bIns="19050" anchor="ctr" anchorCtr="1">
                <a:spAutoFit/>
              </a:bodyPr>
              <a:lstStyle/>
              <a:p>
                <a:pPr>
                  <a:defRPr lang="zh-CN" sz="1015"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Sheet1!$B$1:$E$1</c:f>
              <c:strCache>
                <c:ptCount val="1"/>
                <c:pt idx="0">
                  <c:v>财政拨款支出</c:v>
                </c:pt>
              </c:strCache>
            </c:strRef>
          </c:cat>
          <c:val>
            <c:numRef>
              <c:f>Sheet1!$B$4:$E$4</c:f>
              <c:numCache>
                <c:formatCode>General</c:formatCode>
                <c:ptCount val="4"/>
                <c:pt idx="0">
                  <c:v>427.57</c:v>
                </c:pt>
              </c:numCache>
            </c:numRef>
          </c:val>
        </c:ser>
        <c:dLbls>
          <c:showLegendKey val="0"/>
          <c:showVal val="0"/>
          <c:showCatName val="0"/>
          <c:showSerName val="0"/>
          <c:showPercent val="0"/>
          <c:showBubbleSize val="0"/>
        </c:dLbls>
        <c:gapWidth val="150"/>
        <c:axId val="786603928"/>
        <c:axId val="786605888"/>
      </c:barChart>
      <c:catAx>
        <c:axId val="786603928"/>
        <c:scaling>
          <c:orientation val="minMax"/>
        </c:scaling>
        <c:delete val="0"/>
        <c:axPos val="b"/>
        <c:numFmt formatCode="General" sourceLinked="1"/>
        <c:majorTickMark val="in"/>
        <c:minorTickMark val="none"/>
        <c:tickLblPos val="low"/>
        <c:spPr>
          <a:ln w="3390" cap="flat" cmpd="sng" algn="ctr">
            <a:solidFill>
              <a:srgbClr val="000000"/>
            </a:solidFill>
            <a:prstDash val="solid"/>
            <a:round/>
          </a:ln>
        </c:spPr>
        <c:txPr>
          <a:bodyPr rot="0" spcFirstLastPara="0" vertOverflow="ellipsis" vert="horz" wrap="square" anchor="ctr" anchorCtr="1"/>
          <a:lstStyle/>
          <a:p>
            <a:pPr>
              <a:defRPr lang="zh-CN" sz="1015"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crossAx val="786605888"/>
        <c:crosses val="autoZero"/>
        <c:auto val="1"/>
        <c:lblAlgn val="ctr"/>
        <c:lblOffset val="100"/>
        <c:tickLblSkip val="2"/>
        <c:noMultiLvlLbl val="0"/>
      </c:catAx>
      <c:valAx>
        <c:axId val="786605888"/>
        <c:scaling>
          <c:orientation val="minMax"/>
        </c:scaling>
        <c:delete val="0"/>
        <c:axPos val="l"/>
        <c:majorGridlines>
          <c:spPr>
            <a:ln w="3390" cap="flat" cmpd="sng" algn="ctr">
              <a:solidFill>
                <a:srgbClr val="000000"/>
              </a:solidFill>
              <a:prstDash val="solid"/>
              <a:round/>
            </a:ln>
          </c:spPr>
        </c:majorGridlines>
        <c:numFmt formatCode="General" sourceLinked="1"/>
        <c:majorTickMark val="in"/>
        <c:minorTickMark val="none"/>
        <c:tickLblPos val="nextTo"/>
        <c:spPr>
          <a:ln w="3390" cap="flat" cmpd="sng" algn="ctr">
            <a:solidFill>
              <a:srgbClr val="000000"/>
            </a:solidFill>
            <a:prstDash val="solid"/>
            <a:round/>
          </a:ln>
        </c:spPr>
        <c:txPr>
          <a:bodyPr rot="0" spcFirstLastPara="0" vertOverflow="ellipsis" vert="horz" wrap="square" anchor="ctr" anchorCtr="1"/>
          <a:lstStyle/>
          <a:p>
            <a:pPr>
              <a:defRPr lang="zh-CN" sz="1015"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crossAx val="786603928"/>
        <c:crosses val="autoZero"/>
        <c:crossBetween val="between"/>
        <c:majorUnit val="100"/>
      </c:valAx>
      <c:spPr>
        <a:solidFill>
          <a:srgbClr val="C0C0C0"/>
        </a:solidFill>
        <a:ln w="12700">
          <a:solidFill>
            <a:srgbClr val="808080"/>
          </a:solidFill>
          <a:prstDash val="solid"/>
        </a:ln>
        <a:effectLst/>
      </c:spPr>
    </c:plotArea>
    <c:legend>
      <c:legendPos val="r"/>
      <c:layout>
        <c:manualLayout>
          <c:xMode val="edge"/>
          <c:yMode val="edge"/>
          <c:x val="0.867075664621677"/>
          <c:y val="0.40625"/>
          <c:w val="0.124744376278119"/>
          <c:h val="0.192708333333333"/>
        </c:manualLayout>
      </c:layout>
      <c:overlay val="0"/>
      <c:spPr>
        <a:noFill/>
        <a:ln w="3390">
          <a:solidFill>
            <a:srgbClr val="000000"/>
          </a:solidFill>
          <a:prstDash val="solid"/>
        </a:ln>
      </c:spPr>
      <c:txPr>
        <a:bodyPr rot="0" spcFirstLastPara="0" vertOverflow="ellipsis" vert="horz" wrap="square" anchor="ctr" anchorCtr="1"/>
        <a:lstStyle/>
        <a:p>
          <a:pPr>
            <a:defRPr lang="zh-CN" sz="930" b="0" i="0" u="none" strike="noStrike" kern="1200" baseline="0">
              <a:solidFill>
                <a:srgbClr val="000000"/>
              </a:solidFill>
              <a:latin typeface="宋体" panose="02010600030101010101" charset="-122"/>
              <a:ea typeface="宋体" panose="02010600030101010101" charset="-122"/>
              <a:cs typeface="宋体" panose="02010600030101010101" charset="-122"/>
            </a:defRPr>
          </a:pPr>
        </a:p>
      </c:txPr>
    </c:legend>
    <c:plotVisOnly val="1"/>
    <c:dispBlanksAs val="gap"/>
    <c:showDLblsOverMax val="0"/>
  </c:chart>
  <c:spPr>
    <a:noFill/>
    <a:ln w="9525" cap="flat" cmpd="sng" algn="ctr">
      <a:noFill/>
      <a:prstDash val="solid"/>
      <a:round/>
    </a:ln>
  </c:spPr>
  <c:txPr>
    <a:bodyPr/>
    <a:lstStyle/>
    <a:p>
      <a:pPr>
        <a:defRPr lang="zh-CN" sz="1015" b="0" i="0" u="none" strike="noStrike" baseline="0">
          <a:solidFill>
            <a:srgbClr val="000000"/>
          </a:solidFill>
          <a:latin typeface="宋体" panose="02010600030101010101" charset="-122"/>
          <a:ea typeface="宋体" panose="02010600030101010101" charset="-122"/>
          <a:cs typeface="宋体" panose="02010600030101010101" charset="-122"/>
        </a:defRPr>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9674796747967"/>
          <c:y val="0.236263736263736"/>
          <c:w val="0.199186991869919"/>
          <c:h val="0.538461538461538"/>
        </c:manualLayout>
      </c:layout>
      <c:pieChart>
        <c:varyColors val="1"/>
        <c:ser>
          <c:idx val="0"/>
          <c:order val="0"/>
          <c:tx>
            <c:strRef>
              <c:f>Sheet1!#REF!</c:f>
              <c:strCache>
                <c:ptCount val="1"/>
                <c:pt idx="0">
                  <c:v>#REF!</c:v>
                </c:pt>
              </c:strCache>
            </c:strRef>
          </c:tx>
          <c:spPr/>
          <c:explosion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p>
            </c:txPr>
            <c:dLblPos val="bestFit"/>
            <c:showLegendKey val="1"/>
            <c:showVal val="1"/>
            <c:showCatName val="0"/>
            <c:showSerName val="0"/>
            <c:showPercent val="0"/>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Sheet1!$A$1:$C$1</c:f>
              <c:strCache>
                <c:ptCount val="3"/>
                <c:pt idx="0">
                  <c:v>机关事业单位养老保险缴费</c:v>
                </c:pt>
                <c:pt idx="1">
                  <c:v>行政运行</c:v>
                </c:pt>
                <c:pt idx="2">
                  <c:v>残疾人康复</c:v>
                </c:pt>
              </c:strCache>
            </c:strRef>
          </c:cat>
          <c:val>
            <c:numRef>
              <c:f>Sheet1!$A$2:$D$2</c:f>
              <c:numCache>
                <c:formatCode>General</c:formatCode>
                <c:ptCount val="4"/>
                <c:pt idx="0">
                  <c:v>10.89</c:v>
                </c:pt>
                <c:pt idx="1">
                  <c:v>172.74</c:v>
                </c:pt>
                <c:pt idx="2">
                  <c:v>12.62</c:v>
                </c:pt>
                <c:pt idx="3">
                  <c:v>3.43</c:v>
                </c:pt>
              </c:numCache>
            </c:numRef>
          </c:val>
        </c:ser>
        <c:ser>
          <c:idx val="1"/>
          <c:order val="1"/>
          <c:tx>
            <c:strRef>
              <c:f>Sheet1!#REF!</c:f>
              <c:strCache>
                <c:ptCount val="1"/>
                <c:pt idx="0">
                  <c:v>#REF!</c:v>
                </c:pt>
              </c:strCache>
            </c:strRef>
          </c:tx>
          <c:spPr/>
          <c:explosion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delete val="1"/>
          </c:dLbls>
          <c:cat>
            <c:strRef>
              <c:f>Sheet1!$A$1:$C$1</c:f>
              <c:strCache>
                <c:ptCount val="3"/>
                <c:pt idx="0">
                  <c:v>机关事业单位养老保险缴费</c:v>
                </c:pt>
                <c:pt idx="1">
                  <c:v>行政运行</c:v>
                </c:pt>
                <c:pt idx="2">
                  <c:v>残疾人康复</c:v>
                </c:pt>
              </c:strCache>
            </c:strRef>
          </c:cat>
          <c:val>
            <c:numRef>
              <c:f>Sheet1!$A$3:$D$3</c:f>
              <c:numCache>
                <c:formatCode>General</c:formatCode>
                <c:ptCount val="4"/>
              </c:numCache>
            </c:numRef>
          </c:val>
        </c:ser>
        <c:ser>
          <c:idx val="2"/>
          <c:order val="2"/>
          <c:tx>
            <c:strRef>
              <c:f>Sheet1!$A$4</c:f>
              <c:strCache>
                <c:ptCount val="1"/>
                <c:pt idx="0">
                  <c:v/>
                </c:pt>
              </c:strCache>
            </c:strRef>
          </c:tx>
          <c:spPr/>
          <c:explosion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delete val="1"/>
          </c:dLbls>
          <c:cat>
            <c:strRef>
              <c:f>Sheet1!$A$1:$C$1</c:f>
              <c:strCache>
                <c:ptCount val="3"/>
                <c:pt idx="0">
                  <c:v>机关事业单位养老保险缴费</c:v>
                </c:pt>
                <c:pt idx="1">
                  <c:v>行政运行</c:v>
                </c:pt>
                <c:pt idx="2">
                  <c:v>残疾人康复</c:v>
                </c:pt>
              </c:strCache>
            </c:strRef>
          </c:cat>
          <c:val>
            <c:numRef>
              <c:f>Sheet1!$B$4:$E$4</c:f>
              <c:numCache>
                <c:formatCode>General</c:formatCode>
                <c:ptCount val="4"/>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0564718908318923"/>
          <c:y val="0.92174765541277"/>
          <c:w val="0.849818874600069"/>
          <c:h val="0.0782523445872303"/>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30"/>
    <customShpInfo spid="_x0000_s1034"/>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62EC761-3A47-4D93-99E3-AEB618C65507}">
  <ds:schemaRefs/>
</ds:datastoreItem>
</file>

<file path=docProps/app.xml><?xml version="1.0" encoding="utf-8"?>
<Properties xmlns="http://schemas.openxmlformats.org/officeDocument/2006/extended-properties" xmlns:vt="http://schemas.openxmlformats.org/officeDocument/2006/docPropsVTypes">
  <Template>Normal</Template>
  <Company>四川省财政厅</Company>
  <Pages>29</Pages>
  <Words>1450</Words>
  <Characters>8267</Characters>
  <Lines>68</Lines>
  <Paragraphs>19</Paragraphs>
  <TotalTime>2</TotalTime>
  <ScaleCrop>false</ScaleCrop>
  <LinksUpToDate>false</LinksUpToDate>
  <CharactersWithSpaces>9698</CharactersWithSpaces>
  <Application>WPS Office_11.1.0.10495_F1E327BC-269C-435d-A152-05C5408002CA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2020-08-04T01:49:00Z</dcterms:created>
  <dc:creator>曹颖</dc:creator>
  <cp:lastModifiedBy>admin</cp:lastModifiedBy>
  <cp:lastPrinted>2020-07-23T02:58:00Z</cp:lastPrinted>
  <dcterms:modified xsi:type="dcterms:W3CDTF">2021-06-04T03:30:17Z</dcterms:modified>
  <dc:title>四川省***</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D19A0100EDED4E1E8E126D77FB66ECE1</vt:lpwstr>
  </property>
</Properties>
</file>